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EEC" w:rsidRPr="00A05698" w:rsidRDefault="00DC40D7" w:rsidP="004F4212">
      <w:pPr>
        <w:pStyle w:val="Cabealho"/>
        <w:spacing w:after="0" w:line="240" w:lineRule="auto"/>
        <w:rPr>
          <w:rFonts w:ascii="Times New Roman" w:hAnsi="Times New Roman"/>
          <w:sz w:val="24"/>
          <w:szCs w:val="24"/>
        </w:rPr>
      </w:pPr>
      <w:bookmarkStart w:id="0" w:name="_GoBack"/>
      <w:bookmarkEnd w:id="0"/>
      <w:r w:rsidRPr="00A05698">
        <w:rPr>
          <w:rFonts w:ascii="Times New Roman" w:hAnsi="Times New Roman"/>
          <w:noProof/>
          <w:lang w:val="pt-PT" w:eastAsia="pt-PT"/>
        </w:rPr>
        <w:drawing>
          <wp:anchor distT="0" distB="0" distL="114300" distR="114300" simplePos="0" relativeHeight="251658246" behindDoc="1" locked="0" layoutInCell="1" allowOverlap="1" wp14:anchorId="21B6A8D8" wp14:editId="38210E73">
            <wp:simplePos x="0" y="0"/>
            <wp:positionH relativeFrom="page">
              <wp:posOffset>182245</wp:posOffset>
            </wp:positionH>
            <wp:positionV relativeFrom="margin">
              <wp:posOffset>-711835</wp:posOffset>
            </wp:positionV>
            <wp:extent cx="7195820" cy="10331532"/>
            <wp:effectExtent l="203200" t="203200" r="220980" b="2095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s titre-1.jpg"/>
                    <pic:cNvPicPr/>
                  </pic:nvPicPr>
                  <pic:blipFill>
                    <a:blip r:embed="rId12" cstate="email">
                      <a:alphaModFix amt="70000"/>
                      <a:extLst>
                        <a:ext uri="{28A0092B-C50C-407E-A947-70E740481C1C}">
                          <a14:useLocalDpi xmlns:a14="http://schemas.microsoft.com/office/drawing/2010/main"/>
                        </a:ext>
                      </a:extLst>
                    </a:blip>
                    <a:stretch>
                      <a:fillRect/>
                    </a:stretch>
                  </pic:blipFill>
                  <pic:spPr>
                    <a:xfrm>
                      <a:off x="0" y="0"/>
                      <a:ext cx="7195820" cy="103315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0F7F0D" w:rsidRPr="00A05698">
        <w:rPr>
          <w:rFonts w:ascii="Times New Roman" w:hAnsi="Times New Roman"/>
          <w:b/>
          <w:noProof/>
          <w:sz w:val="44"/>
          <w:szCs w:val="44"/>
          <w:lang w:val="pt-PT" w:eastAsia="pt-PT"/>
        </w:rPr>
        <w:drawing>
          <wp:anchor distT="0" distB="0" distL="114300" distR="114300" simplePos="0" relativeHeight="251658250" behindDoc="1" locked="0" layoutInCell="1" allowOverlap="1" wp14:anchorId="5AD4ED8B" wp14:editId="35A9D26D">
            <wp:simplePos x="0" y="0"/>
            <wp:positionH relativeFrom="column">
              <wp:posOffset>2386965</wp:posOffset>
            </wp:positionH>
            <wp:positionV relativeFrom="page">
              <wp:posOffset>542925</wp:posOffset>
            </wp:positionV>
            <wp:extent cx="1008380" cy="906145"/>
            <wp:effectExtent l="0" t="0" r="1270" b="8255"/>
            <wp:wrapTight wrapText="bothSides">
              <wp:wrapPolygon edited="0">
                <wp:start x="6937" y="0"/>
                <wp:lineTo x="3264" y="1816"/>
                <wp:lineTo x="0" y="5449"/>
                <wp:lineTo x="0" y="20889"/>
                <wp:lineTo x="7345" y="21343"/>
                <wp:lineTo x="14282" y="21343"/>
                <wp:lineTo x="21219" y="20889"/>
                <wp:lineTo x="21219" y="5903"/>
                <wp:lineTo x="17955" y="1816"/>
                <wp:lineTo x="14690" y="0"/>
                <wp:lineTo x="6937" y="0"/>
              </wp:wrapPolygon>
            </wp:wrapTight>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Guinee-Bissau"/>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0838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DD9">
        <w:rPr>
          <w:rFonts w:ascii="Times New Roman" w:hAnsi="Times New Roman"/>
          <w:noProof/>
        </w:rPr>
        <w:t xml:space="preserve"> </w:t>
      </w:r>
      <w:r w:rsidR="00857D80" w:rsidRPr="00A05698">
        <w:rPr>
          <w:rFonts w:ascii="Times New Roman" w:hAnsi="Times New Roman"/>
          <w:noProof/>
        </w:rPr>
        <w:t xml:space="preserve"> </w:t>
      </w:r>
    </w:p>
    <w:p w:rsidR="00A45EEC" w:rsidRPr="00A05698" w:rsidRDefault="00A45EEC" w:rsidP="004F4212">
      <w:pPr>
        <w:pStyle w:val="Cabealho"/>
        <w:spacing w:after="0" w:line="240" w:lineRule="auto"/>
        <w:rPr>
          <w:rFonts w:ascii="Times New Roman" w:hAnsi="Times New Roman"/>
          <w:sz w:val="24"/>
          <w:szCs w:val="24"/>
        </w:rPr>
      </w:pPr>
    </w:p>
    <w:p w:rsidR="00A45EEC" w:rsidRPr="00A05698" w:rsidRDefault="00A45EEC" w:rsidP="004F4212"/>
    <w:p w:rsidR="00A45EEC" w:rsidRPr="00A05698" w:rsidRDefault="00A45EEC" w:rsidP="004F4212">
      <w:pPr>
        <w:pStyle w:val="Rodap"/>
      </w:pPr>
      <w:r w:rsidRPr="00A05698">
        <w:rPr>
          <w:noProof/>
          <w:lang w:val="pt-PT" w:eastAsia="pt-PT"/>
        </w:rPr>
        <mc:AlternateContent>
          <mc:Choice Requires="wps">
            <w:drawing>
              <wp:anchor distT="0" distB="0" distL="114300" distR="114300" simplePos="0" relativeHeight="251658251" behindDoc="0" locked="0" layoutInCell="1" allowOverlap="1" wp14:anchorId="4EFA6CC6" wp14:editId="782BC536">
                <wp:simplePos x="0" y="0"/>
                <wp:positionH relativeFrom="page">
                  <wp:posOffset>3179135</wp:posOffset>
                </wp:positionH>
                <wp:positionV relativeFrom="paragraph">
                  <wp:posOffset>-2395442</wp:posOffset>
                </wp:positionV>
                <wp:extent cx="4474417" cy="478466"/>
                <wp:effectExtent l="0" t="0" r="21590" b="17145"/>
                <wp:wrapNone/>
                <wp:docPr id="372" name="Zone de texte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417" cy="47846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93642" w:rsidRPr="001434C5" w:rsidRDefault="00293642" w:rsidP="00A45EEC">
                            <w:pPr>
                              <w:jc w:val="center"/>
                              <w:rPr>
                                <w:b/>
                                <w:color w:val="FF0000"/>
                                <w:sz w:val="44"/>
                                <w:szCs w:val="44"/>
                              </w:rPr>
                            </w:pPr>
                            <w:r>
                              <w:rPr>
                                <w:b/>
                                <w:color w:val="FF0000"/>
                                <w:sz w:val="44"/>
                                <w:szCs w:val="44"/>
                              </w:rPr>
                              <w:t>RAPPORT FINALE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FA6CC6" id="_x0000_t202" coordsize="21600,21600" o:spt="202" path="m,l,21600r21600,l21600,xe">
                <v:stroke joinstyle="miter"/>
                <v:path gradientshapeok="t" o:connecttype="rect"/>
              </v:shapetype>
              <v:shape id="Zone de texte 372" o:spid="_x0000_s1026" type="#_x0000_t202" style="position:absolute;margin-left:250.35pt;margin-top:-188.6pt;width:352.3pt;height:37.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" fillcolor="white [3201]" strokecolor="#5b9bd5 [3204]" strokeweight="1pt">
                <v:textbox>
                  <w:txbxContent>
                    <w:p w14:paraId="1ECF4DFD" w14:textId="77777777" w:rsidR="00293642" w:rsidRPr="001434C5" w:rsidRDefault="00293642" w:rsidP="00A45EEC">
                      <w:pPr>
                        <w:jc w:val="center"/>
                        <w:rPr>
                          <w:b/>
                          <w:color w:val="FF0000"/>
                          <w:sz w:val="44"/>
                          <w:szCs w:val="44"/>
                        </w:rPr>
                      </w:pPr>
                      <w:r>
                        <w:rPr>
                          <w:b/>
                          <w:color w:val="FF0000"/>
                          <w:sz w:val="44"/>
                          <w:szCs w:val="44"/>
                        </w:rPr>
                        <w:t>RAPPORT FINALE</w:t>
                      </w:r>
                    </w:p>
                  </w:txbxContent>
                </v:textbox>
                <w10:wrap anchorx="page"/>
              </v:shape>
            </w:pict>
          </mc:Fallback>
        </mc:AlternateContent>
      </w:r>
    </w:p>
    <w:p w:rsidR="00A45EEC" w:rsidRPr="00A05698" w:rsidRDefault="0091298F" w:rsidP="004F4212">
      <w:pPr>
        <w:pStyle w:val="Rodap"/>
      </w:pPr>
      <w:r w:rsidRPr="00A05698">
        <w:rPr>
          <w:noProof/>
          <w:lang w:val="pt-PT" w:eastAsia="pt-PT"/>
        </w:rPr>
        <mc:AlternateContent>
          <mc:Choice Requires="wps">
            <w:drawing>
              <wp:anchor distT="0" distB="0" distL="114300" distR="114300" simplePos="0" relativeHeight="251658254" behindDoc="0" locked="0" layoutInCell="1" allowOverlap="1" wp14:anchorId="4239AE4A" wp14:editId="22FFC638">
                <wp:simplePos x="0" y="0"/>
                <wp:positionH relativeFrom="column">
                  <wp:posOffset>792480</wp:posOffset>
                </wp:positionH>
                <wp:positionV relativeFrom="paragraph">
                  <wp:posOffset>119380</wp:posOffset>
                </wp:positionV>
                <wp:extent cx="4189730" cy="349885"/>
                <wp:effectExtent l="0" t="0" r="0" b="5715"/>
                <wp:wrapSquare wrapText="bothSides"/>
                <wp:docPr id="12" name="Zone de texte 12"/>
                <wp:cNvGraphicFramePr/>
                <a:graphic xmlns:a="http://schemas.openxmlformats.org/drawingml/2006/main">
                  <a:graphicData uri="http://schemas.microsoft.com/office/word/2010/wordprocessingShape">
                    <wps:wsp>
                      <wps:cNvSpPr txBox="1"/>
                      <wps:spPr>
                        <a:xfrm>
                          <a:off x="0" y="0"/>
                          <a:ext cx="4189730" cy="349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93642" w:rsidRPr="00205D9D" w:rsidRDefault="00293642">
                            <w:pPr>
                              <w:rPr>
                                <w:b/>
                              </w:rPr>
                            </w:pPr>
                            <w:r w:rsidRPr="004861E1">
                              <w:rPr>
                                <w:rFonts w:ascii="Monotype Corsiva" w:hAnsi="Monotype Corsiva"/>
                                <w:b/>
                                <w:sz w:val="44"/>
                                <w:szCs w:val="44"/>
                                <w:lang w:val="pt-BR"/>
                              </w:rPr>
                              <w:t>REPÚBLICA DA GUINÉ-BISSAU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9AE4A" id="Zone de texte 12" o:spid="_x0000_s1027" type="#_x0000_t202" style="position:absolute;margin-left:62.4pt;margin-top:9.4pt;width:329.9pt;height:27.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" filled="f" stroked="f">
                <v:textbox>
                  <w:txbxContent>
                    <w:p w14:paraId="31910CCF" w14:textId="77777777" w:rsidR="00293642" w:rsidRPr="00205D9D" w:rsidRDefault="00293642">
                      <w:pPr>
                        <w:rPr>
                          <w:b/>
                        </w:rPr>
                      </w:pPr>
                      <w:r w:rsidRPr="004861E1">
                        <w:rPr>
                          <w:rFonts w:ascii="Monotype Corsiva" w:hAnsi="Monotype Corsiva"/>
                          <w:b/>
                          <w:sz w:val="44"/>
                          <w:szCs w:val="44"/>
                          <w:lang w:val="pt-BR"/>
                        </w:rPr>
                        <w:t>REPÚBLICA DA GUINÉ-BISSAU</w:t>
                      </w:r>
                    </w:p>
                  </w:txbxContent>
                </v:textbox>
                <w10:wrap type="square"/>
              </v:shape>
            </w:pict>
          </mc:Fallback>
        </mc:AlternateContent>
      </w:r>
    </w:p>
    <w:p w:rsidR="00A45EEC" w:rsidRPr="00A05698" w:rsidRDefault="00C26B11" w:rsidP="00B52D6A">
      <w:pPr>
        <w:rPr>
          <w:u w:val="single"/>
        </w:rPr>
      </w:pPr>
      <w:r w:rsidRPr="00A05698">
        <w:t xml:space="preserve"> </w:t>
      </w:r>
    </w:p>
    <w:p w:rsidR="00A45EEC" w:rsidRPr="00A05698" w:rsidRDefault="00A45EEC" w:rsidP="004F4212"/>
    <w:p w:rsidR="00A45EEC" w:rsidRPr="00A05698" w:rsidRDefault="00A45EEC" w:rsidP="004F4212">
      <w:pPr>
        <w:tabs>
          <w:tab w:val="left" w:pos="3947"/>
        </w:tabs>
      </w:pPr>
    </w:p>
    <w:p w:rsidR="00A45EEC" w:rsidRPr="00A05698" w:rsidRDefault="0013677C" w:rsidP="004F4212">
      <w:r w:rsidRPr="00A05698">
        <w:rPr>
          <w:noProof/>
          <w:lang w:val="pt-PT" w:eastAsia="pt-PT"/>
        </w:rPr>
        <mc:AlternateContent>
          <mc:Choice Requires="wps">
            <w:drawing>
              <wp:anchor distT="0" distB="0" distL="114300" distR="114300" simplePos="0" relativeHeight="251658255" behindDoc="0" locked="0" layoutInCell="1" allowOverlap="1" wp14:anchorId="7B710A14" wp14:editId="64072B12">
                <wp:simplePos x="0" y="0"/>
                <wp:positionH relativeFrom="column">
                  <wp:posOffset>-316230</wp:posOffset>
                </wp:positionH>
                <wp:positionV relativeFrom="paragraph">
                  <wp:posOffset>457835</wp:posOffset>
                </wp:positionV>
                <wp:extent cx="6552565" cy="792480"/>
                <wp:effectExtent l="0" t="50800" r="26035" b="20320"/>
                <wp:wrapThrough wrapText="bothSides">
                  <wp:wrapPolygon edited="0">
                    <wp:start x="21100" y="-1385"/>
                    <wp:lineTo x="0" y="0"/>
                    <wp:lineTo x="0" y="21462"/>
                    <wp:lineTo x="502" y="21462"/>
                    <wp:lineTo x="21602" y="18692"/>
                    <wp:lineTo x="21602" y="-1385"/>
                    <wp:lineTo x="21100" y="-1385"/>
                  </wp:wrapPolygon>
                </wp:wrapThrough>
                <wp:docPr id="13" name="Parchemin horizontal 13"/>
                <wp:cNvGraphicFramePr/>
                <a:graphic xmlns:a="http://schemas.openxmlformats.org/drawingml/2006/main">
                  <a:graphicData uri="http://schemas.microsoft.com/office/word/2010/wordprocessingShape">
                    <wps:wsp>
                      <wps:cNvSpPr/>
                      <wps:spPr>
                        <a:xfrm>
                          <a:off x="0" y="0"/>
                          <a:ext cx="6552565" cy="79248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293642" w:rsidRPr="00597314" w:rsidRDefault="00293642" w:rsidP="00CE1E5C">
                            <w:pPr>
                              <w:jc w:val="center"/>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314">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MINISTERE DE L'AGRICULTURE ET DU DEVELOPPEMENT RURAL</w:t>
                            </w:r>
                          </w:p>
                          <w:p w:rsidR="00293642" w:rsidRPr="00597314" w:rsidRDefault="00293642" w:rsidP="00CE1E5C">
                            <w:pPr>
                              <w:jc w:val="center"/>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314">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DEVELOPPEMENT</w:t>
                            </w:r>
                          </w:p>
                          <w:p w:rsidR="00293642" w:rsidRPr="00597314" w:rsidRDefault="00293642" w:rsidP="00CE1E5C">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710A1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3" o:spid="_x0000_s1028" type="#_x0000_t98" style="position:absolute;margin-left:-24.9pt;margin-top:36.05pt;width:515.95pt;height:62.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" fillcolor="white [3201]" strokecolor="black [3200]" strokeweight="1pt">
                <v:stroke joinstyle="miter"/>
                <v:textbox>
                  <w:txbxContent>
                    <w:p w14:paraId="6E2DAA76" w14:textId="77777777" w:rsidR="00293642" w:rsidRPr="00597314" w:rsidRDefault="00293642" w:rsidP="00CE1E5C">
                      <w:pPr>
                        <w:jc w:val="center"/>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314">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MINISTERE DE L'AGRICULTURE ET DU DEVELOPPEMENT RURAL</w:t>
                      </w:r>
                    </w:p>
                    <w:p w14:paraId="68F1715E" w14:textId="77777777" w:rsidR="00293642" w:rsidRPr="00597314" w:rsidRDefault="00293642" w:rsidP="00CE1E5C">
                      <w:pPr>
                        <w:jc w:val="center"/>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314">
                        <w:rPr>
                          <w:rFonts w:cs="Calibri"/>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DEVELOPPEMENT</w:t>
                      </w:r>
                    </w:p>
                    <w:p w14:paraId="119710C6" w14:textId="77777777" w:rsidR="00293642" w:rsidRPr="00597314" w:rsidRDefault="00293642" w:rsidP="00CE1E5C">
                      <w:pPr>
                        <w:jc w:val="center"/>
                        <w:rPr>
                          <w:sz w:val="28"/>
                          <w:szCs w:val="28"/>
                        </w:rPr>
                      </w:pPr>
                    </w:p>
                  </w:txbxContent>
                </v:textbox>
                <w10:wrap type="through"/>
              </v:shape>
            </w:pict>
          </mc:Fallback>
        </mc:AlternateContent>
      </w:r>
      <w:r w:rsidRPr="00A05698">
        <w:rPr>
          <w:noProof/>
          <w:lang w:val="pt-PT" w:eastAsia="pt-PT"/>
        </w:rPr>
        <mc:AlternateContent>
          <mc:Choice Requires="wps">
            <w:drawing>
              <wp:anchor distT="0" distB="0" distL="114300" distR="114300" simplePos="0" relativeHeight="251658256" behindDoc="0" locked="0" layoutInCell="1" allowOverlap="1" wp14:anchorId="677F55C6" wp14:editId="0F30C6F4">
                <wp:simplePos x="0" y="0"/>
                <wp:positionH relativeFrom="column">
                  <wp:posOffset>1478915</wp:posOffset>
                </wp:positionH>
                <wp:positionV relativeFrom="paragraph">
                  <wp:posOffset>103505</wp:posOffset>
                </wp:positionV>
                <wp:extent cx="2971800" cy="105410"/>
                <wp:effectExtent l="50800" t="25400" r="76200" b="21590"/>
                <wp:wrapThrough wrapText="bothSides">
                  <wp:wrapPolygon edited="0">
                    <wp:start x="-369" y="-5205"/>
                    <wp:lineTo x="-185" y="20819"/>
                    <wp:lineTo x="21785" y="20819"/>
                    <wp:lineTo x="21969" y="-5205"/>
                    <wp:lineTo x="-369" y="-5205"/>
                  </wp:wrapPolygon>
                </wp:wrapThrough>
                <wp:docPr id="14" name="Ruban courbé vers le bas 14"/>
                <wp:cNvGraphicFramePr/>
                <a:graphic xmlns:a="http://schemas.openxmlformats.org/drawingml/2006/main">
                  <a:graphicData uri="http://schemas.microsoft.com/office/word/2010/wordprocessingShape">
                    <wps:wsp>
                      <wps:cNvSpPr/>
                      <wps:spPr>
                        <a:xfrm>
                          <a:off x="0" y="0"/>
                          <a:ext cx="2971800" cy="105410"/>
                        </a:xfrm>
                        <a:prstGeom prst="ellipseRibb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A06E3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courbé vers le bas 14" o:spid="_x0000_s1026" type="#_x0000_t107" style="position:absolute;margin-left:116.45pt;margin-top:8.15pt;width:234pt;height:8.3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" fillcolor="white [3201]" strokecolor="black [3200]" strokeweight="1pt">
                <v:stroke joinstyle="miter"/>
                <w10:wrap type="through"/>
              </v:shape>
            </w:pict>
          </mc:Fallback>
        </mc:AlternateContent>
      </w:r>
    </w:p>
    <w:p w:rsidR="00A45EEC" w:rsidRPr="00A05698" w:rsidRDefault="00A45EEC" w:rsidP="004F4212"/>
    <w:p w:rsidR="00A45EEC" w:rsidRPr="00A05698" w:rsidRDefault="0013677C" w:rsidP="004F4212">
      <w:pPr>
        <w:tabs>
          <w:tab w:val="left" w:pos="1884"/>
        </w:tabs>
      </w:pPr>
      <w:r>
        <w:rPr>
          <w:noProof/>
          <w:lang w:val="pt-PT" w:eastAsia="pt-PT"/>
        </w:rPr>
        <mc:AlternateContent>
          <mc:Choice Requires="wps">
            <w:drawing>
              <wp:anchor distT="0" distB="0" distL="114300" distR="114300" simplePos="0" relativeHeight="251661397" behindDoc="0" locked="0" layoutInCell="1" allowOverlap="1" wp14:anchorId="22A3F01B" wp14:editId="4267E7DB">
                <wp:simplePos x="0" y="0"/>
                <wp:positionH relativeFrom="column">
                  <wp:posOffset>838116</wp:posOffset>
                </wp:positionH>
                <wp:positionV relativeFrom="paragraph">
                  <wp:posOffset>1010920</wp:posOffset>
                </wp:positionV>
                <wp:extent cx="2125345" cy="94615"/>
                <wp:effectExtent l="0" t="50800" r="33655" b="32385"/>
                <wp:wrapNone/>
                <wp:docPr id="52" name="Parchemin horizontal 52"/>
                <wp:cNvGraphicFramePr/>
                <a:graphic xmlns:a="http://schemas.openxmlformats.org/drawingml/2006/main">
                  <a:graphicData uri="http://schemas.microsoft.com/office/word/2010/wordprocessingShape">
                    <wps:wsp>
                      <wps:cNvSpPr/>
                      <wps:spPr>
                        <a:xfrm>
                          <a:off x="0" y="0"/>
                          <a:ext cx="2125345" cy="94615"/>
                        </a:xfrm>
                        <a:prstGeom prst="horizont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D2DE7" id="Parchemin horizontal 52" o:spid="_x0000_s1026" type="#_x0000_t98" style="position:absolute;margin-left:66pt;margin-top:79.6pt;width:167.35pt;height:7.45pt;z-index:2516613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" fillcolor="white [3201]" strokecolor="#70ad47 [3209]" strokeweight="1pt">
                <v:stroke joinstyle="miter"/>
              </v:shape>
            </w:pict>
          </mc:Fallback>
        </mc:AlternateContent>
      </w:r>
      <w:r w:rsidR="008B5DDA" w:rsidRPr="00A05698">
        <w:tab/>
      </w:r>
      <w:r w:rsidR="008B5DDA" w:rsidRPr="00A05698">
        <w:tab/>
      </w:r>
    </w:p>
    <w:p w:rsidR="00A45EEC" w:rsidRPr="00A05698" w:rsidRDefault="00A45EEC" w:rsidP="004F4212"/>
    <w:p w:rsidR="00A45EEC" w:rsidRPr="00A05698" w:rsidRDefault="0013677C" w:rsidP="004F4212">
      <w:r w:rsidRPr="00A05698">
        <w:rPr>
          <w:noProof/>
          <w:lang w:val="pt-PT" w:eastAsia="pt-PT"/>
        </w:rPr>
        <mc:AlternateContent>
          <mc:Choice Requires="wps">
            <w:drawing>
              <wp:anchor distT="0" distB="0" distL="114300" distR="114300" simplePos="0" relativeHeight="251658259" behindDoc="0" locked="0" layoutInCell="1" allowOverlap="1" wp14:anchorId="3A8511A1" wp14:editId="0DEC6707">
                <wp:simplePos x="0" y="0"/>
                <wp:positionH relativeFrom="margin">
                  <wp:posOffset>-224790</wp:posOffset>
                </wp:positionH>
                <wp:positionV relativeFrom="paragraph">
                  <wp:posOffset>125095</wp:posOffset>
                </wp:positionV>
                <wp:extent cx="6457950" cy="352425"/>
                <wp:effectExtent l="0" t="0" r="19050" b="28575"/>
                <wp:wrapNone/>
                <wp:docPr id="220" name="Organigramme : Alternativ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0" cy="352425"/>
                        </a:xfrm>
                        <a:prstGeom prst="flowChartAlternateProcess">
                          <a:avLst/>
                        </a:prstGeom>
                        <a:gradFill flip="none" rotWithShape="1">
                          <a:gsLst>
                            <a:gs pos="0">
                              <a:srgbClr val="9BBB59">
                                <a:lumMod val="60000"/>
                                <a:lumOff val="40000"/>
                                <a:tint val="66000"/>
                                <a:satMod val="160000"/>
                              </a:srgbClr>
                            </a:gs>
                            <a:gs pos="50000">
                              <a:srgbClr val="9BBB59">
                                <a:lumMod val="60000"/>
                                <a:lumOff val="40000"/>
                                <a:tint val="44500"/>
                                <a:satMod val="160000"/>
                              </a:srgbClr>
                            </a:gs>
                            <a:gs pos="100000">
                              <a:srgbClr val="9BBB59">
                                <a:lumMod val="60000"/>
                                <a:lumOff val="40000"/>
                                <a:tint val="23500"/>
                                <a:satMod val="160000"/>
                              </a:srgbClr>
                            </a:gs>
                          </a:gsLst>
                          <a:lin ang="5400000" scaled="1"/>
                          <a:tileRect/>
                        </a:gradFill>
                        <a:ln w="12700" cap="flat" cmpd="sng" algn="ctr">
                          <a:solidFill>
                            <a:schemeClr val="accent6">
                              <a:lumMod val="50000"/>
                            </a:schemeClr>
                          </a:solidFill>
                          <a:prstDash val="solid"/>
                        </a:ln>
                        <a:effectLst/>
                      </wps:spPr>
                      <wps:txbx>
                        <w:txbxContent>
                          <w:p w:rsidR="00293642" w:rsidRPr="00E053BC" w:rsidRDefault="00293642" w:rsidP="00055951">
                            <w:pPr>
                              <w:pStyle w:val="NormalWeb1"/>
                              <w:spacing w:before="0" w:beforeAutospacing="0" w:after="0" w:afterAutospacing="0"/>
                              <w:jc w:val="center"/>
                              <w:rPr>
                                <w:sz w:val="32"/>
                                <w:szCs w:val="32"/>
                                <w:lang w:val="fr-CA"/>
                              </w:rPr>
                            </w:pPr>
                            <w:r>
                              <w:rPr>
                                <w:b/>
                                <w:bCs/>
                                <w:sz w:val="32"/>
                                <w:szCs w:val="32"/>
                                <w:lang w:val="fr-CA"/>
                              </w:rPr>
                              <w:t>CADRE DE GESTION ENVIRONNEMENTAL ET SOCIAL (CGES</w:t>
                            </w:r>
                            <w:r w:rsidRPr="00E053BC">
                              <w:rPr>
                                <w:b/>
                                <w:bCs/>
                                <w:sz w:val="32"/>
                                <w:szCs w:val="32"/>
                                <w:lang w:val="fr-CA"/>
                              </w:rPr>
                              <w:t xml:space="preserve">) </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8511A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69" o:spid="_x0000_s1029" type="#_x0000_t176" style="position:absolute;margin-left:-17.7pt;margin-top:9.85pt;width:508.5pt;height:27.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" fillcolor="#ddefbb" strokecolor="#375623 [1609]" strokeweight="1pt">
                <v:fill color2="#f3f9ea" rotate="t" colors="0 #ddefbb;.5 #e9f4d4;1 #f3f9ea" focus="100%" type="gradient"/>
                <v:path arrowok="t"/>
                <v:textbox>
                  <w:txbxContent>
                    <w:p w14:paraId="08882BA8" w14:textId="77777777" w:rsidR="00293642" w:rsidRPr="00E053BC" w:rsidRDefault="00293642" w:rsidP="00055951">
                      <w:pPr>
                        <w:pStyle w:val="NormalWeb1"/>
                        <w:spacing w:before="0" w:beforeAutospacing="0" w:after="0" w:afterAutospacing="0"/>
                        <w:jc w:val="center"/>
                        <w:rPr>
                          <w:sz w:val="32"/>
                          <w:szCs w:val="32"/>
                          <w:lang w:val="fr-CA"/>
                        </w:rPr>
                      </w:pPr>
                      <w:r>
                        <w:rPr>
                          <w:b/>
                          <w:bCs/>
                          <w:sz w:val="32"/>
                          <w:szCs w:val="32"/>
                          <w:lang w:val="fr-CA"/>
                        </w:rPr>
                        <w:t>CADRE DE GESTION ENVIRONNEMENTAL ET SOCIAL (CGES</w:t>
                      </w:r>
                      <w:r w:rsidRPr="00E053BC">
                        <w:rPr>
                          <w:b/>
                          <w:bCs/>
                          <w:sz w:val="32"/>
                          <w:szCs w:val="32"/>
                          <w:lang w:val="fr-CA"/>
                        </w:rPr>
                        <w:t xml:space="preserve">) </w:t>
                      </w:r>
                    </w:p>
                  </w:txbxContent>
                </v:textbox>
                <w10:wrap anchorx="margin"/>
              </v:shape>
            </w:pict>
          </mc:Fallback>
        </mc:AlternateContent>
      </w:r>
    </w:p>
    <w:p w:rsidR="00A45EEC" w:rsidRPr="00A05698" w:rsidRDefault="00A45EEC" w:rsidP="004F4212"/>
    <w:p w:rsidR="00A45EEC" w:rsidRPr="00A05698" w:rsidRDefault="00A45EEC" w:rsidP="004F4212"/>
    <w:p w:rsidR="00A45EEC" w:rsidRPr="00A05698" w:rsidRDefault="00A45EEC" w:rsidP="004F4212"/>
    <w:p w:rsidR="002E3B6C" w:rsidRPr="00A05698" w:rsidRDefault="002E3B6C" w:rsidP="00DC40D7">
      <w:pPr>
        <w:pStyle w:val="Ttulo"/>
        <w:rPr>
          <w:lang w:val="fr-FR"/>
        </w:rPr>
      </w:pPr>
      <w:r w:rsidRPr="00A05698">
        <w:rPr>
          <w:noProof/>
          <w:lang w:val="pt-PT" w:eastAsia="pt-PT"/>
        </w:rPr>
        <mc:AlternateContent>
          <mc:Choice Requires="wps">
            <w:drawing>
              <wp:anchor distT="0" distB="0" distL="114300" distR="114300" simplePos="0" relativeHeight="251658258" behindDoc="0" locked="0" layoutInCell="1" allowOverlap="1" wp14:anchorId="507E17C9" wp14:editId="106362C6">
                <wp:simplePos x="0" y="0"/>
                <wp:positionH relativeFrom="column">
                  <wp:posOffset>-441770</wp:posOffset>
                </wp:positionH>
                <wp:positionV relativeFrom="paragraph">
                  <wp:posOffset>439172</wp:posOffset>
                </wp:positionV>
                <wp:extent cx="6856730" cy="1713865"/>
                <wp:effectExtent l="0" t="0" r="26670" b="13335"/>
                <wp:wrapThrough wrapText="bothSides">
                  <wp:wrapPolygon edited="0">
                    <wp:start x="640" y="0"/>
                    <wp:lineTo x="560" y="640"/>
                    <wp:lineTo x="480" y="15366"/>
                    <wp:lineTo x="0" y="18887"/>
                    <wp:lineTo x="0" y="21448"/>
                    <wp:lineTo x="20964" y="21448"/>
                    <wp:lineTo x="21044" y="21448"/>
                    <wp:lineTo x="21124" y="5122"/>
                    <wp:lineTo x="21604" y="2561"/>
                    <wp:lineTo x="21604" y="0"/>
                    <wp:lineTo x="640" y="0"/>
                  </wp:wrapPolygon>
                </wp:wrapThrough>
                <wp:docPr id="16" name="Parchemin vertical 16"/>
                <wp:cNvGraphicFramePr/>
                <a:graphic xmlns:a="http://schemas.openxmlformats.org/drawingml/2006/main">
                  <a:graphicData uri="http://schemas.microsoft.com/office/word/2010/wordprocessingShape">
                    <wps:wsp>
                      <wps:cNvSpPr/>
                      <wps:spPr>
                        <a:xfrm>
                          <a:off x="0" y="0"/>
                          <a:ext cx="6856730" cy="1713865"/>
                        </a:xfrm>
                        <a:prstGeom prst="verticalScroll">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93642" w:rsidRPr="000A0C7D" w:rsidRDefault="00293642" w:rsidP="0058581D">
                            <w:pPr>
                              <w:pStyle w:val="Cabealho"/>
                              <w:spacing w:after="0" w:line="240" w:lineRule="auto"/>
                              <w:jc w:val="center"/>
                              <w:rPr>
                                <w:rFonts w:ascii="Times New Roman" w:hAnsi="Times New Roman"/>
                                <w:b/>
                                <w:bCs/>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0A0C7D">
                              <w:rPr>
                                <w:rFonts w:ascii="Times New Roman" w:hAnsi="Times New Roman"/>
                                <w:b/>
                                <w:bCs/>
                                <w:iCs/>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PROJET DE SECURITE ALIMENTAIRE D'URGENCE EN GUINEE BISSAU (PUSA)</w:t>
                            </w:r>
                            <w:r w:rsidRPr="000A0C7D">
                              <w:rPr>
                                <w:rFonts w:ascii="Times New Roman" w:hAnsi="Times New Roman"/>
                                <w:b/>
                                <w:noProof/>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7E17C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16" o:spid="_x0000_s1030" type="#_x0000_t97" style="position:absolute;left:0;text-align:left;margin-left:-34.8pt;margin-top:34.6pt;width:539.9pt;height:134.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" fillcolor="white [3201]" strokecolor="black [3213]" strokeweight="1pt">
                <v:stroke joinstyle="miter"/>
                <v:textbox>
                  <w:txbxContent>
                    <w:p w14:paraId="68639D88" w14:textId="77777777" w:rsidR="00293642" w:rsidRPr="000A0C7D" w:rsidRDefault="00293642" w:rsidP="0058581D">
                      <w:pPr>
                        <w:pStyle w:val="Header"/>
                        <w:spacing w:after="0" w:line="240" w:lineRule="auto"/>
                        <w:jc w:val="center"/>
                        <w:rPr>
                          <w:rFonts w:ascii="Times New Roman" w:hAnsi="Times New Roman"/>
                          <w:b/>
                          <w:bCs/>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0A0C7D">
                        <w:rPr>
                          <w:rFonts w:ascii="Times New Roman" w:hAnsi="Times New Roman"/>
                          <w:b/>
                          <w:bCs/>
                          <w:iCs/>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PROJET DE SECURITE ALIMENTAIRE D'URGENCE EN GUINEE BISSAU (PUSA)</w:t>
                      </w:r>
                      <w:r w:rsidRPr="000A0C7D">
                        <w:rPr>
                          <w:rFonts w:ascii="Times New Roman" w:hAnsi="Times New Roman"/>
                          <w:b/>
                          <w:noProof/>
                          <w:color w:val="FF0000"/>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w:t>
                      </w:r>
                    </w:p>
                  </w:txbxContent>
                </v:textbox>
                <w10:wrap type="through"/>
              </v:shape>
            </w:pict>
          </mc:Fallback>
        </mc:AlternateContent>
      </w:r>
      <w:r w:rsidR="00DC40D7">
        <w:rPr>
          <w:lang w:val="fr-FR"/>
        </w:rPr>
        <w:t>*******************</w:t>
      </w:r>
    </w:p>
    <w:p w:rsidR="002E3B6C" w:rsidRPr="00A05698" w:rsidRDefault="0013677C" w:rsidP="004F4212">
      <w:pPr>
        <w:pStyle w:val="Ttulo"/>
        <w:rPr>
          <w:lang w:val="fr-FR"/>
        </w:rPr>
      </w:pPr>
      <w:r w:rsidRPr="00A05698">
        <w:rPr>
          <w:noProof/>
          <w:lang w:val="pt-PT" w:eastAsia="pt-PT"/>
        </w:rPr>
        <mc:AlternateContent>
          <mc:Choice Requires="wps">
            <w:drawing>
              <wp:anchor distT="0" distB="0" distL="114300" distR="114300" simplePos="0" relativeHeight="251658248" behindDoc="0" locked="0" layoutInCell="1" allowOverlap="1" wp14:anchorId="4FD0F6DB" wp14:editId="07B88DC0">
                <wp:simplePos x="0" y="0"/>
                <wp:positionH relativeFrom="column">
                  <wp:posOffset>-344170</wp:posOffset>
                </wp:positionH>
                <wp:positionV relativeFrom="paragraph">
                  <wp:posOffset>2137410</wp:posOffset>
                </wp:positionV>
                <wp:extent cx="3567430" cy="574040"/>
                <wp:effectExtent l="0" t="0" r="13970" b="35560"/>
                <wp:wrapThrough wrapText="bothSides">
                  <wp:wrapPolygon edited="0">
                    <wp:start x="1845" y="0"/>
                    <wp:lineTo x="0" y="2867"/>
                    <wp:lineTo x="0" y="17204"/>
                    <wp:lineTo x="1384" y="21982"/>
                    <wp:lineTo x="1845" y="21982"/>
                    <wp:lineTo x="19685" y="21982"/>
                    <wp:lineTo x="20147" y="21982"/>
                    <wp:lineTo x="21531" y="17204"/>
                    <wp:lineTo x="21531" y="2867"/>
                    <wp:lineTo x="19685" y="0"/>
                    <wp:lineTo x="1845" y="0"/>
                  </wp:wrapPolygon>
                </wp:wrapThrough>
                <wp:docPr id="221" name="Terminaison 221"/>
                <wp:cNvGraphicFramePr/>
                <a:graphic xmlns:a="http://schemas.openxmlformats.org/drawingml/2006/main">
                  <a:graphicData uri="http://schemas.microsoft.com/office/word/2010/wordprocessingShape">
                    <wps:wsp>
                      <wps:cNvSpPr/>
                      <wps:spPr>
                        <a:xfrm>
                          <a:off x="0" y="0"/>
                          <a:ext cx="3567430" cy="574040"/>
                        </a:xfrm>
                        <a:prstGeom prst="flowChartTerminator">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293642" w:rsidRPr="00BC380A" w:rsidRDefault="00293642" w:rsidP="002C7AD8">
                            <w:pPr>
                              <w:jc w:val="center"/>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C380A">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Rapport </w:t>
                            </w:r>
                            <w:r>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Final </w:t>
                            </w:r>
                          </w:p>
                          <w:p w:rsidR="00293642" w:rsidRDefault="00293642" w:rsidP="002C7A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D0F6DB" id="_x0000_t116" coordsize="21600,21600" o:spt="116" path="m3475,qx,10800,3475,21600l18125,21600qx21600,10800,18125,xe">
                <v:stroke joinstyle="miter"/>
                <v:path gradientshapeok="t" o:connecttype="rect" textboxrect="1018,3163,20582,18437"/>
              </v:shapetype>
              <v:shape id="Terminaison 221" o:spid="_x0000_s1031" type="#_x0000_t116" style="position:absolute;left:0;text-align:left;margin-left:-27.1pt;margin-top:168.3pt;width:280.9pt;height:45.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" fillcolor="white [3201]" strokecolor="red" strokeweight="1pt">
                <v:textbox>
                  <w:txbxContent>
                    <w:p w14:paraId="0D42C5EF" w14:textId="77777777" w:rsidR="00293642" w:rsidRPr="00BC380A" w:rsidRDefault="00293642" w:rsidP="002C7AD8">
                      <w:pPr>
                        <w:jc w:val="center"/>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C380A">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Rapport </w:t>
                      </w:r>
                      <w:r>
                        <w:rPr>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Final </w:t>
                      </w:r>
                    </w:p>
                    <w:p w14:paraId="55B02C3A" w14:textId="77777777" w:rsidR="00293642" w:rsidRDefault="00293642" w:rsidP="002C7AD8">
                      <w:pPr>
                        <w:jc w:val="center"/>
                      </w:pPr>
                    </w:p>
                  </w:txbxContent>
                </v:textbox>
                <w10:wrap type="through"/>
              </v:shape>
            </w:pict>
          </mc:Fallback>
        </mc:AlternateContent>
      </w:r>
    </w:p>
    <w:p w:rsidR="00A45EEC" w:rsidRPr="00A05698" w:rsidRDefault="00A45EEC" w:rsidP="004F4212"/>
    <w:p w:rsidR="00A45EEC" w:rsidRPr="00A05698" w:rsidRDefault="0013677C" w:rsidP="004F4212">
      <w:r w:rsidRPr="00A05698">
        <w:rPr>
          <w:noProof/>
          <w:lang w:val="pt-PT" w:eastAsia="pt-PT"/>
        </w:rPr>
        <mc:AlternateContent>
          <mc:Choice Requires="wps">
            <w:drawing>
              <wp:anchor distT="0" distB="0" distL="114300" distR="114300" simplePos="0" relativeHeight="251658244" behindDoc="0" locked="0" layoutInCell="1" allowOverlap="1" wp14:anchorId="4048173F" wp14:editId="126748B5">
                <wp:simplePos x="0" y="0"/>
                <wp:positionH relativeFrom="column">
                  <wp:posOffset>3377565</wp:posOffset>
                </wp:positionH>
                <wp:positionV relativeFrom="paragraph">
                  <wp:posOffset>53975</wp:posOffset>
                </wp:positionV>
                <wp:extent cx="2893060" cy="479425"/>
                <wp:effectExtent l="0" t="0" r="27940" b="28575"/>
                <wp:wrapNone/>
                <wp:docPr id="370" name="Rectangle à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479425"/>
                        </a:xfrm>
                        <a:prstGeom prst="roundRect">
                          <a:avLst>
                            <a:gd name="adj" fmla="val 10759"/>
                          </a:avLst>
                        </a:prstGeom>
                        <a:ln>
                          <a:headEnd/>
                          <a:tailEnd/>
                        </a:ln>
                      </wps:spPr>
                      <wps:style>
                        <a:lnRef idx="2">
                          <a:schemeClr val="accent1"/>
                        </a:lnRef>
                        <a:fillRef idx="1">
                          <a:schemeClr val="lt1"/>
                        </a:fillRef>
                        <a:effectRef idx="0">
                          <a:schemeClr val="accent1"/>
                        </a:effectRef>
                        <a:fontRef idx="minor">
                          <a:schemeClr val="dk1"/>
                        </a:fontRef>
                      </wps:style>
                      <wps:txbx>
                        <w:txbxContent>
                          <w:p w:rsidR="00293642" w:rsidRPr="00C70416" w:rsidRDefault="00293642" w:rsidP="00A45EEC">
                            <w:pPr>
                              <w:jc w:val="center"/>
                            </w:pPr>
                            <w:r w:rsidRPr="00C70416">
                              <w:rPr>
                                <w:b/>
                                <w:bCs/>
                                <w:color w:val="002060"/>
                                <w:kern w:val="24"/>
                              </w:rPr>
                              <w:t>Dr BEROUBA GUISSE</w:t>
                            </w:r>
                          </w:p>
                          <w:p w:rsidR="00293642" w:rsidRPr="00C70416" w:rsidRDefault="00293642" w:rsidP="00A45EEC">
                            <w:pPr>
                              <w:jc w:val="center"/>
                            </w:pPr>
                            <w:r w:rsidRPr="00C70416">
                              <w:rPr>
                                <w:b/>
                                <w:bCs/>
                                <w:color w:val="002060"/>
                                <w:kern w:val="24"/>
                              </w:rPr>
                              <w:t>Expert consultant agréé</w:t>
                            </w:r>
                          </w:p>
                          <w:p w:rsidR="00293642" w:rsidRDefault="00293642" w:rsidP="00A45EEC">
                            <w:pPr>
                              <w:jc w:val="center"/>
                            </w:pPr>
                            <w:r>
                              <w:rPr>
                                <w:b/>
                                <w:bCs/>
                                <w:color w:val="943634"/>
                                <w:kern w:val="24"/>
                              </w:rPr>
                              <w:t> </w:t>
                            </w:r>
                          </w:p>
                          <w:p w:rsidR="00293642" w:rsidRDefault="00293642" w:rsidP="00A45EEC">
                            <w:pPr>
                              <w:jc w:val="center"/>
                            </w:pPr>
                            <w:r>
                              <w:rPr>
                                <w:b/>
                                <w:bCs/>
                                <w:color w:val="943634"/>
                                <w:kern w:val="24"/>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48173F" id="Rectangle à coins arrondis 14" o:spid="_x0000_s1032" style="position:absolute;margin-left:265.95pt;margin-top:4.25pt;width:227.8pt;height:3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" fillcolor="white [3201]" strokecolor="#5b9bd5 [3204]" strokeweight="1pt">
                <v:stroke joinstyle="miter"/>
                <v:textbox>
                  <w:txbxContent>
                    <w:p w14:paraId="526CB1DF" w14:textId="77777777" w:rsidR="00293642" w:rsidRPr="00C70416" w:rsidRDefault="00293642" w:rsidP="00A45EEC">
                      <w:pPr>
                        <w:jc w:val="center"/>
                      </w:pPr>
                      <w:r w:rsidRPr="00C70416">
                        <w:rPr>
                          <w:b/>
                          <w:bCs/>
                          <w:color w:val="002060"/>
                          <w:kern w:val="24"/>
                        </w:rPr>
                        <w:t>Dr BEROUBA GUISSE</w:t>
                      </w:r>
                    </w:p>
                    <w:p w14:paraId="2EF0AC27" w14:textId="77777777" w:rsidR="00293642" w:rsidRPr="00C70416" w:rsidRDefault="00293642" w:rsidP="00A45EEC">
                      <w:pPr>
                        <w:jc w:val="center"/>
                      </w:pPr>
                      <w:r w:rsidRPr="00C70416">
                        <w:rPr>
                          <w:b/>
                          <w:bCs/>
                          <w:color w:val="002060"/>
                          <w:kern w:val="24"/>
                        </w:rPr>
                        <w:t>Expert consultant agréé</w:t>
                      </w:r>
                    </w:p>
                    <w:p w14:paraId="62091C79" w14:textId="77777777" w:rsidR="00293642" w:rsidRDefault="00293642" w:rsidP="00A45EEC">
                      <w:pPr>
                        <w:jc w:val="center"/>
                      </w:pPr>
                      <w:r>
                        <w:rPr>
                          <w:b/>
                          <w:bCs/>
                          <w:color w:val="943634"/>
                          <w:kern w:val="24"/>
                        </w:rPr>
                        <w:t> </w:t>
                      </w:r>
                    </w:p>
                    <w:p w14:paraId="129632AA" w14:textId="77777777" w:rsidR="00293642" w:rsidRDefault="00293642" w:rsidP="00A45EEC">
                      <w:pPr>
                        <w:jc w:val="center"/>
                      </w:pPr>
                      <w:r>
                        <w:rPr>
                          <w:b/>
                          <w:bCs/>
                          <w:color w:val="943634"/>
                          <w:kern w:val="24"/>
                        </w:rPr>
                        <w:t> </w:t>
                      </w:r>
                    </w:p>
                  </w:txbxContent>
                </v:textbox>
              </v:roundrect>
            </w:pict>
          </mc:Fallback>
        </mc:AlternateContent>
      </w:r>
    </w:p>
    <w:p w:rsidR="00A45EEC" w:rsidRPr="00A05698" w:rsidRDefault="00A45EEC" w:rsidP="004F4212"/>
    <w:p w:rsidR="00A45EEC" w:rsidRPr="00A05698" w:rsidRDefault="0013677C" w:rsidP="004F4212">
      <w:r w:rsidRPr="00A05698">
        <w:rPr>
          <w:noProof/>
          <w:lang w:val="pt-PT" w:eastAsia="pt-PT"/>
        </w:rPr>
        <w:drawing>
          <wp:anchor distT="0" distB="0" distL="114300" distR="114300" simplePos="0" relativeHeight="251658249" behindDoc="1" locked="0" layoutInCell="1" allowOverlap="1" wp14:anchorId="1DEC2A10" wp14:editId="7B6F723F">
            <wp:simplePos x="0" y="0"/>
            <wp:positionH relativeFrom="column">
              <wp:posOffset>-76835</wp:posOffset>
            </wp:positionH>
            <wp:positionV relativeFrom="margin">
              <wp:posOffset>6987540</wp:posOffset>
            </wp:positionV>
            <wp:extent cx="1933575" cy="1598930"/>
            <wp:effectExtent l="0" t="0" r="0" b="1270"/>
            <wp:wrapTight wrapText="bothSides">
              <wp:wrapPolygon edited="0">
                <wp:start x="6526" y="343"/>
                <wp:lineTo x="2837" y="2402"/>
                <wp:lineTo x="1702" y="3774"/>
                <wp:lineTo x="1986" y="6519"/>
                <wp:lineTo x="0" y="10980"/>
                <wp:lineTo x="0" y="14068"/>
                <wp:lineTo x="1986" y="17500"/>
                <wp:lineTo x="1986" y="18529"/>
                <wp:lineTo x="7377" y="20931"/>
                <wp:lineTo x="9364" y="21274"/>
                <wp:lineTo x="12485" y="21274"/>
                <wp:lineTo x="14471" y="20931"/>
                <wp:lineTo x="19578" y="18529"/>
                <wp:lineTo x="19295" y="17500"/>
                <wp:lineTo x="21281" y="13725"/>
                <wp:lineTo x="21281" y="11666"/>
                <wp:lineTo x="19295" y="6519"/>
                <wp:lineTo x="19862" y="2059"/>
                <wp:lineTo x="17876" y="1029"/>
                <wp:lineTo x="8512" y="343"/>
                <wp:lineTo x="6526" y="34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4" cstate="email">
                      <a:extLst>
                        <a:ext uri="{28A0092B-C50C-407E-A947-70E740481C1C}">
                          <a14:useLocalDpi xmlns:a14="http://schemas.microsoft.com/office/drawing/2010/main"/>
                        </a:ext>
                      </a:extLst>
                    </a:blip>
                    <a:stretch>
                      <a:fillRect/>
                    </a:stretch>
                  </pic:blipFill>
                  <pic:spPr>
                    <a:xfrm>
                      <a:off x="0" y="0"/>
                      <a:ext cx="1933575" cy="1598930"/>
                    </a:xfrm>
                    <a:prstGeom prst="rect">
                      <a:avLst/>
                    </a:prstGeom>
                  </pic:spPr>
                </pic:pic>
              </a:graphicData>
            </a:graphic>
            <wp14:sizeRelH relativeFrom="margin">
              <wp14:pctWidth>0</wp14:pctWidth>
            </wp14:sizeRelH>
            <wp14:sizeRelV relativeFrom="margin">
              <wp14:pctHeight>0</wp14:pctHeight>
            </wp14:sizeRelV>
          </wp:anchor>
        </w:drawing>
      </w:r>
    </w:p>
    <w:p w:rsidR="00A45EEC" w:rsidRPr="00A05698" w:rsidRDefault="0013677C" w:rsidP="004F4212">
      <w:r w:rsidRPr="00A05698">
        <w:rPr>
          <w:noProof/>
          <w:lang w:val="pt-PT" w:eastAsia="pt-PT"/>
        </w:rPr>
        <mc:AlternateContent>
          <mc:Choice Requires="wps">
            <w:drawing>
              <wp:anchor distT="0" distB="0" distL="114300" distR="114300" simplePos="0" relativeHeight="251658245" behindDoc="0" locked="0" layoutInCell="1" allowOverlap="1" wp14:anchorId="5C265E26" wp14:editId="575031B1">
                <wp:simplePos x="0" y="0"/>
                <wp:positionH relativeFrom="margin">
                  <wp:posOffset>3717290</wp:posOffset>
                </wp:positionH>
                <wp:positionV relativeFrom="paragraph">
                  <wp:posOffset>92075</wp:posOffset>
                </wp:positionV>
                <wp:extent cx="2256790" cy="653415"/>
                <wp:effectExtent l="0" t="0" r="29210" b="32385"/>
                <wp:wrapNone/>
                <wp:docPr id="371" name="Rectangle à coins arrondis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790" cy="653415"/>
                        </a:xfrm>
                        <a:prstGeom prst="roundRect">
                          <a:avLst>
                            <a:gd name="adj" fmla="val 10759"/>
                          </a:avLst>
                        </a:prstGeom>
                        <a:ln/>
                      </wps:spPr>
                      <wps:style>
                        <a:lnRef idx="2">
                          <a:schemeClr val="accent1"/>
                        </a:lnRef>
                        <a:fillRef idx="1">
                          <a:schemeClr val="lt1"/>
                        </a:fillRef>
                        <a:effectRef idx="0">
                          <a:schemeClr val="accent1"/>
                        </a:effectRef>
                        <a:fontRef idx="minor">
                          <a:schemeClr val="dk1"/>
                        </a:fontRef>
                      </wps:style>
                      <wps:txbx>
                        <w:txbxContent>
                          <w:p w:rsidR="00293642" w:rsidRPr="000A01BA" w:rsidRDefault="00293642" w:rsidP="00A45EEC">
                            <w:pPr>
                              <w:jc w:val="center"/>
                              <w:rPr>
                                <w:b/>
                                <w:color w:val="943634"/>
                                <w:sz w:val="16"/>
                                <w:szCs w:val="16"/>
                              </w:rPr>
                            </w:pPr>
                            <w:r w:rsidRPr="000A01BA">
                              <w:rPr>
                                <w:b/>
                                <w:color w:val="943634"/>
                                <w:sz w:val="16"/>
                                <w:szCs w:val="16"/>
                              </w:rPr>
                              <w:t>Villa N° 190, La Linguère – Keur</w:t>
                            </w:r>
                            <w:r>
                              <w:rPr>
                                <w:b/>
                                <w:color w:val="943634"/>
                                <w:sz w:val="16"/>
                                <w:szCs w:val="16"/>
                              </w:rPr>
                              <w:t xml:space="preserve"> </w:t>
                            </w:r>
                            <w:r w:rsidRPr="000A01BA">
                              <w:rPr>
                                <w:b/>
                                <w:color w:val="943634"/>
                                <w:sz w:val="16"/>
                                <w:szCs w:val="16"/>
                              </w:rPr>
                              <w:t>Massar</w:t>
                            </w:r>
                          </w:p>
                          <w:p w:rsidR="00293642" w:rsidRDefault="00293642" w:rsidP="00A45EEC">
                            <w:pPr>
                              <w:jc w:val="center"/>
                              <w:rPr>
                                <w:b/>
                                <w:color w:val="943634"/>
                                <w:sz w:val="16"/>
                                <w:szCs w:val="16"/>
                              </w:rPr>
                            </w:pPr>
                            <w:r w:rsidRPr="000A01BA">
                              <w:rPr>
                                <w:b/>
                                <w:color w:val="943634"/>
                                <w:sz w:val="16"/>
                                <w:szCs w:val="16"/>
                              </w:rPr>
                              <w:t>Tél. :</w:t>
                            </w:r>
                            <w:r w:rsidRPr="00C9614C">
                              <w:rPr>
                                <w:b/>
                                <w:color w:val="943634"/>
                                <w:sz w:val="16"/>
                                <w:szCs w:val="16"/>
                              </w:rPr>
                              <w:t xml:space="preserve">+221 33 837 80 36 </w:t>
                            </w:r>
                            <w:r>
                              <w:rPr>
                                <w:b/>
                                <w:color w:val="943634"/>
                                <w:sz w:val="16"/>
                                <w:szCs w:val="16"/>
                              </w:rPr>
                              <w:t xml:space="preserve"> /  </w:t>
                            </w:r>
                            <w:r w:rsidRPr="000A01BA">
                              <w:rPr>
                                <w:b/>
                                <w:color w:val="943634"/>
                                <w:sz w:val="16"/>
                                <w:szCs w:val="16"/>
                              </w:rPr>
                              <w:t xml:space="preserve"> 77 648 9533</w:t>
                            </w:r>
                          </w:p>
                          <w:p w:rsidR="00293642" w:rsidRDefault="00293642" w:rsidP="00A45EEC">
                            <w:pPr>
                              <w:jc w:val="center"/>
                              <w:rPr>
                                <w:b/>
                                <w:sz w:val="16"/>
                                <w:szCs w:val="16"/>
                              </w:rPr>
                            </w:pPr>
                            <w:r w:rsidRPr="000A01BA">
                              <w:rPr>
                                <w:b/>
                                <w:color w:val="943634"/>
                                <w:sz w:val="16"/>
                                <w:szCs w:val="16"/>
                              </w:rPr>
                              <w:t xml:space="preserve">Email : </w:t>
                            </w:r>
                            <w:hyperlink r:id="rId15" w:history="1">
                              <w:r w:rsidRPr="001E6215">
                                <w:rPr>
                                  <w:b/>
                                  <w:sz w:val="16"/>
                                  <w:szCs w:val="16"/>
                                </w:rPr>
                                <w:t>ecienvironnement@gmail.com</w:t>
                              </w:r>
                            </w:hyperlink>
                          </w:p>
                          <w:p w:rsidR="00293642" w:rsidRPr="000A01BA" w:rsidRDefault="004E1203" w:rsidP="00A45EEC">
                            <w:pPr>
                              <w:jc w:val="center"/>
                              <w:rPr>
                                <w:b/>
                                <w:color w:val="943634"/>
                                <w:sz w:val="16"/>
                                <w:szCs w:val="16"/>
                              </w:rPr>
                            </w:pPr>
                            <w:hyperlink r:id="rId16" w:history="1">
                              <w:r w:rsidR="00293642" w:rsidRPr="00E26149">
                                <w:rPr>
                                  <w:rStyle w:val="TextodebaloCarcter"/>
                                  <w:rFonts w:eastAsiaTheme="minorHAnsi"/>
                                  <w:sz w:val="16"/>
                                  <w:szCs w:val="16"/>
                                </w:rPr>
                                <w:t>beroubaguisse@yahoo.fr</w:t>
                              </w:r>
                            </w:hyperlink>
                          </w:p>
                          <w:p w:rsidR="00293642" w:rsidRPr="000A01BA" w:rsidRDefault="00293642" w:rsidP="00A45EEC">
                            <w:pPr>
                              <w:jc w:val="center"/>
                              <w:rPr>
                                <w:b/>
                                <w:color w:val="943634"/>
                                <w:sz w:val="16"/>
                                <w:szCs w:val="16"/>
                              </w:rPr>
                            </w:pPr>
                          </w:p>
                          <w:p w:rsidR="00293642" w:rsidRDefault="00293642" w:rsidP="00A45EEC">
                            <w:pPr>
                              <w:jc w:val="center"/>
                              <w:rPr>
                                <w:b/>
                                <w:color w:val="943634"/>
                              </w:rPr>
                            </w:pPr>
                          </w:p>
                          <w:p w:rsidR="00293642" w:rsidRPr="00EA6A4C" w:rsidRDefault="00293642" w:rsidP="00A45EEC">
                            <w:pPr>
                              <w:rPr>
                                <w:b/>
                                <w:color w:val="9436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265E26" id="Rectangle à coins arrondis 269" o:spid="_x0000_s1033" style="position:absolute;margin-left:292.7pt;margin-top:7.25pt;width:177.7pt;height:51.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" fillcolor="white [3201]" strokecolor="#5b9bd5 [3204]" strokeweight="1pt">
                <v:stroke joinstyle="miter"/>
                <v:textbox>
                  <w:txbxContent>
                    <w:p w14:paraId="6C316231" w14:textId="77777777" w:rsidR="00293642" w:rsidRPr="000A01BA" w:rsidRDefault="00293642" w:rsidP="00A45EEC">
                      <w:pPr>
                        <w:jc w:val="center"/>
                        <w:rPr>
                          <w:b/>
                          <w:color w:val="943634"/>
                          <w:sz w:val="16"/>
                          <w:szCs w:val="16"/>
                        </w:rPr>
                      </w:pPr>
                      <w:r w:rsidRPr="000A01BA">
                        <w:rPr>
                          <w:b/>
                          <w:color w:val="943634"/>
                          <w:sz w:val="16"/>
                          <w:szCs w:val="16"/>
                        </w:rPr>
                        <w:t>Villa N° 190, La Linguère – Keur</w:t>
                      </w:r>
                      <w:r>
                        <w:rPr>
                          <w:b/>
                          <w:color w:val="943634"/>
                          <w:sz w:val="16"/>
                          <w:szCs w:val="16"/>
                        </w:rPr>
                        <w:t xml:space="preserve"> </w:t>
                      </w:r>
                      <w:r w:rsidRPr="000A01BA">
                        <w:rPr>
                          <w:b/>
                          <w:color w:val="943634"/>
                          <w:sz w:val="16"/>
                          <w:szCs w:val="16"/>
                        </w:rPr>
                        <w:t>Massar</w:t>
                      </w:r>
                    </w:p>
                    <w:p w14:paraId="3D90CFFC" w14:textId="77777777" w:rsidR="00293642" w:rsidRDefault="00293642" w:rsidP="00A45EEC">
                      <w:pPr>
                        <w:jc w:val="center"/>
                        <w:rPr>
                          <w:b/>
                          <w:color w:val="943634"/>
                          <w:sz w:val="16"/>
                          <w:szCs w:val="16"/>
                        </w:rPr>
                      </w:pPr>
                      <w:r w:rsidRPr="000A01BA">
                        <w:rPr>
                          <w:b/>
                          <w:color w:val="943634"/>
                          <w:sz w:val="16"/>
                          <w:szCs w:val="16"/>
                        </w:rPr>
                        <w:t>Tél. :</w:t>
                      </w:r>
                      <w:r w:rsidRPr="00C9614C">
                        <w:rPr>
                          <w:b/>
                          <w:color w:val="943634"/>
                          <w:sz w:val="16"/>
                          <w:szCs w:val="16"/>
                        </w:rPr>
                        <w:t xml:space="preserve">+221 33 837 80 36 </w:t>
                      </w:r>
                      <w:r>
                        <w:rPr>
                          <w:b/>
                          <w:color w:val="943634"/>
                          <w:sz w:val="16"/>
                          <w:szCs w:val="16"/>
                        </w:rPr>
                        <w:t xml:space="preserve"> /  </w:t>
                      </w:r>
                      <w:r w:rsidRPr="000A01BA">
                        <w:rPr>
                          <w:b/>
                          <w:color w:val="943634"/>
                          <w:sz w:val="16"/>
                          <w:szCs w:val="16"/>
                        </w:rPr>
                        <w:t xml:space="preserve"> 77 648 9533</w:t>
                      </w:r>
                    </w:p>
                    <w:p w14:paraId="7787DCD2" w14:textId="77777777" w:rsidR="00293642" w:rsidRDefault="00293642" w:rsidP="00A45EEC">
                      <w:pPr>
                        <w:jc w:val="center"/>
                        <w:rPr>
                          <w:b/>
                          <w:sz w:val="16"/>
                          <w:szCs w:val="16"/>
                        </w:rPr>
                      </w:pPr>
                      <w:r w:rsidRPr="000A01BA">
                        <w:rPr>
                          <w:b/>
                          <w:color w:val="943634"/>
                          <w:sz w:val="16"/>
                          <w:szCs w:val="16"/>
                        </w:rPr>
                        <w:t xml:space="preserve">Email : </w:t>
                      </w:r>
                      <w:hyperlink r:id="rId17" w:history="1">
                        <w:r w:rsidRPr="001E6215">
                          <w:rPr>
                            <w:b/>
                            <w:sz w:val="16"/>
                            <w:szCs w:val="16"/>
                          </w:rPr>
                          <w:t>ecienvironnement@gmail.com</w:t>
                        </w:r>
                      </w:hyperlink>
                    </w:p>
                    <w:p w14:paraId="322F622B" w14:textId="77777777" w:rsidR="00293642" w:rsidRPr="000A01BA" w:rsidRDefault="00291AE0" w:rsidP="00A45EEC">
                      <w:pPr>
                        <w:jc w:val="center"/>
                        <w:rPr>
                          <w:b/>
                          <w:color w:val="943634"/>
                          <w:sz w:val="16"/>
                          <w:szCs w:val="16"/>
                        </w:rPr>
                      </w:pPr>
                      <w:hyperlink r:id="rId18" w:history="1">
                        <w:r w:rsidR="00293642" w:rsidRPr="00E26149">
                          <w:rPr>
                            <w:rStyle w:val="BalloonTextChar"/>
                            <w:rFonts w:eastAsiaTheme="minorHAnsi"/>
                            <w:sz w:val="16"/>
                            <w:szCs w:val="16"/>
                          </w:rPr>
                          <w:t>beroubaguisse@yahoo.fr</w:t>
                        </w:r>
                      </w:hyperlink>
                    </w:p>
                    <w:p w14:paraId="5ED5EB74" w14:textId="77777777" w:rsidR="00293642" w:rsidRPr="000A01BA" w:rsidRDefault="00293642" w:rsidP="00A45EEC">
                      <w:pPr>
                        <w:jc w:val="center"/>
                        <w:rPr>
                          <w:b/>
                          <w:color w:val="943634"/>
                          <w:sz w:val="16"/>
                          <w:szCs w:val="16"/>
                        </w:rPr>
                      </w:pPr>
                    </w:p>
                    <w:p w14:paraId="4FB6A731" w14:textId="77777777" w:rsidR="00293642" w:rsidRDefault="00293642" w:rsidP="00A45EEC">
                      <w:pPr>
                        <w:jc w:val="center"/>
                        <w:rPr>
                          <w:b/>
                          <w:color w:val="943634"/>
                        </w:rPr>
                      </w:pPr>
                    </w:p>
                    <w:p w14:paraId="2D38EBC7" w14:textId="77777777" w:rsidR="00293642" w:rsidRPr="00EA6A4C" w:rsidRDefault="00293642" w:rsidP="00A45EEC">
                      <w:pPr>
                        <w:rPr>
                          <w:b/>
                          <w:color w:val="943634"/>
                        </w:rPr>
                      </w:pPr>
                    </w:p>
                  </w:txbxContent>
                </v:textbox>
                <w10:wrap anchorx="margin"/>
              </v:roundrect>
            </w:pict>
          </mc:Fallback>
        </mc:AlternateContent>
      </w:r>
    </w:p>
    <w:p w:rsidR="00A45EEC" w:rsidRPr="00A05698" w:rsidRDefault="00A45EEC" w:rsidP="004F4212"/>
    <w:p w:rsidR="00A45EEC" w:rsidRPr="00A05698" w:rsidRDefault="00A45EEC" w:rsidP="004F4212"/>
    <w:p w:rsidR="00A45EEC" w:rsidRPr="00A05698" w:rsidRDefault="00A45EEC" w:rsidP="004F4212"/>
    <w:p w:rsidR="00A45EEC" w:rsidRPr="00A05698" w:rsidRDefault="00A45EEC" w:rsidP="004F4212"/>
    <w:p w:rsidR="00A45EEC" w:rsidRPr="00A05698" w:rsidRDefault="00A45EEC" w:rsidP="004F4212"/>
    <w:p w:rsidR="00A45EEC" w:rsidRPr="00A05698" w:rsidRDefault="00A45EEC" w:rsidP="004F4212"/>
    <w:p w:rsidR="00A45EEC" w:rsidRPr="00A05698" w:rsidRDefault="0013677C" w:rsidP="004F4212">
      <w:r w:rsidRPr="00A05698">
        <w:rPr>
          <w:noProof/>
          <w:lang w:val="pt-PT" w:eastAsia="pt-PT"/>
        </w:rPr>
        <mc:AlternateContent>
          <mc:Choice Requires="wps">
            <w:drawing>
              <wp:anchor distT="0" distB="0" distL="114300" distR="114300" simplePos="0" relativeHeight="251658260" behindDoc="0" locked="0" layoutInCell="1" allowOverlap="1" wp14:anchorId="03B8D9B5" wp14:editId="214E1FDC">
                <wp:simplePos x="0" y="0"/>
                <wp:positionH relativeFrom="column">
                  <wp:posOffset>3444875</wp:posOffset>
                </wp:positionH>
                <wp:positionV relativeFrom="paragraph">
                  <wp:posOffset>74930</wp:posOffset>
                </wp:positionV>
                <wp:extent cx="2676525" cy="504825"/>
                <wp:effectExtent l="0" t="0" r="15875" b="28575"/>
                <wp:wrapThrough wrapText="bothSides">
                  <wp:wrapPolygon edited="0">
                    <wp:start x="1640" y="0"/>
                    <wp:lineTo x="0" y="4347"/>
                    <wp:lineTo x="0" y="17389"/>
                    <wp:lineTo x="1435" y="21736"/>
                    <wp:lineTo x="1640" y="21736"/>
                    <wp:lineTo x="19883" y="21736"/>
                    <wp:lineTo x="20088" y="21736"/>
                    <wp:lineTo x="21523" y="17389"/>
                    <wp:lineTo x="21523" y="4347"/>
                    <wp:lineTo x="19883" y="0"/>
                    <wp:lineTo x="1640" y="0"/>
                  </wp:wrapPolygon>
                </wp:wrapThrough>
                <wp:docPr id="18" name="Terminaison 18"/>
                <wp:cNvGraphicFramePr/>
                <a:graphic xmlns:a="http://schemas.openxmlformats.org/drawingml/2006/main">
                  <a:graphicData uri="http://schemas.microsoft.com/office/word/2010/wordprocessingShape">
                    <wps:wsp>
                      <wps:cNvSpPr/>
                      <wps:spPr>
                        <a:xfrm>
                          <a:off x="0" y="0"/>
                          <a:ext cx="2676525" cy="50482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293642" w:rsidRPr="009C178F" w:rsidRDefault="00293642" w:rsidP="006C4554">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JUIN 2021</w:t>
                            </w:r>
                          </w:p>
                          <w:p w:rsidR="00293642" w:rsidRDefault="00293642" w:rsidP="006C45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8D9B5" id="Terminaison 18" o:spid="_x0000_s1034" type="#_x0000_t116" style="position:absolute;margin-left:271.25pt;margin-top:5.9pt;width:210.75pt;height:39.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" fillcolor="white [3201]" strokecolor="#5b9bd5 [3204]" strokeweight="1pt">
                <v:textbox>
                  <w:txbxContent>
                    <w:p w14:paraId="284A6B8E" w14:textId="77777777" w:rsidR="00293642" w:rsidRPr="009C178F" w:rsidRDefault="00293642" w:rsidP="006C4554">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JUIN 2021</w:t>
                      </w:r>
                    </w:p>
                    <w:p w14:paraId="4A0CF3D6" w14:textId="77777777" w:rsidR="00293642" w:rsidRDefault="00293642" w:rsidP="006C4554">
                      <w:pPr>
                        <w:jc w:val="center"/>
                      </w:pPr>
                    </w:p>
                  </w:txbxContent>
                </v:textbox>
                <w10:wrap type="through"/>
              </v:shape>
            </w:pict>
          </mc:Fallback>
        </mc:AlternateContent>
      </w:r>
    </w:p>
    <w:p w:rsidR="00A45EEC" w:rsidRPr="00A05698" w:rsidRDefault="00A45EEC" w:rsidP="004F4212"/>
    <w:p w:rsidR="00C11961" w:rsidRPr="00A05698" w:rsidRDefault="00C11961" w:rsidP="002E3B6C">
      <w:pPr>
        <w:jc w:val="center"/>
      </w:pPr>
    </w:p>
    <w:p w:rsidR="00A45EEC" w:rsidRPr="00A05698" w:rsidRDefault="00A45EEC" w:rsidP="00251D71">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53716477"/>
      <w:bookmarkStart w:id="2" w:name="_Toc62919080"/>
      <w:bookmarkStart w:id="3" w:name="_Toc62927739"/>
      <w:bookmarkStart w:id="4" w:name="_Toc75432207"/>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TABLE DES MATIERES</w:t>
      </w:r>
      <w:bookmarkEnd w:id="1"/>
      <w:bookmarkEnd w:id="2"/>
      <w:bookmarkEnd w:id="3"/>
      <w:bookmarkEnd w:id="4"/>
    </w:p>
    <w:p w:rsidR="007056AF" w:rsidRPr="00A05698" w:rsidRDefault="007056AF" w:rsidP="007056AF"/>
    <w:p w:rsidR="00802847" w:rsidRPr="00953DD7" w:rsidRDefault="003C6DA9">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r w:rsidRPr="00953DD7">
        <w:rPr>
          <w:sz w:val="21"/>
          <w:szCs w:val="21"/>
          <w14:shadow w14:blurRad="38100" w14:dist="25400" w14:dir="5400000" w14:sx="100000" w14:sy="100000" w14:kx="0" w14:ky="0" w14:algn="ctr">
            <w14:srgbClr w14:val="6E747A">
              <w14:alpha w14:val="57000"/>
            </w14:srgbClr>
          </w14:shadow>
        </w:rPr>
        <w:fldChar w:fldCharType="begin"/>
      </w:r>
      <w:r w:rsidRPr="00953DD7">
        <w:rPr>
          <w:sz w:val="21"/>
          <w:szCs w:val="21"/>
        </w:rPr>
        <w:instrText xml:space="preserve"> </w:instrText>
      </w:r>
      <w:r w:rsidR="006C5620" w:rsidRPr="00953DD7">
        <w:rPr>
          <w:sz w:val="21"/>
          <w:szCs w:val="21"/>
        </w:rPr>
        <w:instrText>TOC</w:instrText>
      </w:r>
      <w:r w:rsidRPr="00953DD7">
        <w:rPr>
          <w:sz w:val="21"/>
          <w:szCs w:val="21"/>
        </w:rPr>
        <w:instrText xml:space="preserve"> \o "1-2" \h \z \u </w:instrText>
      </w:r>
      <w:r w:rsidRPr="00953DD7">
        <w:rPr>
          <w:sz w:val="21"/>
          <w:szCs w:val="21"/>
          <w14:shadow w14:blurRad="38100" w14:dist="25400" w14:dir="5400000" w14:sx="100000" w14:sy="100000" w14:kx="0" w14:ky="0" w14:algn="ctr">
            <w14:srgbClr w14:val="6E747A">
              <w14:alpha w14:val="57000"/>
            </w14:srgbClr>
          </w14:shadow>
        </w:rPr>
        <w:fldChar w:fldCharType="separate"/>
      </w:r>
      <w:hyperlink w:anchor="_Toc75432207"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TABLE DES MATIERES</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_Toc75432207 \h </w:instrText>
        </w:r>
        <w:r w:rsidR="00802847" w:rsidRPr="00953DD7">
          <w:rPr>
            <w:webHidden/>
            <w:sz w:val="21"/>
            <w:szCs w:val="21"/>
          </w:rPr>
        </w:r>
        <w:r w:rsidR="00802847" w:rsidRPr="00953DD7">
          <w:rPr>
            <w:webHidden/>
            <w:sz w:val="21"/>
            <w:szCs w:val="21"/>
          </w:rPr>
          <w:fldChar w:fldCharType="separate"/>
        </w:r>
        <w:r w:rsidR="0073711A">
          <w:rPr>
            <w:webHidden/>
            <w:sz w:val="21"/>
            <w:szCs w:val="21"/>
          </w:rPr>
          <w:t>2</w:t>
        </w:r>
        <w:r w:rsidR="00802847" w:rsidRPr="00953DD7">
          <w:rPr>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08"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LISTE DES TABLEAUX</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_Toc75432208 \h </w:instrText>
        </w:r>
        <w:r w:rsidR="00802847" w:rsidRPr="00953DD7">
          <w:rPr>
            <w:webHidden/>
            <w:sz w:val="21"/>
            <w:szCs w:val="21"/>
          </w:rPr>
        </w:r>
        <w:r w:rsidR="00802847" w:rsidRPr="00953DD7">
          <w:rPr>
            <w:webHidden/>
            <w:sz w:val="21"/>
            <w:szCs w:val="21"/>
          </w:rPr>
          <w:fldChar w:fldCharType="separate"/>
        </w:r>
        <w:r w:rsidR="0073711A">
          <w:rPr>
            <w:webHidden/>
            <w:sz w:val="21"/>
            <w:szCs w:val="21"/>
          </w:rPr>
          <w:t>4</w:t>
        </w:r>
        <w:r w:rsidR="00802847" w:rsidRPr="00953DD7">
          <w:rPr>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09"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LISTE DES FIGURES</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_Toc75432209 \h </w:instrText>
        </w:r>
        <w:r w:rsidR="00802847" w:rsidRPr="00953DD7">
          <w:rPr>
            <w:webHidden/>
            <w:sz w:val="21"/>
            <w:szCs w:val="21"/>
          </w:rPr>
        </w:r>
        <w:r w:rsidR="00802847" w:rsidRPr="00953DD7">
          <w:rPr>
            <w:webHidden/>
            <w:sz w:val="21"/>
            <w:szCs w:val="21"/>
          </w:rPr>
          <w:fldChar w:fldCharType="separate"/>
        </w:r>
        <w:r w:rsidR="0073711A">
          <w:rPr>
            <w:webHidden/>
            <w:sz w:val="21"/>
            <w:szCs w:val="21"/>
          </w:rPr>
          <w:t>4</w:t>
        </w:r>
        <w:r w:rsidR="00802847" w:rsidRPr="00953DD7">
          <w:rPr>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10"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LISTE DES DIAGRAMME</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_Toc75432210 \h </w:instrText>
        </w:r>
        <w:r w:rsidR="00802847" w:rsidRPr="00953DD7">
          <w:rPr>
            <w:webHidden/>
            <w:sz w:val="21"/>
            <w:szCs w:val="21"/>
          </w:rPr>
        </w:r>
        <w:r w:rsidR="00802847" w:rsidRPr="00953DD7">
          <w:rPr>
            <w:webHidden/>
            <w:sz w:val="21"/>
            <w:szCs w:val="21"/>
          </w:rPr>
          <w:fldChar w:fldCharType="separate"/>
        </w:r>
        <w:r w:rsidR="0073711A">
          <w:rPr>
            <w:webHidden/>
            <w:sz w:val="21"/>
            <w:szCs w:val="21"/>
          </w:rPr>
          <w:t>4</w:t>
        </w:r>
        <w:r w:rsidR="00802847" w:rsidRPr="00953DD7">
          <w:rPr>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11"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LISTE DES SIGLES ET ABREVIATIONS</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_Toc75432211 \h </w:instrText>
        </w:r>
        <w:r w:rsidR="00802847" w:rsidRPr="00953DD7">
          <w:rPr>
            <w:webHidden/>
            <w:sz w:val="21"/>
            <w:szCs w:val="21"/>
          </w:rPr>
        </w:r>
        <w:r w:rsidR="00802847" w:rsidRPr="00953DD7">
          <w:rPr>
            <w:webHidden/>
            <w:sz w:val="21"/>
            <w:szCs w:val="21"/>
          </w:rPr>
          <w:fldChar w:fldCharType="separate"/>
        </w:r>
        <w:r w:rsidR="0073711A">
          <w:rPr>
            <w:webHidden/>
            <w:sz w:val="21"/>
            <w:szCs w:val="21"/>
          </w:rPr>
          <w:t>5</w:t>
        </w:r>
        <w:r w:rsidR="00802847" w:rsidRPr="00953DD7">
          <w:rPr>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12"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RESUME NON TECHNIQUE</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_Toc75432212 \h </w:instrText>
        </w:r>
        <w:r w:rsidR="00802847" w:rsidRPr="00953DD7">
          <w:rPr>
            <w:webHidden/>
            <w:sz w:val="21"/>
            <w:szCs w:val="21"/>
          </w:rPr>
        </w:r>
        <w:r w:rsidR="00802847" w:rsidRPr="00953DD7">
          <w:rPr>
            <w:webHidden/>
            <w:sz w:val="21"/>
            <w:szCs w:val="21"/>
          </w:rPr>
          <w:fldChar w:fldCharType="separate"/>
        </w:r>
        <w:r w:rsidR="0073711A">
          <w:rPr>
            <w:webHidden/>
            <w:sz w:val="21"/>
            <w:szCs w:val="21"/>
          </w:rPr>
          <w:t>7</w:t>
        </w:r>
        <w:r w:rsidR="00802847" w:rsidRPr="00953DD7">
          <w:rPr>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52"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1.</w:t>
        </w:r>
        <w:r w:rsidR="00802847" w:rsidRPr="00953DD7">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INTRODUCTION</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_Toc75432252 \h </w:instrText>
        </w:r>
        <w:r w:rsidR="00802847" w:rsidRPr="00953DD7">
          <w:rPr>
            <w:webHidden/>
            <w:sz w:val="21"/>
            <w:szCs w:val="21"/>
          </w:rPr>
        </w:r>
        <w:r w:rsidR="00802847" w:rsidRPr="00953DD7">
          <w:rPr>
            <w:webHidden/>
            <w:sz w:val="21"/>
            <w:szCs w:val="21"/>
          </w:rPr>
          <w:fldChar w:fldCharType="separate"/>
        </w:r>
        <w:r w:rsidR="0073711A">
          <w:rPr>
            <w:webHidden/>
            <w:sz w:val="21"/>
            <w:szCs w:val="21"/>
          </w:rPr>
          <w:t>51</w:t>
        </w:r>
        <w:r w:rsidR="00802847" w:rsidRPr="00953DD7">
          <w:rPr>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53" w:history="1">
        <w:r w:rsidR="00802847" w:rsidRPr="00953DD7">
          <w:rPr>
            <w:rStyle w:val="Hiperligao"/>
            <w:rFonts w:ascii="Times New Roman" w:hAnsi="Times New Roman"/>
            <w:noProof/>
            <w:sz w:val="21"/>
            <w:szCs w:val="21"/>
          </w:rPr>
          <w:t>1.1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CONTEXTE ET JUSTIFICATION DU PROJET</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_Toc75432253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51</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54" w:history="1">
        <w:r w:rsidR="00802847" w:rsidRPr="00953DD7">
          <w:rPr>
            <w:rStyle w:val="Hiperligao"/>
            <w:rFonts w:ascii="Times New Roman" w:hAnsi="Times New Roman"/>
            <w:noProof/>
            <w:sz w:val="21"/>
            <w:szCs w:val="21"/>
          </w:rPr>
          <w:t>1.2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DEFINITION DU CGES</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_Toc75432254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52</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55" w:history="1">
        <w:r w:rsidR="00802847" w:rsidRPr="00953DD7">
          <w:rPr>
            <w:rStyle w:val="Hiperligao"/>
            <w:rFonts w:ascii="Times New Roman" w:hAnsi="Times New Roman"/>
            <w:noProof/>
            <w:sz w:val="21"/>
            <w:szCs w:val="21"/>
          </w:rPr>
          <w:t>1.3</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DÉMARCHE MÉTHODOLOGIQUE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_Toc75432255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52</w:t>
        </w:r>
        <w:r w:rsidR="00802847" w:rsidRPr="00953DD7">
          <w:rPr>
            <w:rFonts w:ascii="Times New Roman" w:hAnsi="Times New Roman"/>
            <w:noProof/>
            <w:webHidden/>
            <w:sz w:val="21"/>
            <w:szCs w:val="21"/>
          </w:rPr>
          <w:fldChar w:fldCharType="end"/>
        </w:r>
      </w:hyperlink>
    </w:p>
    <w:p w:rsidR="00802847" w:rsidRPr="00953DD7" w:rsidRDefault="004E1203" w:rsidP="00802847">
      <w:pPr>
        <w:pStyle w:val="ndice2"/>
        <w:tabs>
          <w:tab w:val="left" w:pos="960"/>
        </w:tabs>
        <w:ind w:left="426"/>
        <w:rPr>
          <w:rFonts w:ascii="Times New Roman" w:eastAsiaTheme="minorEastAsia" w:hAnsi="Times New Roman"/>
          <w:b w:val="0"/>
          <w:bCs w:val="0"/>
          <w:noProof/>
          <w:sz w:val="21"/>
          <w:szCs w:val="21"/>
        </w:rPr>
      </w:pPr>
      <w:hyperlink w:anchor="_Toc75432256" w:history="1">
        <w:r w:rsidR="00802847" w:rsidRPr="00953DD7">
          <w:rPr>
            <w:rStyle w:val="Hiperligao"/>
            <w:rFonts w:ascii="Times New Roman" w:hAnsi="Times New Roman"/>
            <w:b w:val="0"/>
            <w:noProof/>
            <w:sz w:val="21"/>
            <w:szCs w:val="21"/>
          </w:rPr>
          <w:t>1.3.1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La collecte des données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_Toc75432256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52</w:t>
        </w:r>
        <w:r w:rsidR="00802847" w:rsidRPr="00953DD7">
          <w:rPr>
            <w:rFonts w:ascii="Times New Roman" w:hAnsi="Times New Roman"/>
            <w:b w:val="0"/>
            <w:noProof/>
            <w:webHidden/>
            <w:sz w:val="21"/>
            <w:szCs w:val="21"/>
          </w:rPr>
          <w:fldChar w:fldCharType="end"/>
        </w:r>
      </w:hyperlink>
    </w:p>
    <w:p w:rsidR="00802847" w:rsidRPr="00953DD7" w:rsidRDefault="004E1203" w:rsidP="00802847">
      <w:pPr>
        <w:pStyle w:val="ndice2"/>
        <w:tabs>
          <w:tab w:val="left" w:pos="960"/>
        </w:tabs>
        <w:ind w:left="426"/>
        <w:rPr>
          <w:rFonts w:ascii="Times New Roman" w:eastAsiaTheme="minorEastAsia" w:hAnsi="Times New Roman"/>
          <w:b w:val="0"/>
          <w:bCs w:val="0"/>
          <w:noProof/>
          <w:sz w:val="21"/>
          <w:szCs w:val="21"/>
        </w:rPr>
      </w:pPr>
      <w:hyperlink w:anchor="_Toc75432257" w:history="1">
        <w:r w:rsidR="00802847" w:rsidRPr="00953DD7">
          <w:rPr>
            <w:rStyle w:val="Hiperligao"/>
            <w:rFonts w:ascii="Times New Roman" w:hAnsi="Times New Roman"/>
            <w:b w:val="0"/>
            <w:noProof/>
            <w:sz w:val="21"/>
            <w:szCs w:val="21"/>
          </w:rPr>
          <w:t>1.3.2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Le traitement et l’analyse des documents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_Toc75432257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53</w:t>
        </w:r>
        <w:r w:rsidR="00802847" w:rsidRPr="00953DD7">
          <w:rPr>
            <w:rFonts w:ascii="Times New Roman" w:hAnsi="Times New Roman"/>
            <w:b w:val="0"/>
            <w:noProof/>
            <w:webHidden/>
            <w:sz w:val="21"/>
            <w:szCs w:val="21"/>
          </w:rPr>
          <w:fldChar w:fldCharType="end"/>
        </w:r>
      </w:hyperlink>
    </w:p>
    <w:p w:rsidR="00802847" w:rsidRPr="00953DD7" w:rsidRDefault="004E1203" w:rsidP="00802847">
      <w:pPr>
        <w:pStyle w:val="ndice2"/>
        <w:tabs>
          <w:tab w:val="left" w:pos="960"/>
        </w:tabs>
        <w:ind w:left="426"/>
        <w:rPr>
          <w:rFonts w:ascii="Times New Roman" w:eastAsiaTheme="minorEastAsia" w:hAnsi="Times New Roman"/>
          <w:b w:val="0"/>
          <w:bCs w:val="0"/>
          <w:noProof/>
          <w:sz w:val="21"/>
          <w:szCs w:val="21"/>
        </w:rPr>
      </w:pPr>
      <w:hyperlink w:anchor="_Toc75432258" w:history="1">
        <w:r w:rsidR="00802847" w:rsidRPr="00953DD7">
          <w:rPr>
            <w:rStyle w:val="Hiperligao"/>
            <w:rFonts w:ascii="Times New Roman" w:hAnsi="Times New Roman"/>
            <w:b w:val="0"/>
            <w:noProof/>
            <w:sz w:val="21"/>
            <w:szCs w:val="21"/>
          </w:rPr>
          <w:t>1.3.3</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L’investigations et Entretiens avec les principaux acteurs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_Toc75432258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53</w:t>
        </w:r>
        <w:r w:rsidR="00802847" w:rsidRPr="00953DD7">
          <w:rPr>
            <w:rFonts w:ascii="Times New Roman" w:hAnsi="Times New Roman"/>
            <w:b w:val="0"/>
            <w:noProof/>
            <w:webHidden/>
            <w:sz w:val="21"/>
            <w:szCs w:val="21"/>
          </w:rPr>
          <w:fldChar w:fldCharType="end"/>
        </w:r>
      </w:hyperlink>
    </w:p>
    <w:p w:rsidR="00802847" w:rsidRPr="00953DD7" w:rsidRDefault="004E1203" w:rsidP="00802847">
      <w:pPr>
        <w:pStyle w:val="ndice2"/>
        <w:tabs>
          <w:tab w:val="left" w:pos="960"/>
        </w:tabs>
        <w:ind w:left="426"/>
        <w:rPr>
          <w:rFonts w:ascii="Times New Roman" w:eastAsiaTheme="minorEastAsia" w:hAnsi="Times New Roman"/>
          <w:b w:val="0"/>
          <w:bCs w:val="0"/>
          <w:noProof/>
          <w:sz w:val="21"/>
          <w:szCs w:val="21"/>
        </w:rPr>
      </w:pPr>
      <w:hyperlink w:anchor="_Toc75432259" w:history="1">
        <w:r w:rsidR="00802847" w:rsidRPr="00953DD7">
          <w:rPr>
            <w:rStyle w:val="Hiperligao"/>
            <w:rFonts w:ascii="Times New Roman" w:hAnsi="Times New Roman"/>
            <w:b w:val="0"/>
            <w:noProof/>
            <w:sz w:val="21"/>
            <w:szCs w:val="21"/>
          </w:rPr>
          <w:t>1.3.4</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Traitement et rédaction du rapport CGES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_Toc75432259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53</w:t>
        </w:r>
        <w:r w:rsidR="00802847" w:rsidRPr="00953DD7">
          <w:rPr>
            <w:rFonts w:ascii="Times New Roman" w:hAnsi="Times New Roman"/>
            <w:b w:val="0"/>
            <w:noProof/>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60"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2.</w:t>
        </w:r>
        <w:r w:rsidR="00802847" w:rsidRPr="00953DD7">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DESCRIPTION DU PROJET</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_Toc75432260 \h </w:instrText>
        </w:r>
        <w:r w:rsidR="00802847" w:rsidRPr="00953DD7">
          <w:rPr>
            <w:webHidden/>
            <w:sz w:val="21"/>
            <w:szCs w:val="21"/>
          </w:rPr>
        </w:r>
        <w:r w:rsidR="00802847" w:rsidRPr="00953DD7">
          <w:rPr>
            <w:webHidden/>
            <w:sz w:val="21"/>
            <w:szCs w:val="21"/>
          </w:rPr>
          <w:fldChar w:fldCharType="separate"/>
        </w:r>
        <w:r w:rsidR="0073711A">
          <w:rPr>
            <w:webHidden/>
            <w:sz w:val="21"/>
            <w:szCs w:val="21"/>
          </w:rPr>
          <w:t>54</w:t>
        </w:r>
        <w:r w:rsidR="00802847" w:rsidRPr="00953DD7">
          <w:rPr>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61" w:history="1">
        <w:r w:rsidR="00802847" w:rsidRPr="00953DD7">
          <w:rPr>
            <w:rStyle w:val="Hiperligao"/>
            <w:rFonts w:ascii="Times New Roman" w:hAnsi="Times New Roman"/>
            <w:noProof/>
            <w:sz w:val="21"/>
            <w:szCs w:val="21"/>
          </w:rPr>
          <w:t>2.1 PRESENTATION DU PROJET</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_Toc75432261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54</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62" w:history="1">
        <w:r w:rsidR="00802847" w:rsidRPr="00953DD7">
          <w:rPr>
            <w:rStyle w:val="Hiperligao"/>
            <w:rFonts w:ascii="Times New Roman" w:hAnsi="Times New Roman"/>
            <w:noProof/>
            <w:sz w:val="21"/>
            <w:szCs w:val="21"/>
          </w:rPr>
          <w:t>2.2 OBJECTIF DU PROJET PUSA</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_Toc75432262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54</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63" w:history="1">
        <w:r w:rsidR="00802847" w:rsidRPr="00953DD7">
          <w:rPr>
            <w:rStyle w:val="Hiperligao"/>
            <w:rFonts w:ascii="Times New Roman" w:hAnsi="Times New Roman"/>
            <w:noProof/>
            <w:sz w:val="21"/>
            <w:szCs w:val="21"/>
          </w:rPr>
          <w:t>2.3 COMPOSANTES DU PROJET</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_Toc75432263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54</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67" w:history="1">
        <w:r w:rsidR="00802847" w:rsidRPr="00953DD7">
          <w:rPr>
            <w:rStyle w:val="Hiperligao"/>
            <w:rFonts w:ascii="Times New Roman" w:hAnsi="Times New Roman"/>
            <w:noProof/>
            <w:sz w:val="21"/>
            <w:szCs w:val="21"/>
          </w:rPr>
          <w:t>2.4 ZONES D’INTERVENTION DU PROJET PUSA</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_Toc75432267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56</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68" w:history="1">
        <w:r w:rsidR="00802847" w:rsidRPr="00953DD7">
          <w:rPr>
            <w:rStyle w:val="Hiperligao"/>
            <w:rFonts w:ascii="Times New Roman" w:hAnsi="Times New Roman"/>
            <w:noProof/>
            <w:sz w:val="21"/>
            <w:szCs w:val="21"/>
          </w:rPr>
          <w:t>2.5 CIBLAGE DES DIFFERENTS BENEFICIAIRES DU PROJET</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_Toc75432268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57</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69" w:history="1">
        <w:r w:rsidR="00802847" w:rsidRPr="00953DD7">
          <w:rPr>
            <w:rStyle w:val="Hiperligao"/>
            <w:rFonts w:ascii="Times New Roman" w:hAnsi="Times New Roman"/>
            <w:noProof/>
            <w:sz w:val="21"/>
            <w:szCs w:val="21"/>
          </w:rPr>
          <w:t>2.6 SITUATION ALIMENTAIRE ET NUTRITIONNELLE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_Toc75432269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57</w:t>
        </w:r>
        <w:r w:rsidR="00802847" w:rsidRPr="00953DD7">
          <w:rPr>
            <w:rFonts w:ascii="Times New Roman" w:hAnsi="Times New Roman"/>
            <w:noProof/>
            <w:webHidden/>
            <w:sz w:val="21"/>
            <w:szCs w:val="21"/>
          </w:rPr>
          <w:fldChar w:fldCharType="end"/>
        </w:r>
      </w:hyperlink>
    </w:p>
    <w:p w:rsidR="00802847" w:rsidRPr="00953DD7" w:rsidRDefault="004E1203" w:rsidP="00C62222">
      <w:pPr>
        <w:pStyle w:val="ndice2"/>
        <w:tabs>
          <w:tab w:val="left" w:pos="960"/>
        </w:tabs>
        <w:ind w:left="426"/>
        <w:rPr>
          <w:rStyle w:val="Hiperligao"/>
          <w:rFonts w:ascii="Times New Roman" w:hAnsi="Times New Roman"/>
          <w:noProof/>
          <w:sz w:val="21"/>
          <w:szCs w:val="21"/>
        </w:rPr>
      </w:pPr>
      <w:hyperlink w:anchor="_Toc75432270" w:history="1">
        <w:r w:rsidR="00802847" w:rsidRPr="00953DD7">
          <w:rPr>
            <w:rStyle w:val="Hiperligao"/>
            <w:rFonts w:ascii="Times New Roman" w:hAnsi="Times New Roman"/>
            <w:b w:val="0"/>
            <w:noProof/>
            <w:sz w:val="21"/>
            <w:szCs w:val="21"/>
          </w:rPr>
          <w:t>2.6.1. Situation des marchés</w:t>
        </w:r>
        <w:r w:rsidR="00802847" w:rsidRPr="00953DD7">
          <w:rPr>
            <w:rStyle w:val="Hiperligao"/>
            <w:rFonts w:ascii="Times New Roman" w:hAnsi="Times New Roman"/>
            <w:b w:val="0"/>
            <w:noProof/>
            <w:webHidden/>
            <w:sz w:val="21"/>
            <w:szCs w:val="21"/>
          </w:rPr>
          <w:tab/>
        </w:r>
        <w:r w:rsidR="00802847" w:rsidRPr="00953DD7">
          <w:rPr>
            <w:rStyle w:val="Hiperligao"/>
            <w:rFonts w:ascii="Times New Roman" w:hAnsi="Times New Roman"/>
            <w:b w:val="0"/>
            <w:noProof/>
            <w:webHidden/>
            <w:sz w:val="21"/>
            <w:szCs w:val="21"/>
          </w:rPr>
          <w:fldChar w:fldCharType="begin"/>
        </w:r>
        <w:r w:rsidR="00802847" w:rsidRPr="00953DD7">
          <w:rPr>
            <w:rStyle w:val="Hiperligao"/>
            <w:rFonts w:ascii="Times New Roman" w:hAnsi="Times New Roman"/>
            <w:b w:val="0"/>
            <w:noProof/>
            <w:webHidden/>
            <w:sz w:val="21"/>
            <w:szCs w:val="21"/>
          </w:rPr>
          <w:instrText xml:space="preserve"> PAGEREF _Toc75432270 \h </w:instrText>
        </w:r>
        <w:r w:rsidR="00802847" w:rsidRPr="00953DD7">
          <w:rPr>
            <w:rStyle w:val="Hiperligao"/>
            <w:rFonts w:ascii="Times New Roman" w:hAnsi="Times New Roman"/>
            <w:b w:val="0"/>
            <w:noProof/>
            <w:webHidden/>
            <w:sz w:val="21"/>
            <w:szCs w:val="21"/>
          </w:rPr>
        </w:r>
        <w:r w:rsidR="00802847" w:rsidRPr="00953DD7">
          <w:rPr>
            <w:rStyle w:val="Hiperligao"/>
            <w:rFonts w:ascii="Times New Roman" w:hAnsi="Times New Roman"/>
            <w:b w:val="0"/>
            <w:noProof/>
            <w:webHidden/>
            <w:sz w:val="21"/>
            <w:szCs w:val="21"/>
          </w:rPr>
          <w:fldChar w:fldCharType="separate"/>
        </w:r>
        <w:r w:rsidR="0073711A">
          <w:rPr>
            <w:rStyle w:val="Hiperligao"/>
            <w:rFonts w:ascii="Times New Roman" w:hAnsi="Times New Roman"/>
            <w:b w:val="0"/>
            <w:noProof/>
            <w:webHidden/>
            <w:sz w:val="21"/>
            <w:szCs w:val="21"/>
          </w:rPr>
          <w:t>57</w:t>
        </w:r>
        <w:r w:rsidR="00802847" w:rsidRPr="00953DD7">
          <w:rPr>
            <w:rStyle w:val="Hiperligao"/>
            <w:rFonts w:ascii="Times New Roman" w:hAnsi="Times New Roman"/>
            <w:b w:val="0"/>
            <w:noProof/>
            <w:webHidden/>
            <w:sz w:val="21"/>
            <w:szCs w:val="21"/>
          </w:rPr>
          <w:fldChar w:fldCharType="end"/>
        </w:r>
      </w:hyperlink>
    </w:p>
    <w:p w:rsidR="00802847" w:rsidRPr="00953DD7" w:rsidRDefault="004E1203" w:rsidP="00C62222">
      <w:pPr>
        <w:pStyle w:val="ndice2"/>
        <w:tabs>
          <w:tab w:val="left" w:pos="960"/>
        </w:tabs>
        <w:ind w:left="426"/>
        <w:rPr>
          <w:rStyle w:val="Hiperligao"/>
          <w:rFonts w:ascii="Times New Roman" w:hAnsi="Times New Roman"/>
          <w:noProof/>
          <w:sz w:val="21"/>
          <w:szCs w:val="21"/>
        </w:rPr>
      </w:pPr>
      <w:hyperlink w:anchor="_Toc75432271" w:history="1">
        <w:r w:rsidR="00802847" w:rsidRPr="00953DD7">
          <w:rPr>
            <w:rStyle w:val="Hiperligao"/>
            <w:rFonts w:ascii="Times New Roman" w:hAnsi="Times New Roman"/>
            <w:b w:val="0"/>
            <w:noProof/>
            <w:sz w:val="21"/>
            <w:szCs w:val="21"/>
          </w:rPr>
          <w:t>2.6.2 Analyse de la Situation nutritionnelle</w:t>
        </w:r>
        <w:r w:rsidR="00802847" w:rsidRPr="00953DD7">
          <w:rPr>
            <w:rStyle w:val="Hiperligao"/>
            <w:rFonts w:ascii="Times New Roman" w:hAnsi="Times New Roman"/>
            <w:b w:val="0"/>
            <w:noProof/>
            <w:webHidden/>
            <w:sz w:val="21"/>
            <w:szCs w:val="21"/>
          </w:rPr>
          <w:tab/>
        </w:r>
        <w:r w:rsidR="00802847" w:rsidRPr="00953DD7">
          <w:rPr>
            <w:rStyle w:val="Hiperligao"/>
            <w:rFonts w:ascii="Times New Roman" w:hAnsi="Times New Roman"/>
            <w:b w:val="0"/>
            <w:noProof/>
            <w:webHidden/>
            <w:sz w:val="21"/>
            <w:szCs w:val="21"/>
          </w:rPr>
          <w:fldChar w:fldCharType="begin"/>
        </w:r>
        <w:r w:rsidR="00802847" w:rsidRPr="00953DD7">
          <w:rPr>
            <w:rStyle w:val="Hiperligao"/>
            <w:rFonts w:ascii="Times New Roman" w:hAnsi="Times New Roman"/>
            <w:b w:val="0"/>
            <w:noProof/>
            <w:webHidden/>
            <w:sz w:val="21"/>
            <w:szCs w:val="21"/>
          </w:rPr>
          <w:instrText xml:space="preserve"> PAGEREF _Toc75432271 \h </w:instrText>
        </w:r>
        <w:r w:rsidR="00802847" w:rsidRPr="00953DD7">
          <w:rPr>
            <w:rStyle w:val="Hiperligao"/>
            <w:rFonts w:ascii="Times New Roman" w:hAnsi="Times New Roman"/>
            <w:b w:val="0"/>
            <w:noProof/>
            <w:webHidden/>
            <w:sz w:val="21"/>
            <w:szCs w:val="21"/>
          </w:rPr>
        </w:r>
        <w:r w:rsidR="00802847" w:rsidRPr="00953DD7">
          <w:rPr>
            <w:rStyle w:val="Hiperligao"/>
            <w:rFonts w:ascii="Times New Roman" w:hAnsi="Times New Roman"/>
            <w:b w:val="0"/>
            <w:noProof/>
            <w:webHidden/>
            <w:sz w:val="21"/>
            <w:szCs w:val="21"/>
          </w:rPr>
          <w:fldChar w:fldCharType="separate"/>
        </w:r>
        <w:r w:rsidR="0073711A">
          <w:rPr>
            <w:rStyle w:val="Hiperligao"/>
            <w:rFonts w:ascii="Times New Roman" w:hAnsi="Times New Roman"/>
            <w:b w:val="0"/>
            <w:noProof/>
            <w:webHidden/>
            <w:sz w:val="21"/>
            <w:szCs w:val="21"/>
          </w:rPr>
          <w:t>58</w:t>
        </w:r>
        <w:r w:rsidR="00802847" w:rsidRPr="00953DD7">
          <w:rPr>
            <w:rStyle w:val="Hiperligao"/>
            <w:rFonts w:ascii="Times New Roman" w:hAnsi="Times New Roman"/>
            <w:b w:val="0"/>
            <w:noProof/>
            <w:webHidden/>
            <w:sz w:val="21"/>
            <w:szCs w:val="21"/>
          </w:rPr>
          <w:fldChar w:fldCharType="end"/>
        </w:r>
      </w:hyperlink>
    </w:p>
    <w:p w:rsidR="00802847" w:rsidRPr="00953DD7" w:rsidRDefault="004E1203" w:rsidP="00C62222">
      <w:pPr>
        <w:pStyle w:val="ndice2"/>
        <w:tabs>
          <w:tab w:val="left" w:pos="960"/>
        </w:tabs>
        <w:ind w:left="426"/>
        <w:rPr>
          <w:rStyle w:val="Hiperligao"/>
          <w:rFonts w:ascii="Times New Roman" w:hAnsi="Times New Roman"/>
          <w:noProof/>
          <w:sz w:val="21"/>
          <w:szCs w:val="21"/>
        </w:rPr>
      </w:pPr>
      <w:hyperlink w:anchor="_Toc75432274" w:history="1">
        <w:r w:rsidR="00802847" w:rsidRPr="00953DD7">
          <w:rPr>
            <w:rStyle w:val="Hiperligao"/>
            <w:rFonts w:ascii="Times New Roman" w:hAnsi="Times New Roman"/>
            <w:b w:val="0"/>
            <w:noProof/>
            <w:sz w:val="21"/>
            <w:szCs w:val="21"/>
          </w:rPr>
          <w:t>2.6.3 Evaluation de l’insécurité alimentaire (cadre harmonisé)</w:t>
        </w:r>
        <w:r w:rsidR="00802847" w:rsidRPr="00953DD7">
          <w:rPr>
            <w:rStyle w:val="Hiperligao"/>
            <w:rFonts w:ascii="Times New Roman" w:hAnsi="Times New Roman"/>
            <w:b w:val="0"/>
            <w:noProof/>
            <w:webHidden/>
            <w:sz w:val="21"/>
            <w:szCs w:val="21"/>
          </w:rPr>
          <w:tab/>
        </w:r>
        <w:r w:rsidR="00802847" w:rsidRPr="00953DD7">
          <w:rPr>
            <w:rStyle w:val="Hiperligao"/>
            <w:rFonts w:ascii="Times New Roman" w:hAnsi="Times New Roman"/>
            <w:b w:val="0"/>
            <w:noProof/>
            <w:webHidden/>
            <w:sz w:val="21"/>
            <w:szCs w:val="21"/>
          </w:rPr>
          <w:fldChar w:fldCharType="begin"/>
        </w:r>
        <w:r w:rsidR="00802847" w:rsidRPr="00953DD7">
          <w:rPr>
            <w:rStyle w:val="Hiperligao"/>
            <w:rFonts w:ascii="Times New Roman" w:hAnsi="Times New Roman"/>
            <w:b w:val="0"/>
            <w:noProof/>
            <w:webHidden/>
            <w:sz w:val="21"/>
            <w:szCs w:val="21"/>
          </w:rPr>
          <w:instrText xml:space="preserve"> PAGEREF _Toc75432274 \h </w:instrText>
        </w:r>
        <w:r w:rsidR="00802847" w:rsidRPr="00953DD7">
          <w:rPr>
            <w:rStyle w:val="Hiperligao"/>
            <w:rFonts w:ascii="Times New Roman" w:hAnsi="Times New Roman"/>
            <w:b w:val="0"/>
            <w:noProof/>
            <w:webHidden/>
            <w:sz w:val="21"/>
            <w:szCs w:val="21"/>
          </w:rPr>
        </w:r>
        <w:r w:rsidR="00802847" w:rsidRPr="00953DD7">
          <w:rPr>
            <w:rStyle w:val="Hiperligao"/>
            <w:rFonts w:ascii="Times New Roman" w:hAnsi="Times New Roman"/>
            <w:b w:val="0"/>
            <w:noProof/>
            <w:webHidden/>
            <w:sz w:val="21"/>
            <w:szCs w:val="21"/>
          </w:rPr>
          <w:fldChar w:fldCharType="separate"/>
        </w:r>
        <w:r w:rsidR="0073711A">
          <w:rPr>
            <w:rStyle w:val="Hiperligao"/>
            <w:rFonts w:ascii="Times New Roman" w:hAnsi="Times New Roman"/>
            <w:b w:val="0"/>
            <w:noProof/>
            <w:webHidden/>
            <w:sz w:val="21"/>
            <w:szCs w:val="21"/>
          </w:rPr>
          <w:t>59</w:t>
        </w:r>
        <w:r w:rsidR="00802847" w:rsidRPr="00953DD7">
          <w:rPr>
            <w:rStyle w:val="Hiperligao"/>
            <w:rFonts w:ascii="Times New Roman" w:hAnsi="Times New Roman"/>
            <w:b w:val="0"/>
            <w:noProof/>
            <w:webHidden/>
            <w:sz w:val="21"/>
            <w:szCs w:val="21"/>
          </w:rPr>
          <w:fldChar w:fldCharType="end"/>
        </w:r>
      </w:hyperlink>
    </w:p>
    <w:p w:rsidR="00802847" w:rsidRPr="00953DD7" w:rsidRDefault="004E1203" w:rsidP="00C62222">
      <w:pPr>
        <w:pStyle w:val="ndice2"/>
        <w:tabs>
          <w:tab w:val="left" w:pos="960"/>
        </w:tabs>
        <w:ind w:left="709"/>
        <w:rPr>
          <w:rStyle w:val="Hiperligao"/>
          <w:rFonts w:ascii="Times New Roman" w:hAnsi="Times New Roman"/>
          <w:noProof/>
          <w:sz w:val="21"/>
          <w:szCs w:val="21"/>
        </w:rPr>
      </w:pPr>
      <w:hyperlink w:anchor="_Toc75432275" w:history="1">
        <w:r w:rsidR="00802847" w:rsidRPr="00953DD7">
          <w:rPr>
            <w:rStyle w:val="Hiperligao"/>
            <w:rFonts w:ascii="Times New Roman" w:hAnsi="Times New Roman"/>
            <w:b w:val="0"/>
            <w:noProof/>
            <w:sz w:val="21"/>
            <w:szCs w:val="21"/>
          </w:rPr>
          <w:t>2.6.3.1 Rappel de la méthodologie utilisée</w:t>
        </w:r>
        <w:r w:rsidR="00802847" w:rsidRPr="00953DD7">
          <w:rPr>
            <w:rStyle w:val="Hiperligao"/>
            <w:rFonts w:ascii="Times New Roman" w:hAnsi="Times New Roman"/>
            <w:b w:val="0"/>
            <w:noProof/>
            <w:webHidden/>
            <w:sz w:val="21"/>
            <w:szCs w:val="21"/>
          </w:rPr>
          <w:tab/>
        </w:r>
        <w:r w:rsidR="00802847" w:rsidRPr="00953DD7">
          <w:rPr>
            <w:rStyle w:val="Hiperligao"/>
            <w:rFonts w:ascii="Times New Roman" w:hAnsi="Times New Roman"/>
            <w:b w:val="0"/>
            <w:noProof/>
            <w:webHidden/>
            <w:sz w:val="21"/>
            <w:szCs w:val="21"/>
          </w:rPr>
          <w:fldChar w:fldCharType="begin"/>
        </w:r>
        <w:r w:rsidR="00802847" w:rsidRPr="00953DD7">
          <w:rPr>
            <w:rStyle w:val="Hiperligao"/>
            <w:rFonts w:ascii="Times New Roman" w:hAnsi="Times New Roman"/>
            <w:b w:val="0"/>
            <w:noProof/>
            <w:webHidden/>
            <w:sz w:val="21"/>
            <w:szCs w:val="21"/>
          </w:rPr>
          <w:instrText xml:space="preserve"> PAGEREF _Toc75432275 \h </w:instrText>
        </w:r>
        <w:r w:rsidR="00802847" w:rsidRPr="00953DD7">
          <w:rPr>
            <w:rStyle w:val="Hiperligao"/>
            <w:rFonts w:ascii="Times New Roman" w:hAnsi="Times New Roman"/>
            <w:b w:val="0"/>
            <w:noProof/>
            <w:webHidden/>
            <w:sz w:val="21"/>
            <w:szCs w:val="21"/>
          </w:rPr>
        </w:r>
        <w:r w:rsidR="00802847" w:rsidRPr="00953DD7">
          <w:rPr>
            <w:rStyle w:val="Hiperligao"/>
            <w:rFonts w:ascii="Times New Roman" w:hAnsi="Times New Roman"/>
            <w:b w:val="0"/>
            <w:noProof/>
            <w:webHidden/>
            <w:sz w:val="21"/>
            <w:szCs w:val="21"/>
          </w:rPr>
          <w:fldChar w:fldCharType="separate"/>
        </w:r>
        <w:r w:rsidR="0073711A">
          <w:rPr>
            <w:rStyle w:val="Hiperligao"/>
            <w:rFonts w:ascii="Times New Roman" w:hAnsi="Times New Roman"/>
            <w:b w:val="0"/>
            <w:noProof/>
            <w:webHidden/>
            <w:sz w:val="21"/>
            <w:szCs w:val="21"/>
          </w:rPr>
          <w:t>59</w:t>
        </w:r>
        <w:r w:rsidR="00802847" w:rsidRPr="00953DD7">
          <w:rPr>
            <w:rStyle w:val="Hiperligao"/>
            <w:rFonts w:ascii="Times New Roman" w:hAnsi="Times New Roman"/>
            <w:b w:val="0"/>
            <w:noProof/>
            <w:webHidden/>
            <w:sz w:val="21"/>
            <w:szCs w:val="21"/>
          </w:rPr>
          <w:fldChar w:fldCharType="end"/>
        </w:r>
      </w:hyperlink>
    </w:p>
    <w:p w:rsidR="00802847" w:rsidRPr="00953DD7" w:rsidRDefault="004E1203" w:rsidP="00C62222">
      <w:pPr>
        <w:pStyle w:val="ndice2"/>
        <w:tabs>
          <w:tab w:val="left" w:pos="960"/>
        </w:tabs>
        <w:ind w:left="709"/>
        <w:rPr>
          <w:rStyle w:val="Hiperligao"/>
          <w:rFonts w:ascii="Times New Roman" w:hAnsi="Times New Roman"/>
          <w:noProof/>
          <w:sz w:val="21"/>
          <w:szCs w:val="21"/>
        </w:rPr>
      </w:pPr>
      <w:hyperlink w:anchor="_Toc75432276" w:history="1">
        <w:r w:rsidR="00802847" w:rsidRPr="00953DD7">
          <w:rPr>
            <w:rStyle w:val="Hiperligao"/>
            <w:rFonts w:ascii="Times New Roman" w:hAnsi="Times New Roman"/>
            <w:b w:val="0"/>
            <w:noProof/>
            <w:sz w:val="21"/>
            <w:szCs w:val="21"/>
          </w:rPr>
          <w:t>2.6.3.2. Situation courante et projetée</w:t>
        </w:r>
        <w:r w:rsidR="00802847" w:rsidRPr="00953DD7">
          <w:rPr>
            <w:rStyle w:val="Hiperligao"/>
            <w:rFonts w:ascii="Times New Roman" w:hAnsi="Times New Roman"/>
            <w:b w:val="0"/>
            <w:noProof/>
            <w:webHidden/>
            <w:sz w:val="21"/>
            <w:szCs w:val="21"/>
          </w:rPr>
          <w:tab/>
        </w:r>
        <w:r w:rsidR="00802847" w:rsidRPr="00953DD7">
          <w:rPr>
            <w:rStyle w:val="Hiperligao"/>
            <w:rFonts w:ascii="Times New Roman" w:hAnsi="Times New Roman"/>
            <w:b w:val="0"/>
            <w:noProof/>
            <w:webHidden/>
            <w:sz w:val="21"/>
            <w:szCs w:val="21"/>
          </w:rPr>
          <w:fldChar w:fldCharType="begin"/>
        </w:r>
        <w:r w:rsidR="00802847" w:rsidRPr="00953DD7">
          <w:rPr>
            <w:rStyle w:val="Hiperligao"/>
            <w:rFonts w:ascii="Times New Roman" w:hAnsi="Times New Roman"/>
            <w:b w:val="0"/>
            <w:noProof/>
            <w:webHidden/>
            <w:sz w:val="21"/>
            <w:szCs w:val="21"/>
          </w:rPr>
          <w:instrText xml:space="preserve"> PAGEREF _Toc75432276 \h </w:instrText>
        </w:r>
        <w:r w:rsidR="00802847" w:rsidRPr="00953DD7">
          <w:rPr>
            <w:rStyle w:val="Hiperligao"/>
            <w:rFonts w:ascii="Times New Roman" w:hAnsi="Times New Roman"/>
            <w:b w:val="0"/>
            <w:noProof/>
            <w:webHidden/>
            <w:sz w:val="21"/>
            <w:szCs w:val="21"/>
          </w:rPr>
        </w:r>
        <w:r w:rsidR="00802847" w:rsidRPr="00953DD7">
          <w:rPr>
            <w:rStyle w:val="Hiperligao"/>
            <w:rFonts w:ascii="Times New Roman" w:hAnsi="Times New Roman"/>
            <w:b w:val="0"/>
            <w:noProof/>
            <w:webHidden/>
            <w:sz w:val="21"/>
            <w:szCs w:val="21"/>
          </w:rPr>
          <w:fldChar w:fldCharType="separate"/>
        </w:r>
        <w:r w:rsidR="0073711A">
          <w:rPr>
            <w:rStyle w:val="Hiperligao"/>
            <w:rFonts w:ascii="Times New Roman" w:hAnsi="Times New Roman"/>
            <w:b w:val="0"/>
            <w:noProof/>
            <w:webHidden/>
            <w:sz w:val="21"/>
            <w:szCs w:val="21"/>
          </w:rPr>
          <w:t>59</w:t>
        </w:r>
        <w:r w:rsidR="00802847" w:rsidRPr="00953DD7">
          <w:rPr>
            <w:rStyle w:val="Hiperligao"/>
            <w:rFonts w:ascii="Times New Roman" w:hAnsi="Times New Roman"/>
            <w:b w:val="0"/>
            <w:noProof/>
            <w:webHidden/>
            <w:sz w:val="21"/>
            <w:szCs w:val="21"/>
          </w:rPr>
          <w:fldChar w:fldCharType="end"/>
        </w:r>
      </w:hyperlink>
    </w:p>
    <w:p w:rsidR="00802847" w:rsidRPr="00953DD7" w:rsidRDefault="004E1203" w:rsidP="00C62222">
      <w:pPr>
        <w:pStyle w:val="ndice2"/>
        <w:tabs>
          <w:tab w:val="left" w:pos="960"/>
        </w:tabs>
        <w:ind w:left="709"/>
        <w:rPr>
          <w:rStyle w:val="Hiperligao"/>
          <w:rFonts w:ascii="Times New Roman" w:hAnsi="Times New Roman"/>
          <w:noProof/>
          <w:sz w:val="21"/>
          <w:szCs w:val="21"/>
        </w:rPr>
      </w:pPr>
      <w:hyperlink w:anchor="_Toc75432277" w:history="1">
        <w:r w:rsidR="00802847" w:rsidRPr="00953DD7">
          <w:rPr>
            <w:rStyle w:val="Hiperligao"/>
            <w:rFonts w:ascii="Times New Roman" w:hAnsi="Times New Roman"/>
            <w:b w:val="0"/>
            <w:noProof/>
            <w:sz w:val="21"/>
            <w:szCs w:val="21"/>
          </w:rPr>
          <w:t>2.6.3.3. Estimation des populations en situation courante</w:t>
        </w:r>
        <w:r w:rsidR="00802847" w:rsidRPr="00953DD7">
          <w:rPr>
            <w:rStyle w:val="Hiperligao"/>
            <w:rFonts w:ascii="Times New Roman" w:hAnsi="Times New Roman"/>
            <w:b w:val="0"/>
            <w:noProof/>
            <w:webHidden/>
            <w:sz w:val="21"/>
            <w:szCs w:val="21"/>
          </w:rPr>
          <w:tab/>
        </w:r>
        <w:r w:rsidR="00802847" w:rsidRPr="00953DD7">
          <w:rPr>
            <w:rStyle w:val="Hiperligao"/>
            <w:rFonts w:ascii="Times New Roman" w:hAnsi="Times New Roman"/>
            <w:b w:val="0"/>
            <w:noProof/>
            <w:webHidden/>
            <w:sz w:val="21"/>
            <w:szCs w:val="21"/>
          </w:rPr>
          <w:fldChar w:fldCharType="begin"/>
        </w:r>
        <w:r w:rsidR="00802847" w:rsidRPr="00953DD7">
          <w:rPr>
            <w:rStyle w:val="Hiperligao"/>
            <w:rFonts w:ascii="Times New Roman" w:hAnsi="Times New Roman"/>
            <w:b w:val="0"/>
            <w:noProof/>
            <w:webHidden/>
            <w:sz w:val="21"/>
            <w:szCs w:val="21"/>
          </w:rPr>
          <w:instrText xml:space="preserve"> PAGEREF _Toc75432277 \h </w:instrText>
        </w:r>
        <w:r w:rsidR="00802847" w:rsidRPr="00953DD7">
          <w:rPr>
            <w:rStyle w:val="Hiperligao"/>
            <w:rFonts w:ascii="Times New Roman" w:hAnsi="Times New Roman"/>
            <w:b w:val="0"/>
            <w:noProof/>
            <w:webHidden/>
            <w:sz w:val="21"/>
            <w:szCs w:val="21"/>
          </w:rPr>
        </w:r>
        <w:r w:rsidR="00802847" w:rsidRPr="00953DD7">
          <w:rPr>
            <w:rStyle w:val="Hiperligao"/>
            <w:rFonts w:ascii="Times New Roman" w:hAnsi="Times New Roman"/>
            <w:b w:val="0"/>
            <w:noProof/>
            <w:webHidden/>
            <w:sz w:val="21"/>
            <w:szCs w:val="21"/>
          </w:rPr>
          <w:fldChar w:fldCharType="separate"/>
        </w:r>
        <w:r w:rsidR="0073711A">
          <w:rPr>
            <w:rStyle w:val="Hiperligao"/>
            <w:rFonts w:ascii="Times New Roman" w:hAnsi="Times New Roman"/>
            <w:b w:val="0"/>
            <w:noProof/>
            <w:webHidden/>
            <w:sz w:val="21"/>
            <w:szCs w:val="21"/>
          </w:rPr>
          <w:t>60</w:t>
        </w:r>
        <w:r w:rsidR="00802847" w:rsidRPr="00953DD7">
          <w:rPr>
            <w:rStyle w:val="Hiperligao"/>
            <w:rFonts w:ascii="Times New Roman" w:hAnsi="Times New Roman"/>
            <w:b w:val="0"/>
            <w:noProof/>
            <w:webHidden/>
            <w:sz w:val="21"/>
            <w:szCs w:val="21"/>
          </w:rPr>
          <w:fldChar w:fldCharType="end"/>
        </w:r>
      </w:hyperlink>
    </w:p>
    <w:p w:rsidR="00802847" w:rsidRPr="00953DD7" w:rsidRDefault="004E1203" w:rsidP="00C62222">
      <w:pPr>
        <w:pStyle w:val="ndice2"/>
        <w:tabs>
          <w:tab w:val="left" w:pos="960"/>
        </w:tabs>
        <w:ind w:left="709"/>
        <w:rPr>
          <w:rStyle w:val="Hiperligao"/>
          <w:rFonts w:ascii="Times New Roman" w:hAnsi="Times New Roman"/>
          <w:noProof/>
          <w:sz w:val="21"/>
          <w:szCs w:val="21"/>
        </w:rPr>
      </w:pPr>
      <w:hyperlink w:anchor="_Toc75432278" w:history="1">
        <w:r w:rsidR="00802847" w:rsidRPr="00953DD7">
          <w:rPr>
            <w:rStyle w:val="Hiperligao"/>
            <w:rFonts w:ascii="Times New Roman" w:hAnsi="Times New Roman"/>
            <w:b w:val="0"/>
            <w:noProof/>
            <w:sz w:val="21"/>
            <w:szCs w:val="21"/>
          </w:rPr>
          <w:t>2.6.3.4. Situation projetée</w:t>
        </w:r>
        <w:r w:rsidR="00802847" w:rsidRPr="00953DD7">
          <w:rPr>
            <w:rStyle w:val="Hiperligao"/>
            <w:rFonts w:ascii="Times New Roman" w:hAnsi="Times New Roman"/>
            <w:b w:val="0"/>
            <w:noProof/>
            <w:webHidden/>
            <w:sz w:val="21"/>
            <w:szCs w:val="21"/>
          </w:rPr>
          <w:tab/>
        </w:r>
        <w:r w:rsidR="00802847" w:rsidRPr="00953DD7">
          <w:rPr>
            <w:rStyle w:val="Hiperligao"/>
            <w:rFonts w:ascii="Times New Roman" w:hAnsi="Times New Roman"/>
            <w:b w:val="0"/>
            <w:noProof/>
            <w:webHidden/>
            <w:sz w:val="21"/>
            <w:szCs w:val="21"/>
          </w:rPr>
          <w:fldChar w:fldCharType="begin"/>
        </w:r>
        <w:r w:rsidR="00802847" w:rsidRPr="00953DD7">
          <w:rPr>
            <w:rStyle w:val="Hiperligao"/>
            <w:rFonts w:ascii="Times New Roman" w:hAnsi="Times New Roman"/>
            <w:b w:val="0"/>
            <w:noProof/>
            <w:webHidden/>
            <w:sz w:val="21"/>
            <w:szCs w:val="21"/>
          </w:rPr>
          <w:instrText xml:space="preserve"> PAGEREF _Toc75432278 \h </w:instrText>
        </w:r>
        <w:r w:rsidR="00802847" w:rsidRPr="00953DD7">
          <w:rPr>
            <w:rStyle w:val="Hiperligao"/>
            <w:rFonts w:ascii="Times New Roman" w:hAnsi="Times New Roman"/>
            <w:b w:val="0"/>
            <w:noProof/>
            <w:webHidden/>
            <w:sz w:val="21"/>
            <w:szCs w:val="21"/>
          </w:rPr>
        </w:r>
        <w:r w:rsidR="00802847" w:rsidRPr="00953DD7">
          <w:rPr>
            <w:rStyle w:val="Hiperligao"/>
            <w:rFonts w:ascii="Times New Roman" w:hAnsi="Times New Roman"/>
            <w:b w:val="0"/>
            <w:noProof/>
            <w:webHidden/>
            <w:sz w:val="21"/>
            <w:szCs w:val="21"/>
          </w:rPr>
          <w:fldChar w:fldCharType="separate"/>
        </w:r>
        <w:r w:rsidR="0073711A">
          <w:rPr>
            <w:rStyle w:val="Hiperligao"/>
            <w:rFonts w:ascii="Times New Roman" w:hAnsi="Times New Roman"/>
            <w:b w:val="0"/>
            <w:noProof/>
            <w:webHidden/>
            <w:sz w:val="21"/>
            <w:szCs w:val="21"/>
          </w:rPr>
          <w:t>61</w:t>
        </w:r>
        <w:r w:rsidR="00802847" w:rsidRPr="00953DD7">
          <w:rPr>
            <w:rStyle w:val="Hiperligao"/>
            <w:rFonts w:ascii="Times New Roman" w:hAnsi="Times New Roman"/>
            <w:b w:val="0"/>
            <w:noProof/>
            <w:webHidden/>
            <w:sz w:val="21"/>
            <w:szCs w:val="21"/>
          </w:rPr>
          <w:fldChar w:fldCharType="end"/>
        </w:r>
      </w:hyperlink>
    </w:p>
    <w:p w:rsidR="00802847" w:rsidRPr="00953DD7" w:rsidRDefault="004E1203" w:rsidP="00C62222">
      <w:pPr>
        <w:pStyle w:val="ndice2"/>
        <w:tabs>
          <w:tab w:val="left" w:pos="960"/>
        </w:tabs>
        <w:ind w:left="709"/>
        <w:rPr>
          <w:rStyle w:val="Hiperligao"/>
          <w:rFonts w:ascii="Times New Roman" w:hAnsi="Times New Roman"/>
          <w:noProof/>
          <w:sz w:val="21"/>
          <w:szCs w:val="21"/>
        </w:rPr>
      </w:pPr>
      <w:hyperlink w:anchor="_Toc75432279" w:history="1">
        <w:r w:rsidR="00802847" w:rsidRPr="00953DD7">
          <w:rPr>
            <w:rStyle w:val="Hiperligao"/>
            <w:rFonts w:ascii="Times New Roman" w:hAnsi="Times New Roman"/>
            <w:b w:val="0"/>
            <w:noProof/>
            <w:sz w:val="21"/>
            <w:szCs w:val="21"/>
          </w:rPr>
          <w:t>2.6.3.5. Estimation des populations en situation projetée (juin à août 2021)</w:t>
        </w:r>
        <w:r w:rsidR="00802847" w:rsidRPr="00953DD7">
          <w:rPr>
            <w:rStyle w:val="Hiperligao"/>
            <w:rFonts w:ascii="Times New Roman" w:hAnsi="Times New Roman"/>
            <w:b w:val="0"/>
            <w:noProof/>
            <w:webHidden/>
            <w:sz w:val="21"/>
            <w:szCs w:val="21"/>
          </w:rPr>
          <w:tab/>
        </w:r>
        <w:r w:rsidR="00802847" w:rsidRPr="00953DD7">
          <w:rPr>
            <w:rStyle w:val="Hiperligao"/>
            <w:rFonts w:ascii="Times New Roman" w:hAnsi="Times New Roman"/>
            <w:b w:val="0"/>
            <w:noProof/>
            <w:webHidden/>
            <w:sz w:val="21"/>
            <w:szCs w:val="21"/>
          </w:rPr>
          <w:fldChar w:fldCharType="begin"/>
        </w:r>
        <w:r w:rsidR="00802847" w:rsidRPr="00953DD7">
          <w:rPr>
            <w:rStyle w:val="Hiperligao"/>
            <w:rFonts w:ascii="Times New Roman" w:hAnsi="Times New Roman"/>
            <w:b w:val="0"/>
            <w:noProof/>
            <w:webHidden/>
            <w:sz w:val="21"/>
            <w:szCs w:val="21"/>
          </w:rPr>
          <w:instrText xml:space="preserve"> PAGEREF _Toc75432279 \h </w:instrText>
        </w:r>
        <w:r w:rsidR="00802847" w:rsidRPr="00953DD7">
          <w:rPr>
            <w:rStyle w:val="Hiperligao"/>
            <w:rFonts w:ascii="Times New Roman" w:hAnsi="Times New Roman"/>
            <w:b w:val="0"/>
            <w:noProof/>
            <w:webHidden/>
            <w:sz w:val="21"/>
            <w:szCs w:val="21"/>
          </w:rPr>
        </w:r>
        <w:r w:rsidR="00802847" w:rsidRPr="00953DD7">
          <w:rPr>
            <w:rStyle w:val="Hiperligao"/>
            <w:rFonts w:ascii="Times New Roman" w:hAnsi="Times New Roman"/>
            <w:b w:val="0"/>
            <w:noProof/>
            <w:webHidden/>
            <w:sz w:val="21"/>
            <w:szCs w:val="21"/>
          </w:rPr>
          <w:fldChar w:fldCharType="separate"/>
        </w:r>
        <w:r w:rsidR="0073711A">
          <w:rPr>
            <w:rStyle w:val="Hiperligao"/>
            <w:rFonts w:ascii="Times New Roman" w:hAnsi="Times New Roman"/>
            <w:b w:val="0"/>
            <w:noProof/>
            <w:webHidden/>
            <w:sz w:val="21"/>
            <w:szCs w:val="21"/>
          </w:rPr>
          <w:t>61</w:t>
        </w:r>
        <w:r w:rsidR="00802847" w:rsidRPr="00953DD7">
          <w:rPr>
            <w:rStyle w:val="Hiperligao"/>
            <w:rFonts w:ascii="Times New Roman" w:hAnsi="Times New Roman"/>
            <w:b w:val="0"/>
            <w:noProof/>
            <w:webHidden/>
            <w:sz w:val="21"/>
            <w:szCs w:val="21"/>
          </w:rPr>
          <w:fldChar w:fldCharType="end"/>
        </w:r>
      </w:hyperlink>
    </w:p>
    <w:p w:rsidR="00802847" w:rsidRPr="00953DD7" w:rsidRDefault="004E1203" w:rsidP="00C62222">
      <w:pPr>
        <w:pStyle w:val="ndice2"/>
        <w:tabs>
          <w:tab w:val="left" w:pos="960"/>
        </w:tabs>
        <w:ind w:left="426"/>
        <w:rPr>
          <w:rStyle w:val="Hiperligao"/>
          <w:rFonts w:ascii="Times New Roman" w:hAnsi="Times New Roman"/>
          <w:b w:val="0"/>
          <w:noProof/>
          <w:sz w:val="21"/>
          <w:szCs w:val="21"/>
        </w:rPr>
      </w:pPr>
      <w:hyperlink w:anchor="_Toc75432280" w:history="1">
        <w:r w:rsidR="00802847" w:rsidRPr="00953DD7">
          <w:rPr>
            <w:rStyle w:val="Hiperligao"/>
            <w:rFonts w:ascii="Times New Roman" w:hAnsi="Times New Roman"/>
            <w:b w:val="0"/>
            <w:noProof/>
            <w:sz w:val="21"/>
            <w:szCs w:val="21"/>
          </w:rPr>
          <w:t>2.6.4 Détermination des zones à risque</w:t>
        </w:r>
        <w:r w:rsidR="00802847" w:rsidRPr="00953DD7">
          <w:rPr>
            <w:rStyle w:val="Hiperligao"/>
            <w:rFonts w:ascii="Times New Roman" w:hAnsi="Times New Roman"/>
            <w:b w:val="0"/>
            <w:noProof/>
            <w:webHidden/>
            <w:sz w:val="21"/>
            <w:szCs w:val="21"/>
          </w:rPr>
          <w:tab/>
        </w:r>
        <w:r w:rsidR="00802847" w:rsidRPr="00953DD7">
          <w:rPr>
            <w:rStyle w:val="Hiperligao"/>
            <w:rFonts w:ascii="Times New Roman" w:hAnsi="Times New Roman"/>
            <w:b w:val="0"/>
            <w:noProof/>
            <w:webHidden/>
            <w:sz w:val="21"/>
            <w:szCs w:val="21"/>
          </w:rPr>
          <w:fldChar w:fldCharType="begin"/>
        </w:r>
        <w:r w:rsidR="00802847" w:rsidRPr="00953DD7">
          <w:rPr>
            <w:rStyle w:val="Hiperligao"/>
            <w:rFonts w:ascii="Times New Roman" w:hAnsi="Times New Roman"/>
            <w:b w:val="0"/>
            <w:noProof/>
            <w:webHidden/>
            <w:sz w:val="21"/>
            <w:szCs w:val="21"/>
          </w:rPr>
          <w:instrText xml:space="preserve"> PAGEREF _Toc75432280 \h </w:instrText>
        </w:r>
        <w:r w:rsidR="00802847" w:rsidRPr="00953DD7">
          <w:rPr>
            <w:rStyle w:val="Hiperligao"/>
            <w:rFonts w:ascii="Times New Roman" w:hAnsi="Times New Roman"/>
            <w:b w:val="0"/>
            <w:noProof/>
            <w:webHidden/>
            <w:sz w:val="21"/>
            <w:szCs w:val="21"/>
          </w:rPr>
        </w:r>
        <w:r w:rsidR="00802847" w:rsidRPr="00953DD7">
          <w:rPr>
            <w:rStyle w:val="Hiperligao"/>
            <w:rFonts w:ascii="Times New Roman" w:hAnsi="Times New Roman"/>
            <w:b w:val="0"/>
            <w:noProof/>
            <w:webHidden/>
            <w:sz w:val="21"/>
            <w:szCs w:val="21"/>
          </w:rPr>
          <w:fldChar w:fldCharType="separate"/>
        </w:r>
        <w:r w:rsidR="0073711A">
          <w:rPr>
            <w:rStyle w:val="Hiperligao"/>
            <w:rFonts w:ascii="Times New Roman" w:hAnsi="Times New Roman"/>
            <w:b w:val="0"/>
            <w:noProof/>
            <w:webHidden/>
            <w:sz w:val="21"/>
            <w:szCs w:val="21"/>
          </w:rPr>
          <w:t>61</w:t>
        </w:r>
        <w:r w:rsidR="00802847" w:rsidRPr="00953DD7">
          <w:rPr>
            <w:rStyle w:val="Hiperligao"/>
            <w:rFonts w:ascii="Times New Roman" w:hAnsi="Times New Roman"/>
            <w:b w:val="0"/>
            <w:noProof/>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81"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3.</w:t>
        </w:r>
        <w:r w:rsidR="00802847" w:rsidRPr="00953DD7">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CADRE POLITIQUE, JURIDIQUE ET INSTITUTIONNEL</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_Toc75432281 \h </w:instrText>
        </w:r>
        <w:r w:rsidR="00802847" w:rsidRPr="00953DD7">
          <w:rPr>
            <w:webHidden/>
            <w:sz w:val="21"/>
            <w:szCs w:val="21"/>
          </w:rPr>
        </w:r>
        <w:r w:rsidR="00802847" w:rsidRPr="00953DD7">
          <w:rPr>
            <w:webHidden/>
            <w:sz w:val="21"/>
            <w:szCs w:val="21"/>
          </w:rPr>
          <w:fldChar w:fldCharType="separate"/>
        </w:r>
        <w:r w:rsidR="0073711A">
          <w:rPr>
            <w:webHidden/>
            <w:sz w:val="21"/>
            <w:szCs w:val="21"/>
          </w:rPr>
          <w:t>62</w:t>
        </w:r>
        <w:r w:rsidR="00802847" w:rsidRPr="00953DD7">
          <w:rPr>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82" w:history="1">
        <w:r w:rsidR="00802847" w:rsidRPr="00953DD7">
          <w:rPr>
            <w:rStyle w:val="Hiperligao"/>
            <w:rFonts w:ascii="Times New Roman" w:hAnsi="Times New Roman"/>
            <w:noProof/>
            <w:sz w:val="21"/>
            <w:szCs w:val="21"/>
          </w:rPr>
          <w:t>3.1</w:t>
        </w:r>
        <w:r w:rsidR="00777FE0" w:rsidRPr="00953DD7">
          <w:rPr>
            <w:rFonts w:ascii="Times New Roman" w:eastAsiaTheme="minorEastAsia" w:hAnsi="Times New Roman"/>
            <w:b w:val="0"/>
            <w:bCs w:val="0"/>
            <w:noProof/>
            <w:sz w:val="21"/>
            <w:szCs w:val="21"/>
          </w:rPr>
          <w:t xml:space="preserve"> </w:t>
        </w:r>
        <w:r w:rsidR="00802847" w:rsidRPr="00953DD7">
          <w:rPr>
            <w:rStyle w:val="Hiperligao"/>
            <w:rFonts w:ascii="Times New Roman" w:hAnsi="Times New Roman"/>
            <w:noProof/>
            <w:sz w:val="21"/>
            <w:szCs w:val="21"/>
          </w:rPr>
          <w:t>CADRE POLITIQUE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_Toc75432282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62</w:t>
        </w:r>
        <w:r w:rsidR="00802847" w:rsidRPr="00953DD7">
          <w:rPr>
            <w:rFonts w:ascii="Times New Roman" w:hAnsi="Times New Roman"/>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283" w:history="1">
        <w:r w:rsidR="00802847" w:rsidRPr="00953DD7">
          <w:rPr>
            <w:rStyle w:val="Hiperligao"/>
            <w:rFonts w:ascii="Times New Roman" w:hAnsi="Times New Roman"/>
            <w:b w:val="0"/>
            <w:noProof/>
            <w:sz w:val="21"/>
            <w:szCs w:val="21"/>
          </w:rPr>
          <w:t>3.1.1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Documents de Politique dans le secteur de l’agriculture</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_Toc75432283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62</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284" w:history="1">
        <w:r w:rsidR="00802847" w:rsidRPr="00953DD7">
          <w:rPr>
            <w:rStyle w:val="Hiperligao"/>
            <w:rFonts w:ascii="Times New Roman" w:hAnsi="Times New Roman"/>
            <w:b w:val="0"/>
            <w:noProof/>
            <w:sz w:val="21"/>
            <w:szCs w:val="21"/>
          </w:rPr>
          <w:t>3.1.2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Documents de Politiques et de Stratégies Environnementales et Sociales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_Toc75432284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62</w:t>
        </w:r>
        <w:r w:rsidR="00802847" w:rsidRPr="00953DD7">
          <w:rPr>
            <w:rFonts w:ascii="Times New Roman" w:hAnsi="Times New Roman"/>
            <w:b w:val="0"/>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85" w:history="1">
        <w:r w:rsidR="00802847" w:rsidRPr="00953DD7">
          <w:rPr>
            <w:rStyle w:val="Hiperligao"/>
            <w:rFonts w:ascii="Times New Roman" w:hAnsi="Times New Roman"/>
            <w:noProof/>
            <w:sz w:val="21"/>
            <w:szCs w:val="21"/>
          </w:rPr>
          <w:t>3.2</w:t>
        </w:r>
        <w:r w:rsidR="00777FE0" w:rsidRPr="00953DD7">
          <w:rPr>
            <w:rFonts w:ascii="Times New Roman" w:eastAsiaTheme="minorEastAsia" w:hAnsi="Times New Roman"/>
            <w:b w:val="0"/>
            <w:bCs w:val="0"/>
            <w:noProof/>
            <w:sz w:val="21"/>
            <w:szCs w:val="21"/>
          </w:rPr>
          <w:t xml:space="preserve"> </w:t>
        </w:r>
        <w:r w:rsidR="00802847" w:rsidRPr="00953DD7">
          <w:rPr>
            <w:rStyle w:val="Hiperligao"/>
            <w:rFonts w:ascii="Times New Roman" w:hAnsi="Times New Roman"/>
            <w:noProof/>
            <w:sz w:val="21"/>
            <w:szCs w:val="21"/>
          </w:rPr>
          <w:t>CADRE JURIDIQUE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_Toc75432285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65</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86" w:history="1">
        <w:r w:rsidR="00802847" w:rsidRPr="00953DD7">
          <w:rPr>
            <w:rStyle w:val="Hiperligao"/>
            <w:rFonts w:ascii="Times New Roman" w:hAnsi="Times New Roman"/>
            <w:noProof/>
            <w:sz w:val="21"/>
            <w:szCs w:val="21"/>
          </w:rPr>
          <w:t>3.3</w:t>
        </w:r>
        <w:r w:rsidR="00777FE0" w:rsidRPr="00953DD7">
          <w:rPr>
            <w:rFonts w:ascii="Times New Roman" w:eastAsiaTheme="minorEastAsia" w:hAnsi="Times New Roman"/>
            <w:b w:val="0"/>
            <w:bCs w:val="0"/>
            <w:noProof/>
            <w:sz w:val="21"/>
            <w:szCs w:val="21"/>
          </w:rPr>
          <w:t xml:space="preserve"> </w:t>
        </w:r>
        <w:r w:rsidR="00802847" w:rsidRPr="00953DD7">
          <w:rPr>
            <w:rStyle w:val="Hiperligao"/>
            <w:rFonts w:ascii="Times New Roman" w:hAnsi="Times New Roman"/>
            <w:noProof/>
            <w:sz w:val="21"/>
            <w:szCs w:val="21"/>
          </w:rPr>
          <w:t>CADRE INSTITUTIONNEL</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_Toc75432286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71</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87" w:history="1">
        <w:r w:rsidR="00802847" w:rsidRPr="00953DD7">
          <w:rPr>
            <w:rStyle w:val="Hiperligao"/>
            <w:rFonts w:ascii="Times New Roman" w:hAnsi="Times New Roman"/>
            <w:noProof/>
            <w:sz w:val="21"/>
            <w:szCs w:val="21"/>
          </w:rPr>
          <w:t>3.4 LES NORMES ENVIRONNEMENTALES E</w:t>
        </w:r>
        <w:r w:rsidR="00E10344" w:rsidRPr="00953DD7">
          <w:rPr>
            <w:rStyle w:val="Hiperligao"/>
            <w:rFonts w:ascii="Times New Roman" w:hAnsi="Times New Roman"/>
            <w:noProof/>
            <w:sz w:val="21"/>
            <w:szCs w:val="21"/>
          </w:rPr>
          <w:t>T SOCIALES DE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_Toc75432287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74</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88" w:history="1">
        <w:r w:rsidR="00802847" w:rsidRPr="00953DD7">
          <w:rPr>
            <w:rStyle w:val="Hiperligao"/>
            <w:rFonts w:ascii="Times New Roman" w:hAnsi="Times New Roman"/>
            <w:noProof/>
            <w:sz w:val="21"/>
            <w:szCs w:val="21"/>
          </w:rPr>
          <w:t>3.5. LES DIRECTIVES ENVIRONNEMENTALES, SANITAI</w:t>
        </w:r>
        <w:r w:rsidR="00777FE0" w:rsidRPr="00953DD7">
          <w:rPr>
            <w:rStyle w:val="Hiperligao"/>
            <w:rFonts w:ascii="Times New Roman" w:hAnsi="Times New Roman"/>
            <w:noProof/>
            <w:sz w:val="21"/>
            <w:szCs w:val="21"/>
          </w:rPr>
          <w:t>RES</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_Toc75432288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79</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89" w:history="1">
        <w:r w:rsidR="00802847" w:rsidRPr="00953DD7">
          <w:rPr>
            <w:rStyle w:val="Hiperligao"/>
            <w:rFonts w:ascii="Times New Roman" w:hAnsi="Times New Roman"/>
            <w:noProof/>
            <w:sz w:val="21"/>
            <w:szCs w:val="21"/>
          </w:rPr>
          <w:t>3.6 L’ANALYSE COMPARATIVE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_Toc75432289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82</w:t>
        </w:r>
        <w:r w:rsidR="00802847" w:rsidRPr="00953DD7">
          <w:rPr>
            <w:rFonts w:ascii="Times New Roman" w:hAnsi="Times New Roman"/>
            <w:noProof/>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90"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4.</w:t>
        </w:r>
        <w:r w:rsidR="00802847" w:rsidRPr="00953DD7">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DESCRIPTION DU MILIEU RECEPTEUR</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_Toc75432290 \h </w:instrText>
        </w:r>
        <w:r w:rsidR="00802847" w:rsidRPr="00953DD7">
          <w:rPr>
            <w:webHidden/>
            <w:sz w:val="21"/>
            <w:szCs w:val="21"/>
          </w:rPr>
        </w:r>
        <w:r w:rsidR="00802847" w:rsidRPr="00953DD7">
          <w:rPr>
            <w:webHidden/>
            <w:sz w:val="21"/>
            <w:szCs w:val="21"/>
          </w:rPr>
          <w:fldChar w:fldCharType="separate"/>
        </w:r>
        <w:r w:rsidR="0073711A">
          <w:rPr>
            <w:webHidden/>
            <w:sz w:val="21"/>
            <w:szCs w:val="21"/>
          </w:rPr>
          <w:t>83</w:t>
        </w:r>
        <w:r w:rsidR="00802847" w:rsidRPr="00953DD7">
          <w:rPr>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91" w:history="1">
        <w:r w:rsidR="00802847" w:rsidRPr="00953DD7">
          <w:rPr>
            <w:rStyle w:val="Hiperligao"/>
            <w:rFonts w:ascii="Times New Roman" w:eastAsia="Calibri" w:hAnsi="Times New Roman"/>
            <w:noProof/>
            <w:sz w:val="21"/>
            <w:szCs w:val="21"/>
          </w:rPr>
          <w:t>4.1. SITUATION GEOGRAPHIQUE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_Toc75432291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84</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92" w:history="1">
        <w:r w:rsidR="00802847" w:rsidRPr="00953DD7">
          <w:rPr>
            <w:rStyle w:val="Hiperligao"/>
            <w:rFonts w:ascii="Times New Roman" w:hAnsi="Times New Roman"/>
            <w:noProof/>
            <w:sz w:val="21"/>
            <w:szCs w:val="21"/>
          </w:rPr>
          <w:t>4.2. ENVIRONNEMENT PHYSIQUE ET BI</w:t>
        </w:r>
        <w:r w:rsidR="009F65C8" w:rsidRPr="00953DD7">
          <w:rPr>
            <w:rStyle w:val="Hiperligao"/>
            <w:rFonts w:ascii="Times New Roman" w:hAnsi="Times New Roman"/>
            <w:noProof/>
            <w:sz w:val="21"/>
            <w:szCs w:val="21"/>
          </w:rPr>
          <w:t>OPHYSIQUE DE LA ZONE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_Toc75432292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85</w:t>
        </w:r>
        <w:r w:rsidR="00802847" w:rsidRPr="00953DD7">
          <w:rPr>
            <w:rFonts w:ascii="Times New Roman" w:hAnsi="Times New Roman"/>
            <w:noProof/>
            <w:webHidden/>
            <w:sz w:val="21"/>
            <w:szCs w:val="21"/>
          </w:rPr>
          <w:fldChar w:fldCharType="end"/>
        </w:r>
      </w:hyperlink>
    </w:p>
    <w:p w:rsidR="00802847" w:rsidRPr="00953DD7" w:rsidRDefault="004E1203">
      <w:pPr>
        <w:pStyle w:val="ndice2"/>
        <w:rPr>
          <w:rFonts w:ascii="Times New Roman" w:eastAsiaTheme="minorEastAsia" w:hAnsi="Times New Roman"/>
          <w:b w:val="0"/>
          <w:bCs w:val="0"/>
          <w:noProof/>
          <w:sz w:val="21"/>
          <w:szCs w:val="21"/>
        </w:rPr>
      </w:pPr>
      <w:hyperlink w:anchor="_Toc75432293" w:history="1">
        <w:r w:rsidR="00802847" w:rsidRPr="00953DD7">
          <w:rPr>
            <w:rStyle w:val="Hiperligao"/>
            <w:rFonts w:ascii="Times New Roman" w:hAnsi="Times New Roman"/>
            <w:noProof/>
            <w:sz w:val="21"/>
            <w:szCs w:val="21"/>
          </w:rPr>
          <w:t xml:space="preserve">4.3. ACTIVITES SOCIO-ECONOMIQUES ET CULTURELLES DE </w:t>
        </w:r>
        <w:r w:rsidR="002727C5" w:rsidRPr="00953DD7">
          <w:rPr>
            <w:rStyle w:val="Hiperligao"/>
            <w:rFonts w:ascii="Times New Roman" w:hAnsi="Times New Roman"/>
            <w:noProof/>
            <w:sz w:val="21"/>
            <w:szCs w:val="21"/>
          </w:rPr>
          <w:t>LA ZONE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_Toc75432293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93</w:t>
        </w:r>
        <w:r w:rsidR="00802847" w:rsidRPr="00953DD7">
          <w:rPr>
            <w:rFonts w:ascii="Times New Roman" w:hAnsi="Times New Roman"/>
            <w:noProof/>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94"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5.</w:t>
        </w:r>
        <w:r w:rsidR="00802847" w:rsidRPr="00953DD7">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ENJEUX ENVIRONNEMENTAUX ET SOCIAUX</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_Toc75432294 \h </w:instrText>
        </w:r>
        <w:r w:rsidR="00802847" w:rsidRPr="00953DD7">
          <w:rPr>
            <w:webHidden/>
            <w:sz w:val="21"/>
            <w:szCs w:val="21"/>
          </w:rPr>
        </w:r>
        <w:r w:rsidR="00802847" w:rsidRPr="00953DD7">
          <w:rPr>
            <w:webHidden/>
            <w:sz w:val="21"/>
            <w:szCs w:val="21"/>
          </w:rPr>
          <w:fldChar w:fldCharType="separate"/>
        </w:r>
        <w:r w:rsidR="0073711A">
          <w:rPr>
            <w:webHidden/>
            <w:sz w:val="21"/>
            <w:szCs w:val="21"/>
          </w:rPr>
          <w:t>100</w:t>
        </w:r>
        <w:r w:rsidR="00802847" w:rsidRPr="00953DD7">
          <w:rPr>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95" w:history="1">
        <w:r w:rsidR="00802847" w:rsidRPr="00953DD7">
          <w:rPr>
            <w:rStyle w:val="Hiperligao"/>
            <w:rFonts w:ascii="Times New Roman" w:hAnsi="Times New Roman"/>
            <w:noProof/>
            <w:sz w:val="21"/>
            <w:szCs w:val="21"/>
          </w:rPr>
          <w:t>5.1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LES ENJEUX POLITIQUES ET JURIDIQUES</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_Toc75432295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100</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96" w:history="1">
        <w:r w:rsidR="00802847" w:rsidRPr="00953DD7">
          <w:rPr>
            <w:rStyle w:val="Hiperligao"/>
            <w:rFonts w:ascii="Times New Roman" w:hAnsi="Times New Roman"/>
            <w:noProof/>
            <w:sz w:val="21"/>
            <w:szCs w:val="21"/>
          </w:rPr>
          <w:t>5.2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ENJEUX DU PROJET PUSA</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_Toc75432296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101</w:t>
        </w:r>
        <w:r w:rsidR="00802847" w:rsidRPr="00953DD7">
          <w:rPr>
            <w:rFonts w:ascii="Times New Roman" w:hAnsi="Times New Roman"/>
            <w:noProof/>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297"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6.</w:t>
        </w:r>
        <w:r w:rsidR="00802847" w:rsidRPr="00953DD7">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ANALYSE DES ALTERNATIVES ;</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_Toc75432297 \h </w:instrText>
        </w:r>
        <w:r w:rsidR="00802847" w:rsidRPr="00953DD7">
          <w:rPr>
            <w:webHidden/>
            <w:sz w:val="21"/>
            <w:szCs w:val="21"/>
          </w:rPr>
        </w:r>
        <w:r w:rsidR="00802847" w:rsidRPr="00953DD7">
          <w:rPr>
            <w:webHidden/>
            <w:sz w:val="21"/>
            <w:szCs w:val="21"/>
          </w:rPr>
          <w:fldChar w:fldCharType="separate"/>
        </w:r>
        <w:r w:rsidR="0073711A">
          <w:rPr>
            <w:webHidden/>
            <w:sz w:val="21"/>
            <w:szCs w:val="21"/>
          </w:rPr>
          <w:t>106</w:t>
        </w:r>
        <w:r w:rsidR="00802847" w:rsidRPr="00953DD7">
          <w:rPr>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98" w:history="1">
        <w:r w:rsidR="00802847" w:rsidRPr="00953DD7">
          <w:rPr>
            <w:rStyle w:val="Hiperligao"/>
            <w:rFonts w:ascii="Times New Roman" w:hAnsi="Times New Roman"/>
            <w:noProof/>
            <w:sz w:val="21"/>
            <w:szCs w:val="21"/>
          </w:rPr>
          <w:t>6.1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PRESENTATION ET ANALYSE DES ALTERNATIVES</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_Toc75432298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106</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299" w:history="1">
        <w:r w:rsidR="00802847" w:rsidRPr="00953DD7">
          <w:rPr>
            <w:rStyle w:val="Hiperligao"/>
            <w:rFonts w:ascii="Times New Roman" w:hAnsi="Times New Roman"/>
            <w:noProof/>
            <w:sz w:val="21"/>
            <w:szCs w:val="21"/>
          </w:rPr>
          <w:t>6.2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ANALYSE MULTICRITERE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_Toc75432299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106</w:t>
        </w:r>
        <w:r w:rsidR="00802847" w:rsidRPr="00953DD7">
          <w:rPr>
            <w:rFonts w:ascii="Times New Roman" w:hAnsi="Times New Roman"/>
            <w:noProof/>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300"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7.</w:t>
        </w:r>
        <w:r w:rsidR="00802847" w:rsidRPr="00953DD7">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L’ANALYSE DES RISQU</w:t>
        </w:r>
        <w:r w:rsidR="002727C5" w:rsidRPr="00953DD7">
          <w:rPr>
            <w:rStyle w:val="Hiperligao"/>
            <w:b/>
            <w:sz w:val="21"/>
            <w:szCs w:val="21"/>
            <w:lang w:eastAsia="x-none"/>
            <w14:shadow w14:blurRad="38100" w14:dist="25400" w14:dir="5400000" w14:sx="100000" w14:sy="100000" w14:kx="0" w14:ky="0" w14:algn="ctr">
              <w14:srgbClr w14:val="6E747A">
                <w14:alpha w14:val="57000"/>
              </w14:srgbClr>
            </w14:shadow>
          </w:rPr>
          <w:t>ES ET DES IMPACTS PREVISIONNELS</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_Toc75432300 \h </w:instrText>
        </w:r>
        <w:r w:rsidR="00802847" w:rsidRPr="00953DD7">
          <w:rPr>
            <w:webHidden/>
            <w:sz w:val="21"/>
            <w:szCs w:val="21"/>
          </w:rPr>
        </w:r>
        <w:r w:rsidR="00802847" w:rsidRPr="00953DD7">
          <w:rPr>
            <w:webHidden/>
            <w:sz w:val="21"/>
            <w:szCs w:val="21"/>
          </w:rPr>
          <w:fldChar w:fldCharType="separate"/>
        </w:r>
        <w:r w:rsidR="0073711A">
          <w:rPr>
            <w:webHidden/>
            <w:sz w:val="21"/>
            <w:szCs w:val="21"/>
          </w:rPr>
          <w:t>110</w:t>
        </w:r>
        <w:r w:rsidR="00802847" w:rsidRPr="00953DD7">
          <w:rPr>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01" w:history="1">
        <w:r w:rsidR="00802847" w:rsidRPr="00953DD7">
          <w:rPr>
            <w:rStyle w:val="Hiperligao"/>
            <w:rFonts w:ascii="Times New Roman" w:hAnsi="Times New Roman"/>
            <w:noProof/>
            <w:sz w:val="21"/>
            <w:szCs w:val="21"/>
          </w:rPr>
          <w:t>7.1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IMPACTS POSITIFS DU PROJET</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_Toc75432301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111</w:t>
        </w:r>
        <w:r w:rsidR="00802847" w:rsidRPr="00953DD7">
          <w:rPr>
            <w:rFonts w:ascii="Times New Roman" w:hAnsi="Times New Roman"/>
            <w:noProof/>
            <w:webHidden/>
            <w:sz w:val="21"/>
            <w:szCs w:val="21"/>
          </w:rPr>
          <w:fldChar w:fldCharType="end"/>
        </w:r>
      </w:hyperlink>
    </w:p>
    <w:p w:rsidR="00802847" w:rsidRPr="00953DD7" w:rsidRDefault="004E1203" w:rsidP="00BF042C">
      <w:pPr>
        <w:pStyle w:val="ndice2"/>
        <w:tabs>
          <w:tab w:val="left" w:pos="960"/>
        </w:tabs>
        <w:rPr>
          <w:rStyle w:val="Hiperligao"/>
          <w:rFonts w:ascii="Times New Roman" w:hAnsi="Times New Roman"/>
          <w:noProof/>
          <w:sz w:val="21"/>
          <w:szCs w:val="21"/>
        </w:rPr>
      </w:pPr>
      <w:hyperlink w:anchor="_Toc75432303" w:history="1">
        <w:r w:rsidR="00802847" w:rsidRPr="00953DD7">
          <w:rPr>
            <w:rStyle w:val="Hiperligao"/>
            <w:rFonts w:ascii="Times New Roman" w:hAnsi="Times New Roman"/>
            <w:noProof/>
            <w:sz w:val="21"/>
            <w:szCs w:val="21"/>
          </w:rPr>
          <w:t xml:space="preserve">7.2  </w:t>
        </w:r>
        <w:r w:rsidR="00BF042C" w:rsidRPr="00953DD7">
          <w:rPr>
            <w:rStyle w:val="Hiperligao"/>
            <w:rFonts w:ascii="Times New Roman" w:hAnsi="Times New Roman"/>
            <w:noProof/>
            <w:sz w:val="21"/>
            <w:szCs w:val="21"/>
          </w:rPr>
          <w:t xml:space="preserve">      </w:t>
        </w:r>
        <w:r w:rsidR="00802847" w:rsidRPr="00953DD7">
          <w:rPr>
            <w:rStyle w:val="Hiperligao"/>
            <w:rFonts w:ascii="Times New Roman" w:hAnsi="Times New Roman"/>
            <w:noProof/>
            <w:sz w:val="21"/>
            <w:szCs w:val="21"/>
          </w:rPr>
          <w:t>IMPACTS NEGATIFS DU PROJET</w:t>
        </w:r>
        <w:r w:rsidR="00802847" w:rsidRPr="00953DD7">
          <w:rPr>
            <w:rStyle w:val="Hiperligao"/>
            <w:rFonts w:ascii="Times New Roman" w:hAnsi="Times New Roman"/>
            <w:noProof/>
            <w:webHidden/>
            <w:sz w:val="21"/>
            <w:szCs w:val="21"/>
          </w:rPr>
          <w:tab/>
        </w:r>
        <w:r w:rsidR="00802847" w:rsidRPr="00953DD7">
          <w:rPr>
            <w:rStyle w:val="Hiperligao"/>
            <w:rFonts w:ascii="Times New Roman" w:hAnsi="Times New Roman"/>
            <w:noProof/>
            <w:webHidden/>
            <w:sz w:val="21"/>
            <w:szCs w:val="21"/>
          </w:rPr>
          <w:fldChar w:fldCharType="begin"/>
        </w:r>
        <w:r w:rsidR="00802847" w:rsidRPr="00953DD7">
          <w:rPr>
            <w:rStyle w:val="Hiperligao"/>
            <w:rFonts w:ascii="Times New Roman" w:hAnsi="Times New Roman"/>
            <w:noProof/>
            <w:webHidden/>
            <w:sz w:val="21"/>
            <w:szCs w:val="21"/>
          </w:rPr>
          <w:instrText xml:space="preserve"> PAGEREF _Toc75432303 \h </w:instrText>
        </w:r>
        <w:r w:rsidR="00802847" w:rsidRPr="00953DD7">
          <w:rPr>
            <w:rStyle w:val="Hiperligao"/>
            <w:rFonts w:ascii="Times New Roman" w:hAnsi="Times New Roman"/>
            <w:noProof/>
            <w:webHidden/>
            <w:sz w:val="21"/>
            <w:szCs w:val="21"/>
          </w:rPr>
        </w:r>
        <w:r w:rsidR="00802847" w:rsidRPr="00953DD7">
          <w:rPr>
            <w:rStyle w:val="Hiperligao"/>
            <w:rFonts w:ascii="Times New Roman" w:hAnsi="Times New Roman"/>
            <w:noProof/>
            <w:webHidden/>
            <w:sz w:val="21"/>
            <w:szCs w:val="21"/>
          </w:rPr>
          <w:fldChar w:fldCharType="separate"/>
        </w:r>
        <w:r w:rsidR="0073711A">
          <w:rPr>
            <w:rStyle w:val="Hiperligao"/>
            <w:rFonts w:ascii="Times New Roman" w:hAnsi="Times New Roman"/>
            <w:noProof/>
            <w:webHidden/>
            <w:sz w:val="21"/>
            <w:szCs w:val="21"/>
          </w:rPr>
          <w:t>116</w:t>
        </w:r>
        <w:r w:rsidR="00802847" w:rsidRPr="00953DD7">
          <w:rPr>
            <w:rStyle w:val="Hiperligao"/>
            <w:rFonts w:ascii="Times New Roman" w:hAnsi="Times New Roman"/>
            <w:noProof/>
            <w:webHidden/>
            <w:sz w:val="21"/>
            <w:szCs w:val="21"/>
          </w:rPr>
          <w:fldChar w:fldCharType="end"/>
        </w:r>
      </w:hyperlink>
    </w:p>
    <w:p w:rsidR="00802847" w:rsidRPr="00953DD7" w:rsidRDefault="004E1203">
      <w:pPr>
        <w:pStyle w:val="ndice2"/>
        <w:tabs>
          <w:tab w:val="left" w:pos="960"/>
        </w:tabs>
        <w:rPr>
          <w:rStyle w:val="Hiperligao"/>
          <w:rFonts w:ascii="Times New Roman" w:hAnsi="Times New Roman"/>
          <w:noProof/>
          <w:sz w:val="21"/>
          <w:szCs w:val="21"/>
        </w:rPr>
      </w:pPr>
      <w:hyperlink w:anchor="_Toc75432304" w:history="1">
        <w:r w:rsidR="00BF042C" w:rsidRPr="00953DD7">
          <w:rPr>
            <w:rStyle w:val="Hiperligao"/>
            <w:rFonts w:ascii="Times New Roman" w:hAnsi="Times New Roman"/>
            <w:noProof/>
            <w:sz w:val="21"/>
            <w:szCs w:val="21"/>
          </w:rPr>
          <w:t>7.3</w:t>
        </w:r>
        <w:r w:rsidR="00BF042C" w:rsidRPr="00953DD7">
          <w:rPr>
            <w:rStyle w:val="Hiperligao"/>
            <w:rFonts w:ascii="Times New Roman" w:hAnsi="Times New Roman"/>
            <w:noProof/>
            <w:sz w:val="21"/>
            <w:szCs w:val="21"/>
          </w:rPr>
          <w:tab/>
          <w:t>ATTENUATION ET/OU EVITEMEN</w:t>
        </w:r>
        <w:r w:rsidR="002727C5" w:rsidRPr="00953DD7">
          <w:rPr>
            <w:rStyle w:val="Hiperligao"/>
            <w:rFonts w:ascii="Times New Roman" w:hAnsi="Times New Roman"/>
            <w:noProof/>
            <w:sz w:val="21"/>
            <w:szCs w:val="21"/>
          </w:rPr>
          <w:t xml:space="preserve">T DES IMPACTS NEGATIFS </w:t>
        </w:r>
        <w:r w:rsidR="00BF042C" w:rsidRPr="00953DD7">
          <w:rPr>
            <w:rStyle w:val="Hiperligao"/>
            <w:rFonts w:ascii="Times New Roman" w:hAnsi="Times New Roman"/>
            <w:noProof/>
            <w:webHidden/>
            <w:sz w:val="21"/>
            <w:szCs w:val="21"/>
          </w:rPr>
          <w:tab/>
        </w:r>
        <w:r w:rsidR="00802847" w:rsidRPr="00953DD7">
          <w:rPr>
            <w:rStyle w:val="Hiperligao"/>
            <w:rFonts w:ascii="Times New Roman" w:hAnsi="Times New Roman"/>
            <w:noProof/>
            <w:webHidden/>
            <w:sz w:val="21"/>
            <w:szCs w:val="21"/>
          </w:rPr>
          <w:fldChar w:fldCharType="begin"/>
        </w:r>
        <w:r w:rsidR="00802847" w:rsidRPr="00953DD7">
          <w:rPr>
            <w:rStyle w:val="Hiperligao"/>
            <w:rFonts w:ascii="Times New Roman" w:hAnsi="Times New Roman"/>
            <w:noProof/>
            <w:webHidden/>
            <w:sz w:val="21"/>
            <w:szCs w:val="21"/>
          </w:rPr>
          <w:instrText xml:space="preserve"> PAGEREF _Toc75432304 \h </w:instrText>
        </w:r>
        <w:r w:rsidR="00802847" w:rsidRPr="00953DD7">
          <w:rPr>
            <w:rStyle w:val="Hiperligao"/>
            <w:rFonts w:ascii="Times New Roman" w:hAnsi="Times New Roman"/>
            <w:noProof/>
            <w:webHidden/>
            <w:sz w:val="21"/>
            <w:szCs w:val="21"/>
          </w:rPr>
        </w:r>
        <w:r w:rsidR="00802847" w:rsidRPr="00953DD7">
          <w:rPr>
            <w:rStyle w:val="Hiperligao"/>
            <w:rFonts w:ascii="Times New Roman" w:hAnsi="Times New Roman"/>
            <w:noProof/>
            <w:webHidden/>
            <w:sz w:val="21"/>
            <w:szCs w:val="21"/>
          </w:rPr>
          <w:fldChar w:fldCharType="separate"/>
        </w:r>
        <w:r w:rsidR="0073711A">
          <w:rPr>
            <w:rStyle w:val="Hiperligao"/>
            <w:rFonts w:ascii="Times New Roman" w:hAnsi="Times New Roman"/>
            <w:noProof/>
            <w:webHidden/>
            <w:sz w:val="21"/>
            <w:szCs w:val="21"/>
          </w:rPr>
          <w:t>127</w:t>
        </w:r>
        <w:r w:rsidR="00802847" w:rsidRPr="00953DD7">
          <w:rPr>
            <w:rStyle w:val="Hiperligao"/>
            <w:rFonts w:ascii="Times New Roman" w:hAnsi="Times New Roman"/>
            <w:noProof/>
            <w:webHidden/>
            <w:sz w:val="21"/>
            <w:szCs w:val="21"/>
          </w:rPr>
          <w:fldChar w:fldCharType="end"/>
        </w:r>
      </w:hyperlink>
    </w:p>
    <w:p w:rsidR="00802847" w:rsidRPr="00953DD7" w:rsidRDefault="004E1203">
      <w:pPr>
        <w:pStyle w:val="ndice1"/>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75432305"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8</w:t>
        </w:r>
        <w:r w:rsidR="00802847" w:rsidRPr="00953DD7">
          <w:rPr>
            <w:rFonts w:eastAsiaTheme="minorEastAsia"/>
            <w:bCs w:val="0"/>
            <w:color w:val="000000"/>
            <w:sz w:val="21"/>
            <w:szCs w:val="21"/>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tab/>
        </w:r>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PROCEDURE DE GESTION ENVIRONNEMENTALE ET SOCIALE</w:t>
        </w:r>
        <w:r w:rsidR="00802847" w:rsidRPr="00953DD7">
          <w:rPr>
            <w:webHidden/>
            <w:sz w:val="21"/>
            <w:szCs w:val="21"/>
          </w:rPr>
          <w:tab/>
        </w:r>
        <w:r w:rsidR="00802847" w:rsidRPr="00953DD7">
          <w:rPr>
            <w:webHidden/>
            <w:sz w:val="21"/>
            <w:szCs w:val="21"/>
          </w:rPr>
          <w:fldChar w:fldCharType="begin"/>
        </w:r>
        <w:r w:rsidR="00802847" w:rsidRPr="00953DD7">
          <w:rPr>
            <w:webHidden/>
            <w:sz w:val="21"/>
            <w:szCs w:val="21"/>
          </w:rPr>
          <w:instrText xml:space="preserve"> PAGEREF _Toc75432305 \h </w:instrText>
        </w:r>
        <w:r w:rsidR="00802847" w:rsidRPr="00953DD7">
          <w:rPr>
            <w:webHidden/>
            <w:sz w:val="21"/>
            <w:szCs w:val="21"/>
          </w:rPr>
        </w:r>
        <w:r w:rsidR="00802847" w:rsidRPr="00953DD7">
          <w:rPr>
            <w:webHidden/>
            <w:sz w:val="21"/>
            <w:szCs w:val="21"/>
          </w:rPr>
          <w:fldChar w:fldCharType="separate"/>
        </w:r>
        <w:r w:rsidR="0073711A">
          <w:rPr>
            <w:webHidden/>
            <w:sz w:val="21"/>
            <w:szCs w:val="21"/>
          </w:rPr>
          <w:t>137</w:t>
        </w:r>
        <w:r w:rsidR="00802847" w:rsidRPr="00953DD7">
          <w:rPr>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06" w:history="1">
        <w:r w:rsidR="00802847" w:rsidRPr="00953DD7">
          <w:rPr>
            <w:rStyle w:val="Hiperligao"/>
            <w:rFonts w:ascii="Times New Roman" w:hAnsi="Times New Roman"/>
            <w:noProof/>
            <w:sz w:val="21"/>
            <w:szCs w:val="21"/>
          </w:rPr>
          <w:t>8.1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LES DIFFERENTES ETAPES DE LA MISE</w:t>
        </w:r>
        <w:r w:rsidR="002727C5" w:rsidRPr="00953DD7">
          <w:rPr>
            <w:rStyle w:val="Hiperligao"/>
            <w:rFonts w:ascii="Times New Roman" w:hAnsi="Times New Roman"/>
            <w:noProof/>
            <w:sz w:val="21"/>
            <w:szCs w:val="21"/>
          </w:rPr>
          <w:t xml:space="preserve"> EN PLACE DE </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_Toc75432306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137</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07" w:history="1">
        <w:r w:rsidR="00802847" w:rsidRPr="00953DD7">
          <w:rPr>
            <w:rStyle w:val="Hiperligao"/>
            <w:rFonts w:ascii="Times New Roman" w:hAnsi="Times New Roman"/>
            <w:noProof/>
            <w:sz w:val="21"/>
            <w:szCs w:val="21"/>
          </w:rPr>
          <w:t>8.2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MESURES D’ATTENUATION</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_Toc75432307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137</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08" w:history="1">
        <w:r w:rsidR="00802847" w:rsidRPr="00953DD7">
          <w:rPr>
            <w:rStyle w:val="Hiperligao"/>
            <w:rFonts w:ascii="Times New Roman" w:hAnsi="Times New Roman"/>
            <w:noProof/>
            <w:sz w:val="21"/>
            <w:szCs w:val="21"/>
          </w:rPr>
          <w:t>8.3</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PROCEDURE DE GESTION ENVIRONNEMEN</w:t>
        </w:r>
        <w:r w:rsidR="0007764A" w:rsidRPr="00953DD7">
          <w:rPr>
            <w:rStyle w:val="Hiperligao"/>
            <w:rFonts w:ascii="Times New Roman" w:hAnsi="Times New Roman"/>
            <w:noProof/>
            <w:sz w:val="21"/>
            <w:szCs w:val="21"/>
          </w:rPr>
          <w:t>TALE ET SOCIALE</w:t>
        </w:r>
        <w:r w:rsidR="002F55A6" w:rsidRPr="00953DD7">
          <w:rPr>
            <w:rStyle w:val="Hiperligao"/>
            <w:rFonts w:ascii="Times New Roman" w:hAnsi="Times New Roman"/>
            <w:noProof/>
            <w:sz w:val="21"/>
            <w:szCs w:val="21"/>
          </w:rPr>
          <w:t xml:space="preserve"> </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_Toc75432308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139</w:t>
        </w:r>
        <w:r w:rsidR="00802847" w:rsidRPr="00953DD7">
          <w:rPr>
            <w:rFonts w:ascii="Times New Roman" w:hAnsi="Times New Roman"/>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09" w:history="1">
        <w:r w:rsidR="00802847" w:rsidRPr="00953DD7">
          <w:rPr>
            <w:rStyle w:val="Hiperligao"/>
            <w:rFonts w:ascii="Times New Roman" w:hAnsi="Times New Roman"/>
            <w:b w:val="0"/>
            <w:noProof/>
            <w:sz w:val="21"/>
            <w:szCs w:val="21"/>
          </w:rPr>
          <w:t>8.3.1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Le processus et les étapes de sélection environnement</w:t>
        </w:r>
        <w:r w:rsidR="0007764A" w:rsidRPr="00953DD7">
          <w:rPr>
            <w:rStyle w:val="Hiperligao"/>
            <w:rFonts w:ascii="Times New Roman" w:hAnsi="Times New Roman"/>
            <w:b w:val="0"/>
            <w:noProof/>
            <w:sz w:val="21"/>
            <w:szCs w:val="21"/>
          </w:rPr>
          <w:t xml:space="preserve">ale et sociale des </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_Toc75432309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139</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10" w:history="1">
        <w:r w:rsidR="00802847" w:rsidRPr="00953DD7">
          <w:rPr>
            <w:rStyle w:val="Hiperligao"/>
            <w:rFonts w:ascii="Times New Roman" w:hAnsi="Times New Roman"/>
            <w:b w:val="0"/>
            <w:noProof/>
            <w:sz w:val="21"/>
            <w:szCs w:val="21"/>
          </w:rPr>
          <w:t>8.3.2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Intégration dans DAO du sous-projet de toutes les m</w:t>
        </w:r>
        <w:r w:rsidR="0007764A" w:rsidRPr="00953DD7">
          <w:rPr>
            <w:rStyle w:val="Hiperligao"/>
            <w:rFonts w:ascii="Times New Roman" w:hAnsi="Times New Roman"/>
            <w:b w:val="0"/>
            <w:noProof/>
            <w:sz w:val="21"/>
            <w:szCs w:val="21"/>
          </w:rPr>
          <w:t>esures de la phase</w:t>
        </w:r>
        <w:r w:rsidR="002F55A6" w:rsidRPr="00953DD7">
          <w:rPr>
            <w:rStyle w:val="Hiperligao"/>
            <w:rFonts w:ascii="Times New Roman" w:hAnsi="Times New Roman"/>
            <w:b w:val="0"/>
            <w:noProof/>
            <w:sz w:val="21"/>
            <w:szCs w:val="21"/>
          </w:rPr>
          <w:t xml:space="preserve"> </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_Toc75432310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143</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11" w:history="1">
        <w:r w:rsidR="00802847" w:rsidRPr="00953DD7">
          <w:rPr>
            <w:rStyle w:val="Hiperligao"/>
            <w:rFonts w:ascii="Times New Roman" w:hAnsi="Times New Roman"/>
            <w:b w:val="0"/>
            <w:noProof/>
            <w:sz w:val="21"/>
            <w:szCs w:val="21"/>
          </w:rPr>
          <w:t>8.3.3</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La supervision et le suivi-évaluation</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_Toc75432311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143</w:t>
        </w:r>
        <w:r w:rsidR="00802847" w:rsidRPr="00953DD7">
          <w:rPr>
            <w:rFonts w:ascii="Times New Roman" w:hAnsi="Times New Roman"/>
            <w:b w:val="0"/>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12" w:history="1">
        <w:r w:rsidR="00802847" w:rsidRPr="00953DD7">
          <w:rPr>
            <w:rStyle w:val="Hiperligao"/>
            <w:rFonts w:ascii="Times New Roman" w:hAnsi="Times New Roman"/>
            <w:noProof/>
            <w:sz w:val="21"/>
            <w:szCs w:val="21"/>
          </w:rPr>
          <w:t>8.4</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ARRANGEMENTS INSTITUTIONNELS ET RECOMMANDATION</w:t>
        </w:r>
        <w:r w:rsidR="0007764A" w:rsidRPr="00953DD7">
          <w:rPr>
            <w:rStyle w:val="Hiperligao"/>
            <w:rFonts w:ascii="Times New Roman" w:hAnsi="Times New Roman"/>
            <w:noProof/>
            <w:sz w:val="21"/>
            <w:szCs w:val="21"/>
          </w:rPr>
          <w:t>S</w:t>
        </w:r>
        <w:r w:rsidR="000D7767" w:rsidRPr="00953DD7">
          <w:rPr>
            <w:rStyle w:val="Hiperligao"/>
            <w:rFonts w:ascii="Times New Roman" w:hAnsi="Times New Roman"/>
            <w:noProof/>
            <w:sz w:val="21"/>
            <w:szCs w:val="21"/>
          </w:rPr>
          <w:t xml:space="preserve"> </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_Toc75432312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144</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13" w:history="1">
        <w:r w:rsidR="00802847" w:rsidRPr="00953DD7">
          <w:rPr>
            <w:rStyle w:val="Hiperligao"/>
            <w:rFonts w:ascii="Times New Roman" w:hAnsi="Times New Roman"/>
            <w:noProof/>
            <w:sz w:val="21"/>
            <w:szCs w:val="21"/>
          </w:rPr>
          <w:t>8.5</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LES INDICATEURS DE SUIVI DU PROC</w:t>
        </w:r>
        <w:r w:rsidR="000D7767" w:rsidRPr="00953DD7">
          <w:rPr>
            <w:rStyle w:val="Hiperligao"/>
            <w:rFonts w:ascii="Times New Roman" w:hAnsi="Times New Roman"/>
            <w:noProof/>
            <w:sz w:val="21"/>
            <w:szCs w:val="21"/>
          </w:rPr>
          <w:t xml:space="preserve">ESSUS DE MISE EN ŒUVRE </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_Toc75432313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147</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15" w:history="1">
        <w:r w:rsidR="00802847" w:rsidRPr="00953DD7">
          <w:rPr>
            <w:rStyle w:val="Hiperligao"/>
            <w:rFonts w:ascii="Times New Roman" w:hAnsi="Times New Roman"/>
            <w:noProof/>
            <w:sz w:val="21"/>
            <w:szCs w:val="21"/>
          </w:rPr>
          <w:t>8.6</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DESCRIPTION DU RENFORC</w:t>
        </w:r>
        <w:r w:rsidR="009F65C8" w:rsidRPr="00953DD7">
          <w:rPr>
            <w:rStyle w:val="Hiperligao"/>
            <w:rFonts w:ascii="Times New Roman" w:hAnsi="Times New Roman"/>
            <w:noProof/>
            <w:sz w:val="21"/>
            <w:szCs w:val="21"/>
          </w:rPr>
          <w:t>EMENT DES CAPACITES, DE</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_Toc75432315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154</w:t>
        </w:r>
        <w:r w:rsidR="00802847" w:rsidRPr="00953DD7">
          <w:rPr>
            <w:rFonts w:ascii="Times New Roman" w:hAnsi="Times New Roman"/>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16" w:history="1">
        <w:r w:rsidR="00802847" w:rsidRPr="00953DD7">
          <w:rPr>
            <w:rStyle w:val="Hiperligao"/>
            <w:rFonts w:ascii="Times New Roman" w:hAnsi="Times New Roman"/>
            <w:b w:val="0"/>
            <w:noProof/>
            <w:sz w:val="21"/>
            <w:szCs w:val="21"/>
          </w:rPr>
          <w:t>8.6.1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Responsabilité de mise en œuvre de la sélection environnementale et sociale</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_Toc75432316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154</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17" w:history="1">
        <w:r w:rsidR="00802847" w:rsidRPr="00953DD7">
          <w:rPr>
            <w:rStyle w:val="Hiperligao"/>
            <w:rFonts w:ascii="Times New Roman" w:hAnsi="Times New Roman"/>
            <w:b w:val="0"/>
            <w:noProof/>
            <w:sz w:val="21"/>
            <w:szCs w:val="21"/>
          </w:rPr>
          <w:t>8.6.2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Recommandations pour la gestion environnementale et sociale du projet</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_Toc75432317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154</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18" w:history="1">
        <w:r w:rsidR="00802847" w:rsidRPr="00953DD7">
          <w:rPr>
            <w:rStyle w:val="Hiperligao"/>
            <w:rFonts w:ascii="Times New Roman" w:hAnsi="Times New Roman"/>
            <w:b w:val="0"/>
            <w:noProof/>
            <w:sz w:val="21"/>
            <w:szCs w:val="21"/>
          </w:rPr>
          <w:t>8.6.3</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Evaluation des capacités des parties prenantes en matière de ges</w:t>
        </w:r>
        <w:r w:rsidR="002F55A6" w:rsidRPr="00953DD7">
          <w:rPr>
            <w:rStyle w:val="Hiperligao"/>
            <w:rFonts w:ascii="Times New Roman" w:hAnsi="Times New Roman"/>
            <w:b w:val="0"/>
            <w:noProof/>
            <w:sz w:val="21"/>
            <w:szCs w:val="21"/>
          </w:rPr>
          <w:t xml:space="preserve">tion </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_Toc75432318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157</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19" w:history="1">
        <w:r w:rsidR="00802847" w:rsidRPr="00953DD7">
          <w:rPr>
            <w:rStyle w:val="Hiperligao"/>
            <w:rFonts w:ascii="Times New Roman" w:hAnsi="Times New Roman"/>
            <w:b w:val="0"/>
            <w:noProof/>
            <w:sz w:val="21"/>
            <w:szCs w:val="21"/>
          </w:rPr>
          <w:t>8.6.4</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Mesures de renforcement des capacités de gestion enviro</w:t>
        </w:r>
        <w:r w:rsidR="009F65C8" w:rsidRPr="00953DD7">
          <w:rPr>
            <w:rStyle w:val="Hiperligao"/>
            <w:rFonts w:ascii="Times New Roman" w:hAnsi="Times New Roman"/>
            <w:b w:val="0"/>
            <w:noProof/>
            <w:sz w:val="21"/>
            <w:szCs w:val="21"/>
          </w:rPr>
          <w:t xml:space="preserve">nnementale des </w:t>
        </w:r>
        <w:r w:rsidR="002F55A6" w:rsidRPr="00953DD7">
          <w:rPr>
            <w:rStyle w:val="Hiperligao"/>
            <w:rFonts w:ascii="Times New Roman" w:hAnsi="Times New Roman"/>
            <w:b w:val="0"/>
            <w:noProof/>
            <w:sz w:val="21"/>
            <w:szCs w:val="21"/>
          </w:rPr>
          <w:t xml:space="preserve"> </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_Toc75432319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158</w:t>
        </w:r>
        <w:r w:rsidR="00802847" w:rsidRPr="00953DD7">
          <w:rPr>
            <w:rFonts w:ascii="Times New Roman" w:hAnsi="Times New Roman"/>
            <w:b w:val="0"/>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20" w:history="1">
        <w:r w:rsidR="00802847" w:rsidRPr="00953DD7">
          <w:rPr>
            <w:rStyle w:val="Hiperligao"/>
            <w:rFonts w:ascii="Times New Roman" w:hAnsi="Times New Roman"/>
            <w:noProof/>
            <w:sz w:val="21"/>
            <w:szCs w:val="21"/>
          </w:rPr>
          <w:t>8.7</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EVALUATION DES COUTS DES MESURES ENVIRONNEMENTALES ET SOCIALES</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_Toc75432320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158</w:t>
        </w:r>
        <w:r w:rsidR="00802847" w:rsidRPr="00953DD7">
          <w:rPr>
            <w:rFonts w:ascii="Times New Roman" w:hAnsi="Times New Roman"/>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21" w:history="1">
        <w:r w:rsidR="00802847" w:rsidRPr="00953DD7">
          <w:rPr>
            <w:rStyle w:val="Hiperligao"/>
            <w:rFonts w:ascii="Times New Roman" w:hAnsi="Times New Roman"/>
            <w:noProof/>
            <w:sz w:val="21"/>
            <w:szCs w:val="21"/>
          </w:rPr>
          <w:t>8.8</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CONSULTATION DU PUBLIC</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_Toc75432321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160</w:t>
        </w:r>
        <w:r w:rsidR="00802847" w:rsidRPr="00953DD7">
          <w:rPr>
            <w:rFonts w:ascii="Times New Roman" w:hAnsi="Times New Roman"/>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22" w:history="1">
        <w:r w:rsidR="00802847" w:rsidRPr="00953DD7">
          <w:rPr>
            <w:rStyle w:val="Hiperligao"/>
            <w:rFonts w:ascii="Times New Roman" w:hAnsi="Times New Roman"/>
            <w:b w:val="0"/>
            <w:noProof/>
            <w:sz w:val="21"/>
            <w:szCs w:val="21"/>
          </w:rPr>
          <w:t>8.8.1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Objectifs de la consultation</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_Toc75432322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160</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23" w:history="1">
        <w:r w:rsidR="00FB79BB" w:rsidRPr="00953DD7">
          <w:rPr>
            <w:rStyle w:val="Hiperligao"/>
            <w:rFonts w:ascii="Times New Roman" w:hAnsi="Times New Roman"/>
            <w:b w:val="0"/>
            <w:noProof/>
            <w:sz w:val="21"/>
            <w:szCs w:val="21"/>
          </w:rPr>
          <w:t>8.8.2</w:t>
        </w:r>
        <w:r w:rsidR="00FB79BB" w:rsidRPr="00953DD7">
          <w:rPr>
            <w:rFonts w:ascii="Times New Roman" w:eastAsiaTheme="minorEastAsia" w:hAnsi="Times New Roman"/>
            <w:b w:val="0"/>
            <w:bCs w:val="0"/>
            <w:noProof/>
            <w:sz w:val="21"/>
            <w:szCs w:val="21"/>
          </w:rPr>
          <w:tab/>
        </w:r>
        <w:r w:rsidR="00FB79BB" w:rsidRPr="00953DD7">
          <w:rPr>
            <w:rStyle w:val="Hiperligao"/>
            <w:rFonts w:ascii="Times New Roman" w:hAnsi="Times New Roman"/>
            <w:b w:val="0"/>
            <w:noProof/>
            <w:sz w:val="21"/>
            <w:szCs w:val="21"/>
          </w:rPr>
          <w:t>Methodologie et mise en œuvre de la consultation</w:t>
        </w:r>
        <w:r w:rsidR="00FB79BB"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_Toc75432323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160</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25" w:history="1">
        <w:r w:rsidR="00FB79BB" w:rsidRPr="00953DD7">
          <w:rPr>
            <w:rStyle w:val="Hiperligao"/>
            <w:rFonts w:ascii="Times New Roman" w:hAnsi="Times New Roman"/>
            <w:b w:val="0"/>
            <w:noProof/>
            <w:sz w:val="21"/>
            <w:szCs w:val="21"/>
          </w:rPr>
          <w:t>8.8.3</w:t>
        </w:r>
        <w:r w:rsidR="00FB79BB" w:rsidRPr="00953DD7">
          <w:rPr>
            <w:rFonts w:ascii="Times New Roman" w:eastAsiaTheme="minorEastAsia" w:hAnsi="Times New Roman"/>
            <w:b w:val="0"/>
            <w:bCs w:val="0"/>
            <w:noProof/>
            <w:sz w:val="21"/>
            <w:szCs w:val="21"/>
          </w:rPr>
          <w:tab/>
        </w:r>
        <w:r w:rsidR="00FB79BB" w:rsidRPr="00953DD7">
          <w:rPr>
            <w:rStyle w:val="Hiperligao"/>
            <w:rFonts w:ascii="Times New Roman" w:hAnsi="Times New Roman"/>
            <w:b w:val="0"/>
            <w:noProof/>
            <w:sz w:val="21"/>
            <w:szCs w:val="21"/>
          </w:rPr>
          <w:t>Avis et perceptions institutionnels et sociaux du projet</w:t>
        </w:r>
        <w:r w:rsidR="00FB79BB"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_Toc75432325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161</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26" w:history="1">
        <w:r w:rsidR="00FB79BB" w:rsidRPr="00953DD7">
          <w:rPr>
            <w:rStyle w:val="Hiperligao"/>
            <w:rFonts w:ascii="Times New Roman" w:hAnsi="Times New Roman"/>
            <w:b w:val="0"/>
            <w:noProof/>
            <w:sz w:val="21"/>
            <w:szCs w:val="21"/>
          </w:rPr>
          <w:t>8.8.4</w:t>
        </w:r>
        <w:r w:rsidR="00FB79BB" w:rsidRPr="00953DD7">
          <w:rPr>
            <w:rFonts w:ascii="Times New Roman" w:eastAsiaTheme="minorEastAsia" w:hAnsi="Times New Roman"/>
            <w:b w:val="0"/>
            <w:bCs w:val="0"/>
            <w:noProof/>
            <w:sz w:val="21"/>
            <w:szCs w:val="21"/>
          </w:rPr>
          <w:tab/>
        </w:r>
        <w:r w:rsidR="00FB79BB" w:rsidRPr="00953DD7">
          <w:rPr>
            <w:rStyle w:val="Hiperligao"/>
            <w:rFonts w:ascii="Times New Roman" w:hAnsi="Times New Roman"/>
            <w:b w:val="0"/>
            <w:noProof/>
            <w:sz w:val="21"/>
            <w:szCs w:val="21"/>
          </w:rPr>
          <w:t>les preoccupations des acteurs rencontres</w:t>
        </w:r>
        <w:r w:rsidR="00FB79BB"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_Toc75432326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162</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27" w:history="1">
        <w:r w:rsidR="00FB79BB" w:rsidRPr="00953DD7">
          <w:rPr>
            <w:rStyle w:val="Hiperligao"/>
            <w:rFonts w:ascii="Times New Roman" w:hAnsi="Times New Roman"/>
            <w:b w:val="0"/>
            <w:noProof/>
            <w:sz w:val="21"/>
            <w:szCs w:val="21"/>
          </w:rPr>
          <w:t>8.8.5</w:t>
        </w:r>
        <w:r w:rsidR="00FB79BB" w:rsidRPr="00953DD7">
          <w:rPr>
            <w:rFonts w:ascii="Times New Roman" w:eastAsiaTheme="minorEastAsia" w:hAnsi="Times New Roman"/>
            <w:b w:val="0"/>
            <w:bCs w:val="0"/>
            <w:noProof/>
            <w:sz w:val="21"/>
            <w:szCs w:val="21"/>
          </w:rPr>
          <w:tab/>
        </w:r>
        <w:r w:rsidR="00FB79BB" w:rsidRPr="00953DD7">
          <w:rPr>
            <w:rStyle w:val="Hiperligao"/>
            <w:rFonts w:ascii="Times New Roman" w:hAnsi="Times New Roman"/>
            <w:b w:val="0"/>
            <w:noProof/>
            <w:sz w:val="21"/>
            <w:szCs w:val="21"/>
          </w:rPr>
          <w:t>les recommandations des acteurs</w:t>
        </w:r>
        <w:r w:rsidR="00FB79BB"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_Toc75432327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162</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28" w:history="1">
        <w:r w:rsidR="00802847" w:rsidRPr="00953DD7">
          <w:rPr>
            <w:rStyle w:val="Hiperligao"/>
            <w:rFonts w:ascii="Times New Roman" w:hAnsi="Times New Roman"/>
            <w:b w:val="0"/>
            <w:noProof/>
            <w:sz w:val="21"/>
            <w:szCs w:val="21"/>
          </w:rPr>
          <w:t>8.8.6</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Conclusion des Consultations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_Toc75432328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163</w:t>
        </w:r>
        <w:r w:rsidR="00802847" w:rsidRPr="00953DD7">
          <w:rPr>
            <w:rFonts w:ascii="Times New Roman" w:hAnsi="Times New Roman"/>
            <w:b w:val="0"/>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29" w:history="1">
        <w:r w:rsidR="00802847" w:rsidRPr="00953DD7">
          <w:rPr>
            <w:rStyle w:val="Hiperligao"/>
            <w:rFonts w:ascii="Times New Roman" w:hAnsi="Times New Roman"/>
            <w:noProof/>
            <w:sz w:val="21"/>
            <w:szCs w:val="21"/>
          </w:rPr>
          <w:t>8.9</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PLAN DE MOBILISATION DES PARTIES PRENANTES (PMPP)</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_Toc75432329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164</w:t>
        </w:r>
        <w:r w:rsidR="00802847" w:rsidRPr="00953DD7">
          <w:rPr>
            <w:rFonts w:ascii="Times New Roman" w:hAnsi="Times New Roman"/>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30" w:history="1">
        <w:r w:rsidR="00802847" w:rsidRPr="00953DD7">
          <w:rPr>
            <w:rStyle w:val="Hiperligao"/>
            <w:rFonts w:ascii="Times New Roman" w:hAnsi="Times New Roman"/>
            <w:b w:val="0"/>
            <w:noProof/>
            <w:sz w:val="21"/>
            <w:szCs w:val="21"/>
          </w:rPr>
          <w:t>8.9.1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Identification et analyse des Parties Prenantes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_Toc75432330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164</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31" w:history="1">
        <w:r w:rsidR="00802847" w:rsidRPr="00953DD7">
          <w:rPr>
            <w:rStyle w:val="Hiperligao"/>
            <w:rFonts w:ascii="Times New Roman" w:hAnsi="Times New Roman"/>
            <w:b w:val="0"/>
            <w:noProof/>
            <w:sz w:val="21"/>
            <w:szCs w:val="21"/>
          </w:rPr>
          <w:t>8.9.2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Programme de mobilisation des parties prenantes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_Toc75432331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166</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1200"/>
        </w:tabs>
        <w:ind w:left="709"/>
        <w:rPr>
          <w:rFonts w:ascii="Times New Roman" w:eastAsiaTheme="minorEastAsia" w:hAnsi="Times New Roman"/>
          <w:b w:val="0"/>
          <w:bCs w:val="0"/>
          <w:noProof/>
          <w:sz w:val="21"/>
          <w:szCs w:val="21"/>
        </w:rPr>
      </w:pPr>
      <w:hyperlink w:anchor="_Toc75432332" w:history="1">
        <w:r w:rsidR="00802847" w:rsidRPr="00953DD7">
          <w:rPr>
            <w:rStyle w:val="Hiperligao"/>
            <w:rFonts w:ascii="Times New Roman" w:hAnsi="Times New Roman"/>
            <w:b w:val="0"/>
            <w:noProof/>
            <w:sz w:val="21"/>
            <w:szCs w:val="21"/>
          </w:rPr>
          <w:t>8.9.2.1</w:t>
        </w:r>
        <w:r w:rsidR="00BF042C" w:rsidRPr="00953DD7">
          <w:rPr>
            <w:rFonts w:ascii="Times New Roman" w:eastAsiaTheme="minorEastAsia" w:hAnsi="Times New Roman"/>
            <w:b w:val="0"/>
            <w:bCs w:val="0"/>
            <w:noProof/>
            <w:sz w:val="21"/>
            <w:szCs w:val="21"/>
          </w:rPr>
          <w:t xml:space="preserve">   </w:t>
        </w:r>
        <w:r w:rsidR="00802847" w:rsidRPr="00953DD7">
          <w:rPr>
            <w:rStyle w:val="Hiperligao"/>
            <w:rFonts w:ascii="Times New Roman" w:hAnsi="Times New Roman"/>
            <w:b w:val="0"/>
            <w:noProof/>
            <w:sz w:val="21"/>
            <w:szCs w:val="21"/>
          </w:rPr>
          <w:t>Les besoins et méthodes, outils et te</w:t>
        </w:r>
        <w:r w:rsidR="00B07E19" w:rsidRPr="00953DD7">
          <w:rPr>
            <w:rStyle w:val="Hiperligao"/>
            <w:rFonts w:ascii="Times New Roman" w:hAnsi="Times New Roman"/>
            <w:b w:val="0"/>
            <w:noProof/>
            <w:sz w:val="21"/>
            <w:szCs w:val="21"/>
          </w:rPr>
          <w:t xml:space="preserve">chniques des parties prenantes </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_Toc75432332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166</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1200"/>
        </w:tabs>
        <w:ind w:left="709"/>
        <w:rPr>
          <w:rFonts w:ascii="Times New Roman" w:eastAsiaTheme="minorEastAsia" w:hAnsi="Times New Roman"/>
          <w:b w:val="0"/>
          <w:bCs w:val="0"/>
          <w:noProof/>
          <w:sz w:val="21"/>
          <w:szCs w:val="21"/>
        </w:rPr>
      </w:pPr>
      <w:hyperlink w:anchor="_Toc75432333" w:history="1">
        <w:r w:rsidR="00802847" w:rsidRPr="00953DD7">
          <w:rPr>
            <w:rStyle w:val="Hiperligao"/>
            <w:rFonts w:ascii="Times New Roman" w:hAnsi="Times New Roman"/>
            <w:b w:val="0"/>
            <w:noProof/>
            <w:sz w:val="21"/>
            <w:szCs w:val="21"/>
          </w:rPr>
          <w:t>8.9.2.2</w:t>
        </w:r>
        <w:r w:rsidR="00BF042C" w:rsidRPr="00953DD7">
          <w:rPr>
            <w:rFonts w:ascii="Times New Roman" w:eastAsiaTheme="minorEastAsia" w:hAnsi="Times New Roman"/>
            <w:b w:val="0"/>
            <w:bCs w:val="0"/>
            <w:noProof/>
            <w:sz w:val="21"/>
            <w:szCs w:val="21"/>
          </w:rPr>
          <w:t xml:space="preserve">   </w:t>
        </w:r>
        <w:r w:rsidR="00802847" w:rsidRPr="00953DD7">
          <w:rPr>
            <w:rStyle w:val="Hiperligao"/>
            <w:rFonts w:ascii="Times New Roman" w:hAnsi="Times New Roman"/>
            <w:b w:val="0"/>
            <w:noProof/>
            <w:sz w:val="21"/>
            <w:szCs w:val="21"/>
          </w:rPr>
          <w:t>Proposition de stratégie de consultation</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_Toc75432333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166</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34" w:history="1">
        <w:r w:rsidR="00802847" w:rsidRPr="00953DD7">
          <w:rPr>
            <w:rStyle w:val="Hiperligao"/>
            <w:rFonts w:ascii="Times New Roman" w:hAnsi="Times New Roman"/>
            <w:b w:val="0"/>
            <w:noProof/>
            <w:sz w:val="21"/>
            <w:szCs w:val="21"/>
          </w:rPr>
          <w:t>8.9.3</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Objectifs et calendrier de méthode de mobilisation</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_Toc75432334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167</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35" w:history="1">
        <w:r w:rsidR="00802847" w:rsidRPr="00953DD7">
          <w:rPr>
            <w:rStyle w:val="Hiperligao"/>
            <w:rFonts w:ascii="Times New Roman" w:hAnsi="Times New Roman"/>
            <w:b w:val="0"/>
            <w:noProof/>
            <w:sz w:val="21"/>
            <w:szCs w:val="21"/>
          </w:rPr>
          <w:t>8.9.4</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Stratégie proposée pour la diffusion des informations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_Toc75432335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167</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39" w:history="1">
        <w:r w:rsidR="00802847" w:rsidRPr="00953DD7">
          <w:rPr>
            <w:rStyle w:val="Hiperligao"/>
            <w:rFonts w:ascii="Times New Roman" w:hAnsi="Times New Roman"/>
            <w:b w:val="0"/>
            <w:noProof/>
            <w:sz w:val="21"/>
            <w:szCs w:val="21"/>
          </w:rPr>
          <w:t>8.9.5</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Ressources et responsabilités pour la m</w:t>
        </w:r>
        <w:r w:rsidR="000452C0" w:rsidRPr="00953DD7">
          <w:rPr>
            <w:rStyle w:val="Hiperligao"/>
            <w:rFonts w:ascii="Times New Roman" w:hAnsi="Times New Roman"/>
            <w:b w:val="0"/>
            <w:noProof/>
            <w:sz w:val="21"/>
            <w:szCs w:val="21"/>
          </w:rPr>
          <w:t>ise en œuvre des activités de</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_Toc75432339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168</w:t>
        </w:r>
        <w:r w:rsidR="00802847" w:rsidRPr="00953DD7">
          <w:rPr>
            <w:rFonts w:ascii="Times New Roman" w:hAnsi="Times New Roman"/>
            <w:b w:val="0"/>
            <w:noProof/>
            <w:webHidden/>
            <w:sz w:val="21"/>
            <w:szCs w:val="21"/>
          </w:rPr>
          <w:fldChar w:fldCharType="end"/>
        </w:r>
      </w:hyperlink>
    </w:p>
    <w:p w:rsidR="00802847" w:rsidRPr="00953DD7" w:rsidRDefault="004E1203" w:rsidP="00BF042C">
      <w:pPr>
        <w:pStyle w:val="ndice2"/>
        <w:tabs>
          <w:tab w:val="left" w:pos="960"/>
        </w:tabs>
        <w:ind w:left="426"/>
        <w:rPr>
          <w:rFonts w:ascii="Times New Roman" w:eastAsiaTheme="minorEastAsia" w:hAnsi="Times New Roman"/>
          <w:b w:val="0"/>
          <w:bCs w:val="0"/>
          <w:noProof/>
          <w:sz w:val="21"/>
          <w:szCs w:val="21"/>
        </w:rPr>
      </w:pPr>
      <w:hyperlink w:anchor="_Toc75432340" w:history="1">
        <w:r w:rsidR="00802847" w:rsidRPr="00953DD7">
          <w:rPr>
            <w:rStyle w:val="Hiperligao"/>
            <w:rFonts w:ascii="Times New Roman" w:hAnsi="Times New Roman"/>
            <w:b w:val="0"/>
            <w:noProof/>
            <w:sz w:val="21"/>
            <w:szCs w:val="21"/>
          </w:rPr>
          <w:t>8.9.6</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A l’avenir dans le projet</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_Toc75432340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168</w:t>
        </w:r>
        <w:r w:rsidR="00802847" w:rsidRPr="00953DD7">
          <w:rPr>
            <w:rFonts w:ascii="Times New Roman" w:hAnsi="Times New Roman"/>
            <w:b w:val="0"/>
            <w:noProof/>
            <w:webHidden/>
            <w:sz w:val="21"/>
            <w:szCs w:val="21"/>
          </w:rPr>
          <w:fldChar w:fldCharType="end"/>
        </w:r>
      </w:hyperlink>
    </w:p>
    <w:p w:rsidR="00802847" w:rsidRPr="00953DD7" w:rsidRDefault="004E1203">
      <w:pPr>
        <w:pStyle w:val="ndice2"/>
        <w:tabs>
          <w:tab w:val="left" w:pos="960"/>
        </w:tabs>
        <w:rPr>
          <w:rFonts w:ascii="Times New Roman" w:eastAsiaTheme="minorEastAsia" w:hAnsi="Times New Roman"/>
          <w:b w:val="0"/>
          <w:bCs w:val="0"/>
          <w:noProof/>
          <w:sz w:val="21"/>
          <w:szCs w:val="21"/>
        </w:rPr>
      </w:pPr>
      <w:hyperlink w:anchor="_Toc75432341" w:history="1">
        <w:r w:rsidR="00802847" w:rsidRPr="00953DD7">
          <w:rPr>
            <w:rStyle w:val="Hiperligao"/>
            <w:rFonts w:ascii="Times New Roman" w:hAnsi="Times New Roman"/>
            <w:noProof/>
            <w:sz w:val="21"/>
            <w:szCs w:val="21"/>
          </w:rPr>
          <w:t>8.10</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noProof/>
            <w:sz w:val="21"/>
            <w:szCs w:val="21"/>
          </w:rPr>
          <w:t>MECANISME DE GESTION DES PLAINTES</w:t>
        </w:r>
        <w:r w:rsidR="00802847" w:rsidRPr="00953DD7">
          <w:rPr>
            <w:rFonts w:ascii="Times New Roman" w:hAnsi="Times New Roman"/>
            <w:noProof/>
            <w:webHidden/>
            <w:sz w:val="21"/>
            <w:szCs w:val="21"/>
          </w:rPr>
          <w:tab/>
        </w:r>
        <w:r w:rsidR="00802847" w:rsidRPr="00953DD7">
          <w:rPr>
            <w:rFonts w:ascii="Times New Roman" w:hAnsi="Times New Roman"/>
            <w:noProof/>
            <w:webHidden/>
            <w:sz w:val="21"/>
            <w:szCs w:val="21"/>
          </w:rPr>
          <w:fldChar w:fldCharType="begin"/>
        </w:r>
        <w:r w:rsidR="00802847" w:rsidRPr="00953DD7">
          <w:rPr>
            <w:rFonts w:ascii="Times New Roman" w:hAnsi="Times New Roman"/>
            <w:noProof/>
            <w:webHidden/>
            <w:sz w:val="21"/>
            <w:szCs w:val="21"/>
          </w:rPr>
          <w:instrText xml:space="preserve"> PAGEREF _Toc75432341 \h </w:instrText>
        </w:r>
        <w:r w:rsidR="00802847" w:rsidRPr="00953DD7">
          <w:rPr>
            <w:rFonts w:ascii="Times New Roman" w:hAnsi="Times New Roman"/>
            <w:noProof/>
            <w:webHidden/>
            <w:sz w:val="21"/>
            <w:szCs w:val="21"/>
          </w:rPr>
        </w:r>
        <w:r w:rsidR="00802847" w:rsidRPr="00953DD7">
          <w:rPr>
            <w:rFonts w:ascii="Times New Roman" w:hAnsi="Times New Roman"/>
            <w:noProof/>
            <w:webHidden/>
            <w:sz w:val="21"/>
            <w:szCs w:val="21"/>
          </w:rPr>
          <w:fldChar w:fldCharType="separate"/>
        </w:r>
        <w:r w:rsidR="0073711A">
          <w:rPr>
            <w:rFonts w:ascii="Times New Roman" w:hAnsi="Times New Roman"/>
            <w:noProof/>
            <w:webHidden/>
            <w:sz w:val="21"/>
            <w:szCs w:val="21"/>
          </w:rPr>
          <w:t>168</w:t>
        </w:r>
        <w:r w:rsidR="00802847" w:rsidRPr="00953DD7">
          <w:rPr>
            <w:rFonts w:ascii="Times New Roman" w:hAnsi="Times New Roman"/>
            <w:noProof/>
            <w:webHidden/>
            <w:sz w:val="21"/>
            <w:szCs w:val="21"/>
          </w:rPr>
          <w:fldChar w:fldCharType="end"/>
        </w:r>
      </w:hyperlink>
    </w:p>
    <w:p w:rsidR="00802847" w:rsidRPr="00953DD7" w:rsidRDefault="004E1203" w:rsidP="00C62222">
      <w:pPr>
        <w:pStyle w:val="ndice2"/>
        <w:tabs>
          <w:tab w:val="left" w:pos="1200"/>
        </w:tabs>
        <w:ind w:left="426"/>
        <w:rPr>
          <w:rFonts w:ascii="Times New Roman" w:eastAsiaTheme="minorEastAsia" w:hAnsi="Times New Roman"/>
          <w:b w:val="0"/>
          <w:bCs w:val="0"/>
          <w:noProof/>
          <w:sz w:val="21"/>
          <w:szCs w:val="21"/>
        </w:rPr>
      </w:pPr>
      <w:hyperlink w:anchor="_Toc75432342" w:history="1">
        <w:r w:rsidR="00802847" w:rsidRPr="00953DD7">
          <w:rPr>
            <w:rStyle w:val="Hiperligao"/>
            <w:rFonts w:ascii="Times New Roman" w:hAnsi="Times New Roman"/>
            <w:b w:val="0"/>
            <w:noProof/>
            <w:sz w:val="21"/>
            <w:szCs w:val="21"/>
          </w:rPr>
          <w:t>8.10.1</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Organisation du Mécanisme de Gestion des Plaintes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_Toc75432342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169</w:t>
        </w:r>
        <w:r w:rsidR="00802847" w:rsidRPr="00953DD7">
          <w:rPr>
            <w:rFonts w:ascii="Times New Roman" w:hAnsi="Times New Roman"/>
            <w:b w:val="0"/>
            <w:noProof/>
            <w:webHidden/>
            <w:sz w:val="21"/>
            <w:szCs w:val="21"/>
          </w:rPr>
          <w:fldChar w:fldCharType="end"/>
        </w:r>
      </w:hyperlink>
    </w:p>
    <w:p w:rsidR="00802847" w:rsidRPr="00953DD7" w:rsidRDefault="004E1203" w:rsidP="00C62222">
      <w:pPr>
        <w:pStyle w:val="ndice2"/>
        <w:tabs>
          <w:tab w:val="left" w:pos="1200"/>
        </w:tabs>
        <w:ind w:left="426"/>
        <w:rPr>
          <w:rFonts w:ascii="Times New Roman" w:eastAsiaTheme="minorEastAsia" w:hAnsi="Times New Roman"/>
          <w:b w:val="0"/>
          <w:bCs w:val="0"/>
          <w:noProof/>
          <w:sz w:val="21"/>
          <w:szCs w:val="21"/>
        </w:rPr>
      </w:pPr>
      <w:hyperlink w:anchor="_Toc75432343" w:history="1">
        <w:r w:rsidR="00802847" w:rsidRPr="00953DD7">
          <w:rPr>
            <w:rStyle w:val="Hiperligao"/>
            <w:rFonts w:ascii="Times New Roman" w:hAnsi="Times New Roman"/>
            <w:b w:val="0"/>
            <w:noProof/>
            <w:sz w:val="21"/>
            <w:szCs w:val="21"/>
          </w:rPr>
          <w:t>8.10.2</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Description du MGP</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_Toc75432343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169</w:t>
        </w:r>
        <w:r w:rsidR="00802847" w:rsidRPr="00953DD7">
          <w:rPr>
            <w:rFonts w:ascii="Times New Roman" w:hAnsi="Times New Roman"/>
            <w:b w:val="0"/>
            <w:noProof/>
            <w:webHidden/>
            <w:sz w:val="21"/>
            <w:szCs w:val="21"/>
          </w:rPr>
          <w:fldChar w:fldCharType="end"/>
        </w:r>
      </w:hyperlink>
    </w:p>
    <w:p w:rsidR="00802847" w:rsidRPr="00953DD7" w:rsidRDefault="004E1203" w:rsidP="00C62222">
      <w:pPr>
        <w:pStyle w:val="ndice2"/>
        <w:tabs>
          <w:tab w:val="left" w:pos="1200"/>
        </w:tabs>
        <w:ind w:left="426"/>
        <w:rPr>
          <w:rFonts w:ascii="Times New Roman" w:eastAsiaTheme="minorEastAsia" w:hAnsi="Times New Roman"/>
          <w:b w:val="0"/>
          <w:bCs w:val="0"/>
          <w:noProof/>
          <w:sz w:val="21"/>
          <w:szCs w:val="21"/>
        </w:rPr>
      </w:pPr>
      <w:hyperlink w:anchor="_Toc75432344" w:history="1">
        <w:r w:rsidR="00802847" w:rsidRPr="00953DD7">
          <w:rPr>
            <w:rStyle w:val="Hiperligao"/>
            <w:rFonts w:ascii="Times New Roman" w:hAnsi="Times New Roman"/>
            <w:b w:val="0"/>
            <w:noProof/>
            <w:sz w:val="21"/>
            <w:szCs w:val="21"/>
          </w:rPr>
          <w:t>8.10.3</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Lieux d'enregistrement des plaintes - Voies de recours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_Toc75432344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170</w:t>
        </w:r>
        <w:r w:rsidR="00802847" w:rsidRPr="00953DD7">
          <w:rPr>
            <w:rFonts w:ascii="Times New Roman" w:hAnsi="Times New Roman"/>
            <w:b w:val="0"/>
            <w:noProof/>
            <w:webHidden/>
            <w:sz w:val="21"/>
            <w:szCs w:val="21"/>
          </w:rPr>
          <w:fldChar w:fldCharType="end"/>
        </w:r>
      </w:hyperlink>
    </w:p>
    <w:p w:rsidR="00802847" w:rsidRPr="00953DD7" w:rsidRDefault="004E1203" w:rsidP="00C62222">
      <w:pPr>
        <w:pStyle w:val="ndice2"/>
        <w:tabs>
          <w:tab w:val="left" w:pos="1200"/>
        </w:tabs>
        <w:ind w:left="426"/>
        <w:rPr>
          <w:rFonts w:ascii="Times New Roman" w:eastAsiaTheme="minorEastAsia" w:hAnsi="Times New Roman"/>
          <w:b w:val="0"/>
          <w:bCs w:val="0"/>
          <w:noProof/>
          <w:sz w:val="21"/>
          <w:szCs w:val="21"/>
        </w:rPr>
      </w:pPr>
      <w:hyperlink w:anchor="_Toc75432345" w:history="1">
        <w:r w:rsidR="00802847" w:rsidRPr="00953DD7">
          <w:rPr>
            <w:rStyle w:val="Hiperligao"/>
            <w:rFonts w:ascii="Times New Roman" w:hAnsi="Times New Roman"/>
            <w:b w:val="0"/>
            <w:noProof/>
            <w:sz w:val="21"/>
            <w:szCs w:val="21"/>
          </w:rPr>
          <w:t>8.10.4</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Dispositions organisationnelles</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_Toc75432345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170</w:t>
        </w:r>
        <w:r w:rsidR="00802847" w:rsidRPr="00953DD7">
          <w:rPr>
            <w:rFonts w:ascii="Times New Roman" w:hAnsi="Times New Roman"/>
            <w:b w:val="0"/>
            <w:noProof/>
            <w:webHidden/>
            <w:sz w:val="21"/>
            <w:szCs w:val="21"/>
          </w:rPr>
          <w:fldChar w:fldCharType="end"/>
        </w:r>
      </w:hyperlink>
    </w:p>
    <w:p w:rsidR="00802847" w:rsidRPr="00953DD7" w:rsidRDefault="004E1203" w:rsidP="00C62222">
      <w:pPr>
        <w:pStyle w:val="ndice2"/>
        <w:tabs>
          <w:tab w:val="left" w:pos="1200"/>
        </w:tabs>
        <w:ind w:left="426"/>
        <w:rPr>
          <w:rFonts w:ascii="Times New Roman" w:eastAsiaTheme="minorEastAsia" w:hAnsi="Times New Roman"/>
          <w:b w:val="0"/>
          <w:bCs w:val="0"/>
          <w:noProof/>
          <w:sz w:val="21"/>
          <w:szCs w:val="21"/>
        </w:rPr>
      </w:pPr>
      <w:hyperlink w:anchor="_Toc75432346" w:history="1">
        <w:r w:rsidR="00802847" w:rsidRPr="00953DD7">
          <w:rPr>
            <w:rStyle w:val="Hiperligao"/>
            <w:rFonts w:ascii="Times New Roman" w:hAnsi="Times New Roman"/>
            <w:b w:val="0"/>
            <w:noProof/>
            <w:sz w:val="21"/>
            <w:szCs w:val="21"/>
          </w:rPr>
          <w:t>8.10.5</w:t>
        </w:r>
        <w:r w:rsidR="00802847" w:rsidRPr="00953DD7">
          <w:rPr>
            <w:rFonts w:ascii="Times New Roman" w:eastAsiaTheme="minorEastAsia" w:hAnsi="Times New Roman"/>
            <w:b w:val="0"/>
            <w:bCs w:val="0"/>
            <w:noProof/>
            <w:sz w:val="21"/>
            <w:szCs w:val="21"/>
          </w:rPr>
          <w:tab/>
        </w:r>
        <w:r w:rsidR="00802847" w:rsidRPr="00953DD7">
          <w:rPr>
            <w:rStyle w:val="Hiperligao"/>
            <w:rFonts w:ascii="Times New Roman" w:hAnsi="Times New Roman"/>
            <w:b w:val="0"/>
            <w:noProof/>
            <w:sz w:val="21"/>
            <w:szCs w:val="21"/>
          </w:rPr>
          <w:t>Dispositions administratives et recours à la justice</w:t>
        </w:r>
        <w:r w:rsidR="00802847" w:rsidRPr="00953DD7">
          <w:rPr>
            <w:rFonts w:ascii="Times New Roman" w:hAnsi="Times New Roman"/>
            <w:b w:val="0"/>
            <w:noProof/>
            <w:webHidden/>
            <w:sz w:val="21"/>
            <w:szCs w:val="21"/>
          </w:rPr>
          <w:tab/>
        </w:r>
        <w:r w:rsidR="00802847" w:rsidRPr="00953DD7">
          <w:rPr>
            <w:rFonts w:ascii="Times New Roman" w:hAnsi="Times New Roman"/>
            <w:b w:val="0"/>
            <w:noProof/>
            <w:webHidden/>
            <w:sz w:val="21"/>
            <w:szCs w:val="21"/>
          </w:rPr>
          <w:fldChar w:fldCharType="begin"/>
        </w:r>
        <w:r w:rsidR="00802847" w:rsidRPr="00953DD7">
          <w:rPr>
            <w:rFonts w:ascii="Times New Roman" w:hAnsi="Times New Roman"/>
            <w:b w:val="0"/>
            <w:noProof/>
            <w:webHidden/>
            <w:sz w:val="21"/>
            <w:szCs w:val="21"/>
          </w:rPr>
          <w:instrText xml:space="preserve"> PAGEREF _Toc75432346 \h </w:instrText>
        </w:r>
        <w:r w:rsidR="00802847" w:rsidRPr="00953DD7">
          <w:rPr>
            <w:rFonts w:ascii="Times New Roman" w:hAnsi="Times New Roman"/>
            <w:b w:val="0"/>
            <w:noProof/>
            <w:webHidden/>
            <w:sz w:val="21"/>
            <w:szCs w:val="21"/>
          </w:rPr>
        </w:r>
        <w:r w:rsidR="00802847" w:rsidRPr="00953DD7">
          <w:rPr>
            <w:rFonts w:ascii="Times New Roman" w:hAnsi="Times New Roman"/>
            <w:b w:val="0"/>
            <w:noProof/>
            <w:webHidden/>
            <w:sz w:val="21"/>
            <w:szCs w:val="21"/>
          </w:rPr>
          <w:fldChar w:fldCharType="separate"/>
        </w:r>
        <w:r w:rsidR="0073711A">
          <w:rPr>
            <w:rFonts w:ascii="Times New Roman" w:hAnsi="Times New Roman"/>
            <w:b w:val="0"/>
            <w:noProof/>
            <w:webHidden/>
            <w:sz w:val="21"/>
            <w:szCs w:val="21"/>
          </w:rPr>
          <w:t>171</w:t>
        </w:r>
        <w:r w:rsidR="00802847" w:rsidRPr="00953DD7">
          <w:rPr>
            <w:rFonts w:ascii="Times New Roman" w:hAnsi="Times New Roman"/>
            <w:b w:val="0"/>
            <w:noProof/>
            <w:webHidden/>
            <w:sz w:val="21"/>
            <w:szCs w:val="21"/>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47"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REFERENCE BIBLIOGRAPHIQUE</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_Toc75432347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173</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48"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ANNEXE 1. CHECK-LIST DE CONTROLE ENVIRONNEMENTAL ET SOCIAL</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_Toc75432348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175</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49"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ANNEXE 2. GRILLE DE SELECTION ENVIRONNEMENTALE</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_Toc75432349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177</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50"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ANNEXE 3. CODES DE CONDUITE ET PLAN D’ACTION POUR LA MISE EN ŒUVRE DES NORMES ESHS ET HST</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_Toc75432350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181</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65"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ANNEXE 4. PROCÉDURES DE GESTION DE LA MAIN-D’ŒUVRE</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_Toc75432365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190</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78"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ANNEXE 5 : PLAN DE GESTION DES PESTES ET DES PESTICIDES</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_Toc75432378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201</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90" w:history="1">
        <w:r w:rsidR="000D7767" w:rsidRPr="00953DD7">
          <w:rPr>
            <w:rStyle w:val="Hiperligao"/>
            <w:b/>
            <w:sz w:val="21"/>
            <w:szCs w:val="21"/>
            <w:lang w:eastAsia="x-none"/>
            <w14:shadow w14:blurRad="38100" w14:dist="25400" w14:dir="5400000" w14:sx="100000" w14:sy="100000" w14:kx="0" w14:ky="0" w14:algn="ctr">
              <w14:srgbClr w14:val="6E747A">
                <w14:alpha w14:val="57000"/>
              </w14:srgbClr>
            </w14:shadow>
          </w:rPr>
          <w:t>ANNEXE 6 :  GUIDE DE BONNES PRATIQUES ET MESURES REQUISES POUR LA REDUCTION DES RISQUES LIES AUX PESTICIDES</w:t>
        </w:r>
        <w:r w:rsidR="000D776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_Toc75432390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218</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91" w:history="1">
        <w:r w:rsidR="00830526" w:rsidRPr="00953DD7">
          <w:rPr>
            <w:rStyle w:val="Hiperligao"/>
            <w:b/>
            <w:sz w:val="21"/>
            <w:szCs w:val="21"/>
            <w:lang w:eastAsia="x-none"/>
            <w14:shadow w14:blurRad="38100" w14:dist="25400" w14:dir="5400000" w14:sx="100000" w14:sy="100000" w14:kx="0" w14:ky="0" w14:algn="ctr">
              <w14:srgbClr w14:val="6E747A">
                <w14:alpha w14:val="57000"/>
              </w14:srgbClr>
            </w14:shadow>
          </w:rPr>
          <w:t>ANNEXE 7. PLAN DE GESTION DES DECHETS</w:t>
        </w:r>
        <w:r w:rsidR="00830526"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_Toc75432391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224</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92"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ANNEXE 8. LISTES DES SERVICES TECHNIQUES CONSULTÉS</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_Toc75432392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227</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93"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ANNEXE 9: REUNION DE PRESENTATION AU NIVEAU DE LA FAO</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_Toc75432393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230</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802847" w:rsidRPr="00953DD7" w:rsidRDefault="004E1203">
      <w:pPr>
        <w:pStyle w:val="ndice1"/>
        <w:rPr>
          <w:rStyle w:val="Hiperligao"/>
          <w:b/>
          <w:sz w:val="21"/>
          <w:szCs w:val="21"/>
          <w:lang w:eastAsia="x-none"/>
          <w14:shadow w14:blurRad="38100" w14:dist="25400" w14:dir="5400000" w14:sx="100000" w14:sy="100000" w14:kx="0" w14:ky="0" w14:algn="ctr">
            <w14:srgbClr w14:val="6E747A">
              <w14:alpha w14:val="57000"/>
            </w14:srgbClr>
          </w14:shadow>
        </w:rPr>
      </w:pPr>
      <w:hyperlink w:anchor="_Toc75432394" w:history="1">
        <w:r w:rsidR="00802847" w:rsidRPr="00953DD7">
          <w:rPr>
            <w:rStyle w:val="Hiperligao"/>
            <w:b/>
            <w:sz w:val="21"/>
            <w:szCs w:val="21"/>
            <w:lang w:eastAsia="x-none"/>
            <w14:shadow w14:blurRad="38100" w14:dist="25400" w14:dir="5400000" w14:sx="100000" w14:sy="100000" w14:kx="0" w14:ky="0" w14:algn="ctr">
              <w14:srgbClr w14:val="6E747A">
                <w14:alpha w14:val="57000"/>
              </w14:srgbClr>
            </w14:shadow>
          </w:rPr>
          <w:t>ANNEXE 10. MODELE DE TDR POUR LES AEI</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tab/>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begin"/>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instrText xml:space="preserve"> PAGEREF _Toc75432394 \h </w:instrTex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separate"/>
        </w:r>
        <w:r w:rsidR="0073711A">
          <w:rPr>
            <w:rStyle w:val="Hiperligao"/>
            <w:b/>
            <w:webHidden/>
            <w:sz w:val="21"/>
            <w:szCs w:val="21"/>
            <w:lang w:eastAsia="x-none"/>
            <w14:shadow w14:blurRad="38100" w14:dist="25400" w14:dir="5400000" w14:sx="100000" w14:sy="100000" w14:kx="0" w14:ky="0" w14:algn="ctr">
              <w14:srgbClr w14:val="6E747A">
                <w14:alpha w14:val="57000"/>
              </w14:srgbClr>
            </w14:shadow>
          </w:rPr>
          <w:t>231</w:t>
        </w:r>
        <w:r w:rsidR="00802847" w:rsidRPr="00953DD7">
          <w:rPr>
            <w:rStyle w:val="Hiperligao"/>
            <w:b/>
            <w:webHidden/>
            <w:sz w:val="21"/>
            <w:szCs w:val="21"/>
            <w:lang w:eastAsia="x-none"/>
            <w14:shadow w14:blurRad="38100" w14:dist="25400" w14:dir="5400000" w14:sx="100000" w14:sy="100000" w14:kx="0" w14:ky="0" w14:algn="ctr">
              <w14:srgbClr w14:val="6E747A">
                <w14:alpha w14:val="57000"/>
              </w14:srgbClr>
            </w14:shadow>
          </w:rPr>
          <w:fldChar w:fldCharType="end"/>
        </w:r>
      </w:hyperlink>
    </w:p>
    <w:p w:rsidR="00512B6A" w:rsidRDefault="003C6DA9" w:rsidP="00FF6343">
      <w:pPr>
        <w:tabs>
          <w:tab w:val="right" w:leader="dot" w:pos="10348"/>
        </w:tabs>
        <w:rPr>
          <w:bCs/>
          <w:noProof/>
          <w:sz w:val="20"/>
          <w:szCs w:val="20"/>
        </w:rPr>
      </w:pPr>
      <w:r w:rsidRPr="00953DD7">
        <w:rPr>
          <w:bCs/>
          <w:noProof/>
          <w:sz w:val="21"/>
          <w:szCs w:val="21"/>
        </w:rPr>
        <w:fldChar w:fldCharType="end"/>
      </w:r>
    </w:p>
    <w:p w:rsidR="00B52D6A" w:rsidRDefault="00B52D6A" w:rsidP="00FF6343">
      <w:pPr>
        <w:tabs>
          <w:tab w:val="right" w:leader="dot" w:pos="10348"/>
        </w:tabs>
        <w:rPr>
          <w:bCs/>
          <w:noProof/>
          <w:sz w:val="20"/>
          <w:szCs w:val="20"/>
        </w:rPr>
      </w:pPr>
    </w:p>
    <w:p w:rsidR="00B52D6A" w:rsidRDefault="00B52D6A" w:rsidP="00FF6343">
      <w:pPr>
        <w:tabs>
          <w:tab w:val="right" w:leader="dot" w:pos="10348"/>
        </w:tabs>
        <w:rPr>
          <w:bCs/>
          <w:noProof/>
          <w:sz w:val="20"/>
          <w:szCs w:val="20"/>
        </w:rPr>
      </w:pPr>
    </w:p>
    <w:p w:rsidR="00045EAE" w:rsidRPr="00A05698" w:rsidRDefault="00045EAE" w:rsidP="00FF6343">
      <w:pPr>
        <w:tabs>
          <w:tab w:val="right" w:leader="dot" w:pos="10348"/>
        </w:tabs>
        <w:rPr>
          <w:bCs/>
          <w:noProof/>
        </w:rPr>
      </w:pPr>
    </w:p>
    <w:p w:rsidR="005070EE" w:rsidRPr="00804947" w:rsidRDefault="005070EE" w:rsidP="00804947">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 w:name="_Toc527881979"/>
      <w:bookmarkStart w:id="6" w:name="_Toc10451966"/>
      <w:bookmarkStart w:id="7" w:name="_Toc17385721"/>
      <w:bookmarkStart w:id="8" w:name="_Toc75432208"/>
      <w:r w:rsidRPr="00804947">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LISTE DES TABLEAUX</w:t>
      </w:r>
      <w:bookmarkEnd w:id="5"/>
      <w:bookmarkEnd w:id="6"/>
      <w:bookmarkEnd w:id="7"/>
      <w:bookmarkEnd w:id="8"/>
    </w:p>
    <w:p w:rsidR="005070EE" w:rsidRPr="00A05698" w:rsidRDefault="005070EE" w:rsidP="005070EE">
      <w:pPr>
        <w:jc w:val="both"/>
        <w:rPr>
          <w:b/>
        </w:rPr>
      </w:pPr>
    </w:p>
    <w:p w:rsidR="00953DD7" w:rsidRPr="00953DD7" w:rsidRDefault="005070EE" w:rsidP="00953DD7">
      <w:pPr>
        <w:pStyle w:val="ndicedeilustraes"/>
        <w:tabs>
          <w:tab w:val="right" w:leader="dot" w:pos="9913"/>
        </w:tabs>
        <w:rPr>
          <w:rStyle w:val="Hiperligao"/>
          <w:sz w:val="21"/>
          <w:szCs w:val="21"/>
        </w:rPr>
      </w:pPr>
      <w:r w:rsidRPr="00953DD7">
        <w:rPr>
          <w:rStyle w:val="Hiperligao"/>
          <w:noProof/>
          <w:sz w:val="21"/>
          <w:szCs w:val="21"/>
        </w:rPr>
        <w:fldChar w:fldCharType="begin"/>
      </w:r>
      <w:r w:rsidRPr="00953DD7">
        <w:rPr>
          <w:rStyle w:val="Hiperligao"/>
          <w:noProof/>
          <w:sz w:val="21"/>
          <w:szCs w:val="21"/>
        </w:rPr>
        <w:instrText xml:space="preserve"> </w:instrText>
      </w:r>
      <w:r w:rsidR="006C5620" w:rsidRPr="00953DD7">
        <w:rPr>
          <w:rStyle w:val="Hiperligao"/>
          <w:noProof/>
          <w:sz w:val="21"/>
          <w:szCs w:val="21"/>
        </w:rPr>
        <w:instrText>TOC</w:instrText>
      </w:r>
      <w:r w:rsidRPr="00953DD7">
        <w:rPr>
          <w:rStyle w:val="Hiperligao"/>
          <w:noProof/>
          <w:sz w:val="21"/>
          <w:szCs w:val="21"/>
        </w:rPr>
        <w:instrText xml:space="preserve"> \h \z \c "Tableau" </w:instrText>
      </w:r>
      <w:r w:rsidRPr="00953DD7">
        <w:rPr>
          <w:rStyle w:val="Hiperligao"/>
          <w:noProof/>
          <w:sz w:val="21"/>
          <w:szCs w:val="21"/>
        </w:rPr>
        <w:fldChar w:fldCharType="separate"/>
      </w:r>
      <w:hyperlink w:anchor="_Toc75503435" w:history="1">
        <w:r w:rsidR="00953DD7" w:rsidRPr="00953DD7">
          <w:rPr>
            <w:rStyle w:val="Hiperligao"/>
            <w:noProof/>
            <w:sz w:val="21"/>
            <w:szCs w:val="21"/>
          </w:rPr>
          <w:t>Tableau 1: Prix des produits alimentaires de base (en XOF), mois d’octobre 2020</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_Toc75503435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53</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36" w:history="1">
        <w:r w:rsidR="00953DD7" w:rsidRPr="00953DD7">
          <w:rPr>
            <w:rStyle w:val="Hiperligao"/>
            <w:noProof/>
            <w:sz w:val="21"/>
            <w:szCs w:val="21"/>
          </w:rPr>
          <w:t>Tableau 2: Prix des produits alimentaires local de base (en XOF), mois d’octobre 2020</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_Toc75503436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54</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37" w:history="1">
        <w:r w:rsidR="00953DD7" w:rsidRPr="00953DD7">
          <w:rPr>
            <w:rStyle w:val="Hiperligao"/>
            <w:noProof/>
            <w:sz w:val="21"/>
            <w:szCs w:val="21"/>
          </w:rPr>
          <w:t>Tableau 3: Commerce de noix de cajou en Guinée-Bissau, 2010-2015</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_Toc75503437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54</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38" w:history="1">
        <w:r w:rsidR="00953DD7" w:rsidRPr="00953DD7">
          <w:rPr>
            <w:rStyle w:val="Hiperligao"/>
            <w:noProof/>
            <w:sz w:val="21"/>
            <w:szCs w:val="21"/>
          </w:rPr>
          <w:t>Tableau 4: Les réglementations en terme environnemental et social en vigueur en Guinée Bissau</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_Toc75503438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62</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39" w:history="1">
        <w:r w:rsidR="00953DD7" w:rsidRPr="00953DD7">
          <w:rPr>
            <w:rStyle w:val="Hiperligao"/>
            <w:noProof/>
            <w:sz w:val="21"/>
            <w:szCs w:val="21"/>
          </w:rPr>
          <w:t>Tableau 5: Autres dispositions réglementaires applicables au projet</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_Toc75503439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63</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0" w:history="1">
        <w:r w:rsidR="00953DD7" w:rsidRPr="00953DD7">
          <w:rPr>
            <w:rStyle w:val="Hiperligao"/>
            <w:noProof/>
            <w:sz w:val="21"/>
            <w:szCs w:val="21"/>
          </w:rPr>
          <w:t>Tableau 6: Pertinence des conventions et accords ratifiés par rapport au projet</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_Toc75503440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66</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1" w:history="1">
        <w:r w:rsidR="00953DD7" w:rsidRPr="00953DD7">
          <w:rPr>
            <w:rStyle w:val="Hiperligao"/>
            <w:noProof/>
            <w:sz w:val="21"/>
            <w:szCs w:val="21"/>
          </w:rPr>
          <w:t>Tableau 7: Normes environnementales et sociales de la banque mondiale</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_Toc75503441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71</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2" w:history="1">
        <w:r w:rsidR="00953DD7" w:rsidRPr="00953DD7">
          <w:rPr>
            <w:rStyle w:val="Hiperligao"/>
            <w:noProof/>
            <w:sz w:val="21"/>
            <w:szCs w:val="21"/>
          </w:rPr>
          <w:t>Tableau 8: Les données concernant le bois de feu sont les suivantes (en tonnes) :</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_Toc75503442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85</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3" w:history="1">
        <w:r w:rsidR="00953DD7" w:rsidRPr="00953DD7">
          <w:rPr>
            <w:rStyle w:val="Hiperligao"/>
            <w:noProof/>
            <w:sz w:val="21"/>
            <w:szCs w:val="21"/>
          </w:rPr>
          <w:t>Tableau 9: Répartition Spatiale de la Population et Densité (Censo 2009)</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_Toc75503443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89</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4" w:history="1">
        <w:r w:rsidR="00953DD7" w:rsidRPr="00953DD7">
          <w:rPr>
            <w:rStyle w:val="Hiperligao"/>
            <w:noProof/>
            <w:sz w:val="21"/>
            <w:szCs w:val="21"/>
          </w:rPr>
          <w:t>Tableau 10: Evaluation de la production céréalière en 2020 et 2021</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_Toc75503444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92</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5" w:history="1">
        <w:r w:rsidR="00953DD7" w:rsidRPr="00953DD7">
          <w:rPr>
            <w:rStyle w:val="Hiperligao"/>
            <w:noProof/>
            <w:sz w:val="21"/>
            <w:szCs w:val="21"/>
          </w:rPr>
          <w:t>Tableau 11 : Production des autres produits alimentaires en tonnes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_Toc75503445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93</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6" w:history="1">
        <w:r w:rsidR="00953DD7" w:rsidRPr="00953DD7">
          <w:rPr>
            <w:rStyle w:val="Hiperligao"/>
            <w:noProof/>
            <w:sz w:val="21"/>
            <w:szCs w:val="21"/>
          </w:rPr>
          <w:t>Tableau 12 : Productions nettes des produits alimentaires 2020/2021</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_Toc75503446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93</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7" w:history="1">
        <w:r w:rsidR="00953DD7" w:rsidRPr="00953DD7">
          <w:rPr>
            <w:rStyle w:val="Hiperligao"/>
            <w:noProof/>
            <w:sz w:val="21"/>
            <w:szCs w:val="21"/>
          </w:rPr>
          <w:t>Tableau 13: Indicateurs de santé</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_Toc75503447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95</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8" w:history="1">
        <w:r w:rsidR="00953DD7" w:rsidRPr="00953DD7">
          <w:rPr>
            <w:rStyle w:val="Hiperligao"/>
            <w:noProof/>
            <w:sz w:val="21"/>
            <w:szCs w:val="21"/>
          </w:rPr>
          <w:t>Tableau 14. Analyse des enjeux du projet PUSA</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_Toc75503448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98</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49" w:history="1">
        <w:r w:rsidR="00953DD7" w:rsidRPr="00953DD7">
          <w:rPr>
            <w:rStyle w:val="Hiperligao"/>
            <w:noProof/>
            <w:sz w:val="21"/>
            <w:szCs w:val="21"/>
          </w:rPr>
          <w:t>Tableau 15. Synthèse des impacts positifs de la mise en œuvre des activités du projet</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_Toc75503449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110</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0" w:history="1">
        <w:r w:rsidR="00953DD7" w:rsidRPr="00953DD7">
          <w:rPr>
            <w:rStyle w:val="Hiperligao"/>
            <w:noProof/>
            <w:sz w:val="21"/>
            <w:szCs w:val="21"/>
          </w:rPr>
          <w:t>Tableau 16: Synthèse des impacts négatifs par rapport au soutien à la production agricole et à la réhabilitation des rizières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_Toc75503450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115</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1" w:history="1">
        <w:r w:rsidR="00953DD7" w:rsidRPr="00953DD7">
          <w:rPr>
            <w:rStyle w:val="Hiperligao"/>
            <w:noProof/>
            <w:sz w:val="21"/>
            <w:szCs w:val="21"/>
          </w:rPr>
          <w:t>Tableau 17. Synthèse des impacts négatifs de la mise en œuvre des activités par rapport au Soutien aux Filets de Sécurité communautaires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_Toc75503451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122</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2" w:history="1">
        <w:r w:rsidR="00953DD7" w:rsidRPr="00953DD7">
          <w:rPr>
            <w:rStyle w:val="Hiperligao"/>
            <w:noProof/>
            <w:sz w:val="21"/>
            <w:szCs w:val="21"/>
          </w:rPr>
          <w:t>Tableau 18: provisions des rapports réguliers et les responsabilités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_Toc75503452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141</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3" w:history="1">
        <w:r w:rsidR="00953DD7" w:rsidRPr="00953DD7">
          <w:rPr>
            <w:rStyle w:val="Hiperligao"/>
            <w:noProof/>
            <w:sz w:val="21"/>
            <w:szCs w:val="21"/>
          </w:rPr>
          <w:t>Tableau 19: Matrice des rôles et responsabilités au regard de l’arrangement institutionnel de mise en œuvre du CGES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_Toc75503453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143</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4" w:history="1">
        <w:r w:rsidR="00953DD7" w:rsidRPr="00953DD7">
          <w:rPr>
            <w:rStyle w:val="Hiperligao"/>
            <w:noProof/>
            <w:sz w:val="21"/>
            <w:szCs w:val="21"/>
          </w:rPr>
          <w:t>Tableau 20: Indicateurs de suivi des mesures du PCGES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_Toc75503454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144</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5" w:history="1">
        <w:r w:rsidR="00953DD7" w:rsidRPr="00953DD7">
          <w:rPr>
            <w:rStyle w:val="Hiperligao"/>
            <w:noProof/>
            <w:sz w:val="21"/>
            <w:szCs w:val="21"/>
          </w:rPr>
          <w:t>Tableau 21: Calendrier de mise en œuvre des mesures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_Toc75503455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146</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6" w:history="1">
        <w:r w:rsidR="00953DD7" w:rsidRPr="00953DD7">
          <w:rPr>
            <w:rStyle w:val="Hiperligao"/>
            <w:noProof/>
            <w:sz w:val="21"/>
            <w:szCs w:val="21"/>
          </w:rPr>
          <w:t>Tableau 23: Plan d’action de mise en œuvre et de suivi- évaluation du CGES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_Toc75503456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146</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7" w:history="1">
        <w:r w:rsidR="00953DD7" w:rsidRPr="00953DD7">
          <w:rPr>
            <w:rStyle w:val="Hiperligao"/>
            <w:noProof/>
            <w:sz w:val="21"/>
            <w:szCs w:val="21"/>
          </w:rPr>
          <w:t>Tableau 23. Thèmes développés dans la sensibilisation et mobilisation des populations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_Toc75503457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151</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8" w:history="1">
        <w:r w:rsidR="00953DD7" w:rsidRPr="00953DD7">
          <w:rPr>
            <w:rStyle w:val="Hiperligao"/>
            <w:noProof/>
            <w:sz w:val="21"/>
            <w:szCs w:val="21"/>
          </w:rPr>
          <w:t>Tableau 24: Mesures de renforcement des capacités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_Toc75503458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152</w:t>
        </w:r>
        <w:r w:rsidR="00953DD7" w:rsidRPr="00953DD7">
          <w:rPr>
            <w:rStyle w:val="Hiperligao"/>
            <w:webHidden/>
            <w:sz w:val="21"/>
            <w:szCs w:val="21"/>
          </w:rPr>
          <w:fldChar w:fldCharType="end"/>
        </w:r>
      </w:hyperlink>
    </w:p>
    <w:p w:rsidR="00953DD7" w:rsidRPr="00953DD7" w:rsidRDefault="004E1203" w:rsidP="00953DD7">
      <w:pPr>
        <w:pStyle w:val="ndicedeilustraes"/>
        <w:tabs>
          <w:tab w:val="right" w:leader="dot" w:pos="9913"/>
        </w:tabs>
        <w:rPr>
          <w:rStyle w:val="Hiperligao"/>
          <w:sz w:val="21"/>
          <w:szCs w:val="21"/>
        </w:rPr>
      </w:pPr>
      <w:hyperlink w:anchor="_Toc75503459" w:history="1">
        <w:r w:rsidR="00953DD7" w:rsidRPr="00953DD7">
          <w:rPr>
            <w:rStyle w:val="Hiperligao"/>
            <w:noProof/>
            <w:sz w:val="21"/>
            <w:szCs w:val="21"/>
          </w:rPr>
          <w:t>Tableau 25. Coûts estimatifs des mesures environnementales et sociales</w:t>
        </w:r>
        <w:r w:rsidR="00953DD7" w:rsidRPr="00953DD7">
          <w:rPr>
            <w:rStyle w:val="Hiperligao"/>
            <w:webHidden/>
            <w:sz w:val="21"/>
            <w:szCs w:val="21"/>
          </w:rPr>
          <w:tab/>
        </w:r>
        <w:r w:rsidR="00953DD7" w:rsidRPr="00953DD7">
          <w:rPr>
            <w:rStyle w:val="Hiperligao"/>
            <w:webHidden/>
            <w:sz w:val="21"/>
            <w:szCs w:val="21"/>
          </w:rPr>
          <w:fldChar w:fldCharType="begin"/>
        </w:r>
        <w:r w:rsidR="00953DD7" w:rsidRPr="00953DD7">
          <w:rPr>
            <w:rStyle w:val="Hiperligao"/>
            <w:webHidden/>
            <w:sz w:val="21"/>
            <w:szCs w:val="21"/>
          </w:rPr>
          <w:instrText xml:space="preserve"> PAGEREF _Toc75503459 \h </w:instrText>
        </w:r>
        <w:r w:rsidR="00953DD7" w:rsidRPr="00953DD7">
          <w:rPr>
            <w:rStyle w:val="Hiperligao"/>
            <w:webHidden/>
            <w:sz w:val="21"/>
            <w:szCs w:val="21"/>
          </w:rPr>
        </w:r>
        <w:r w:rsidR="00953DD7" w:rsidRPr="00953DD7">
          <w:rPr>
            <w:rStyle w:val="Hiperligao"/>
            <w:webHidden/>
            <w:sz w:val="21"/>
            <w:szCs w:val="21"/>
          </w:rPr>
          <w:fldChar w:fldCharType="separate"/>
        </w:r>
        <w:r w:rsidR="00953DD7" w:rsidRPr="00953DD7">
          <w:rPr>
            <w:rStyle w:val="Hiperligao"/>
            <w:webHidden/>
            <w:sz w:val="21"/>
            <w:szCs w:val="21"/>
          </w:rPr>
          <w:t>152</w:t>
        </w:r>
        <w:r w:rsidR="00953DD7" w:rsidRPr="00953DD7">
          <w:rPr>
            <w:rStyle w:val="Hiperligao"/>
            <w:webHidden/>
            <w:sz w:val="21"/>
            <w:szCs w:val="21"/>
          </w:rPr>
          <w:fldChar w:fldCharType="end"/>
        </w:r>
      </w:hyperlink>
    </w:p>
    <w:p w:rsidR="00804947" w:rsidRPr="009247AD" w:rsidRDefault="005070EE" w:rsidP="00B52D6A">
      <w:pPr>
        <w:pStyle w:val="ndicedeilustraes"/>
        <w:tabs>
          <w:tab w:val="right" w:leader="dot" w:pos="9913"/>
        </w:tabs>
        <w:rPr>
          <w:sz w:val="20"/>
          <w:szCs w:val="20"/>
        </w:rPr>
      </w:pPr>
      <w:r w:rsidRPr="00953DD7">
        <w:rPr>
          <w:rStyle w:val="Hiperligao"/>
          <w:noProof/>
          <w:sz w:val="21"/>
          <w:szCs w:val="21"/>
        </w:rPr>
        <w:fldChar w:fldCharType="end"/>
      </w:r>
    </w:p>
    <w:p w:rsidR="005070EE" w:rsidRPr="00A05698" w:rsidRDefault="005070EE" w:rsidP="002442FE">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Toc477774425"/>
      <w:bookmarkStart w:id="10" w:name="_Toc493752547"/>
      <w:bookmarkStart w:id="11" w:name="_Toc527881980"/>
      <w:bookmarkStart w:id="12" w:name="_Toc10451967"/>
      <w:bookmarkStart w:id="13" w:name="_Toc17385722"/>
      <w:bookmarkStart w:id="14" w:name="_Toc75432209"/>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LISTE DES FIGURES</w:t>
      </w:r>
      <w:bookmarkEnd w:id="9"/>
      <w:bookmarkEnd w:id="10"/>
      <w:bookmarkEnd w:id="11"/>
      <w:bookmarkEnd w:id="12"/>
      <w:bookmarkEnd w:id="13"/>
      <w:bookmarkEnd w:id="14"/>
    </w:p>
    <w:p w:rsidR="005070EE" w:rsidRPr="00A05698" w:rsidRDefault="005070EE" w:rsidP="005070EE">
      <w:pPr>
        <w:jc w:val="both"/>
        <w:rPr>
          <w:b/>
        </w:rPr>
      </w:pPr>
    </w:p>
    <w:p w:rsidR="00B52D6A" w:rsidRPr="00953DD7" w:rsidRDefault="005070EE">
      <w:pPr>
        <w:pStyle w:val="ndicedeilustraes"/>
        <w:tabs>
          <w:tab w:val="right" w:leader="dot" w:pos="9913"/>
        </w:tabs>
        <w:rPr>
          <w:rStyle w:val="Hiperligao"/>
          <w:noProof/>
          <w:sz w:val="21"/>
          <w:szCs w:val="21"/>
        </w:rPr>
      </w:pPr>
      <w:r w:rsidRPr="00953DD7">
        <w:rPr>
          <w:rStyle w:val="Hiperligao"/>
          <w:noProof/>
          <w:sz w:val="21"/>
          <w:szCs w:val="21"/>
        </w:rPr>
        <w:fldChar w:fldCharType="begin"/>
      </w:r>
      <w:r w:rsidRPr="00953DD7">
        <w:rPr>
          <w:rStyle w:val="Hiperligao"/>
          <w:noProof/>
          <w:sz w:val="21"/>
          <w:szCs w:val="21"/>
        </w:rPr>
        <w:instrText xml:space="preserve"> </w:instrText>
      </w:r>
      <w:r w:rsidR="006C5620" w:rsidRPr="00953DD7">
        <w:rPr>
          <w:rStyle w:val="Hiperligao"/>
          <w:noProof/>
          <w:sz w:val="21"/>
          <w:szCs w:val="21"/>
        </w:rPr>
        <w:instrText>TOC</w:instrText>
      </w:r>
      <w:r w:rsidRPr="00953DD7">
        <w:rPr>
          <w:rStyle w:val="Hiperligao"/>
          <w:noProof/>
          <w:sz w:val="21"/>
          <w:szCs w:val="21"/>
        </w:rPr>
        <w:instrText xml:space="preserve"> \h \z \c "Figure" </w:instrText>
      </w:r>
      <w:r w:rsidRPr="00953DD7">
        <w:rPr>
          <w:rStyle w:val="Hiperligao"/>
          <w:noProof/>
          <w:sz w:val="21"/>
          <w:szCs w:val="21"/>
        </w:rPr>
        <w:fldChar w:fldCharType="separate"/>
      </w:r>
      <w:hyperlink w:anchor="_Toc75433066" w:history="1">
        <w:r w:rsidR="00B52D6A" w:rsidRPr="00953DD7">
          <w:rPr>
            <w:rStyle w:val="Hiperligao"/>
            <w:noProof/>
            <w:sz w:val="21"/>
            <w:szCs w:val="21"/>
          </w:rPr>
          <w:t>Figure 1 : Situation alimentaire et nutritionnelle courante en Guinée Bissau</w:t>
        </w:r>
        <w:r w:rsidR="00B52D6A" w:rsidRPr="00953DD7">
          <w:rPr>
            <w:rStyle w:val="Hiperligao"/>
            <w:noProof/>
            <w:webHidden/>
            <w:sz w:val="21"/>
            <w:szCs w:val="21"/>
          </w:rPr>
          <w:tab/>
        </w:r>
        <w:r w:rsidR="00B52D6A" w:rsidRPr="00953DD7">
          <w:rPr>
            <w:rStyle w:val="Hiperligao"/>
            <w:noProof/>
            <w:webHidden/>
            <w:sz w:val="21"/>
            <w:szCs w:val="21"/>
          </w:rPr>
          <w:fldChar w:fldCharType="begin"/>
        </w:r>
        <w:r w:rsidR="00B52D6A" w:rsidRPr="00953DD7">
          <w:rPr>
            <w:rStyle w:val="Hiperligao"/>
            <w:noProof/>
            <w:webHidden/>
            <w:sz w:val="21"/>
            <w:szCs w:val="21"/>
          </w:rPr>
          <w:instrText xml:space="preserve"> PAGEREF _Toc75433066 \h </w:instrText>
        </w:r>
        <w:r w:rsidR="00B52D6A" w:rsidRPr="00953DD7">
          <w:rPr>
            <w:rStyle w:val="Hiperligao"/>
            <w:noProof/>
            <w:webHidden/>
            <w:sz w:val="21"/>
            <w:szCs w:val="21"/>
          </w:rPr>
        </w:r>
        <w:r w:rsidR="00B52D6A" w:rsidRPr="00953DD7">
          <w:rPr>
            <w:rStyle w:val="Hiperligao"/>
            <w:noProof/>
            <w:webHidden/>
            <w:sz w:val="21"/>
            <w:szCs w:val="21"/>
          </w:rPr>
          <w:fldChar w:fldCharType="separate"/>
        </w:r>
        <w:r w:rsidR="00953DD7">
          <w:rPr>
            <w:rStyle w:val="Hiperligao"/>
            <w:noProof/>
            <w:webHidden/>
            <w:sz w:val="21"/>
            <w:szCs w:val="21"/>
          </w:rPr>
          <w:t>56</w:t>
        </w:r>
        <w:r w:rsidR="00B52D6A" w:rsidRPr="00953DD7">
          <w:rPr>
            <w:rStyle w:val="Hiperligao"/>
            <w:noProof/>
            <w:webHidden/>
            <w:sz w:val="21"/>
            <w:szCs w:val="21"/>
          </w:rPr>
          <w:fldChar w:fldCharType="end"/>
        </w:r>
      </w:hyperlink>
    </w:p>
    <w:p w:rsidR="00B52D6A" w:rsidRPr="00953DD7" w:rsidRDefault="004E1203">
      <w:pPr>
        <w:pStyle w:val="ndicedeilustraes"/>
        <w:tabs>
          <w:tab w:val="right" w:leader="dot" w:pos="9913"/>
        </w:tabs>
        <w:rPr>
          <w:rStyle w:val="Hiperligao"/>
          <w:noProof/>
          <w:sz w:val="21"/>
          <w:szCs w:val="21"/>
        </w:rPr>
      </w:pPr>
      <w:hyperlink w:anchor="_Toc75433067" w:history="1">
        <w:r w:rsidR="00B52D6A" w:rsidRPr="00953DD7">
          <w:rPr>
            <w:rStyle w:val="Hiperligao"/>
            <w:noProof/>
            <w:sz w:val="21"/>
            <w:szCs w:val="21"/>
          </w:rPr>
          <w:t>Figure 2 : situation alimentaire et nutritionnelle projetée en Guinée Bissau</w:t>
        </w:r>
        <w:r w:rsidR="00B52D6A" w:rsidRPr="00953DD7">
          <w:rPr>
            <w:rStyle w:val="Hiperligao"/>
            <w:noProof/>
            <w:webHidden/>
            <w:sz w:val="21"/>
            <w:szCs w:val="21"/>
          </w:rPr>
          <w:tab/>
        </w:r>
        <w:r w:rsidR="00B52D6A" w:rsidRPr="00953DD7">
          <w:rPr>
            <w:rStyle w:val="Hiperligao"/>
            <w:noProof/>
            <w:webHidden/>
            <w:sz w:val="21"/>
            <w:szCs w:val="21"/>
          </w:rPr>
          <w:fldChar w:fldCharType="begin"/>
        </w:r>
        <w:r w:rsidR="00B52D6A" w:rsidRPr="00953DD7">
          <w:rPr>
            <w:rStyle w:val="Hiperligao"/>
            <w:noProof/>
            <w:webHidden/>
            <w:sz w:val="21"/>
            <w:szCs w:val="21"/>
          </w:rPr>
          <w:instrText xml:space="preserve"> PAGEREF _Toc75433067 \h </w:instrText>
        </w:r>
        <w:r w:rsidR="00B52D6A" w:rsidRPr="00953DD7">
          <w:rPr>
            <w:rStyle w:val="Hiperligao"/>
            <w:noProof/>
            <w:webHidden/>
            <w:sz w:val="21"/>
            <w:szCs w:val="21"/>
          </w:rPr>
        </w:r>
        <w:r w:rsidR="00B52D6A" w:rsidRPr="00953DD7">
          <w:rPr>
            <w:rStyle w:val="Hiperligao"/>
            <w:noProof/>
            <w:webHidden/>
            <w:sz w:val="21"/>
            <w:szCs w:val="21"/>
          </w:rPr>
          <w:fldChar w:fldCharType="separate"/>
        </w:r>
        <w:r w:rsidR="00953DD7">
          <w:rPr>
            <w:rStyle w:val="Hiperligao"/>
            <w:noProof/>
            <w:webHidden/>
            <w:sz w:val="21"/>
            <w:szCs w:val="21"/>
          </w:rPr>
          <w:t>57</w:t>
        </w:r>
        <w:r w:rsidR="00B52D6A" w:rsidRPr="00953DD7">
          <w:rPr>
            <w:rStyle w:val="Hiperligao"/>
            <w:noProof/>
            <w:webHidden/>
            <w:sz w:val="21"/>
            <w:szCs w:val="21"/>
          </w:rPr>
          <w:fldChar w:fldCharType="end"/>
        </w:r>
      </w:hyperlink>
    </w:p>
    <w:p w:rsidR="00B52D6A" w:rsidRPr="00953DD7" w:rsidRDefault="004E1203">
      <w:pPr>
        <w:pStyle w:val="ndicedeilustraes"/>
        <w:tabs>
          <w:tab w:val="right" w:leader="dot" w:pos="9913"/>
        </w:tabs>
        <w:rPr>
          <w:rStyle w:val="Hiperligao"/>
          <w:noProof/>
          <w:sz w:val="21"/>
          <w:szCs w:val="21"/>
        </w:rPr>
      </w:pPr>
      <w:hyperlink r:id="rId19" w:anchor="_Toc75433068" w:history="1">
        <w:r w:rsidR="00B52D6A" w:rsidRPr="00953DD7">
          <w:rPr>
            <w:rStyle w:val="Hiperligao"/>
            <w:noProof/>
            <w:sz w:val="21"/>
            <w:szCs w:val="21"/>
          </w:rPr>
          <w:t>Figure 3 : Carte géographique de la république de Guinée Bissau</w:t>
        </w:r>
        <w:r w:rsidR="00B52D6A" w:rsidRPr="00953DD7">
          <w:rPr>
            <w:rStyle w:val="Hiperligao"/>
            <w:noProof/>
            <w:webHidden/>
            <w:sz w:val="21"/>
            <w:szCs w:val="21"/>
          </w:rPr>
          <w:tab/>
        </w:r>
        <w:r w:rsidR="00B52D6A" w:rsidRPr="00953DD7">
          <w:rPr>
            <w:rStyle w:val="Hiperligao"/>
            <w:noProof/>
            <w:webHidden/>
            <w:sz w:val="21"/>
            <w:szCs w:val="21"/>
          </w:rPr>
          <w:fldChar w:fldCharType="begin"/>
        </w:r>
        <w:r w:rsidR="00B52D6A" w:rsidRPr="00953DD7">
          <w:rPr>
            <w:rStyle w:val="Hiperligao"/>
            <w:noProof/>
            <w:webHidden/>
            <w:sz w:val="21"/>
            <w:szCs w:val="21"/>
          </w:rPr>
          <w:instrText xml:space="preserve"> PAGEREF _Toc75433068 \h </w:instrText>
        </w:r>
        <w:r w:rsidR="00B52D6A" w:rsidRPr="00953DD7">
          <w:rPr>
            <w:rStyle w:val="Hiperligao"/>
            <w:noProof/>
            <w:webHidden/>
            <w:sz w:val="21"/>
            <w:szCs w:val="21"/>
          </w:rPr>
        </w:r>
        <w:r w:rsidR="00B52D6A" w:rsidRPr="00953DD7">
          <w:rPr>
            <w:rStyle w:val="Hiperligao"/>
            <w:noProof/>
            <w:webHidden/>
            <w:sz w:val="21"/>
            <w:szCs w:val="21"/>
          </w:rPr>
          <w:fldChar w:fldCharType="separate"/>
        </w:r>
        <w:r w:rsidR="00953DD7">
          <w:rPr>
            <w:rStyle w:val="Hiperligao"/>
            <w:noProof/>
            <w:webHidden/>
            <w:sz w:val="21"/>
            <w:szCs w:val="21"/>
          </w:rPr>
          <w:t>80</w:t>
        </w:r>
        <w:r w:rsidR="00B52D6A" w:rsidRPr="00953DD7">
          <w:rPr>
            <w:rStyle w:val="Hiperligao"/>
            <w:noProof/>
            <w:webHidden/>
            <w:sz w:val="21"/>
            <w:szCs w:val="21"/>
          </w:rPr>
          <w:fldChar w:fldCharType="end"/>
        </w:r>
      </w:hyperlink>
    </w:p>
    <w:p w:rsidR="00B52D6A" w:rsidRPr="00953DD7" w:rsidRDefault="004E1203">
      <w:pPr>
        <w:pStyle w:val="ndicedeilustraes"/>
        <w:tabs>
          <w:tab w:val="right" w:leader="dot" w:pos="9913"/>
        </w:tabs>
        <w:rPr>
          <w:rStyle w:val="Hiperligao"/>
          <w:noProof/>
          <w:sz w:val="21"/>
          <w:szCs w:val="21"/>
        </w:rPr>
      </w:pPr>
      <w:hyperlink w:anchor="_Toc75433069" w:history="1">
        <w:r w:rsidR="00B52D6A" w:rsidRPr="00953DD7">
          <w:rPr>
            <w:rStyle w:val="Hiperligao"/>
            <w:noProof/>
            <w:sz w:val="21"/>
            <w:szCs w:val="21"/>
          </w:rPr>
          <w:t>Figure 4 : Réseau hydrographique de la Guinée-Bissau, adapté de G. Pennober, in 1ª CNSMC, 2004</w:t>
        </w:r>
        <w:r w:rsidR="00B52D6A" w:rsidRPr="00953DD7">
          <w:rPr>
            <w:rStyle w:val="Hiperligao"/>
            <w:noProof/>
            <w:webHidden/>
            <w:sz w:val="21"/>
            <w:szCs w:val="21"/>
          </w:rPr>
          <w:tab/>
        </w:r>
        <w:r w:rsidR="00B52D6A" w:rsidRPr="00953DD7">
          <w:rPr>
            <w:rStyle w:val="Hiperligao"/>
            <w:noProof/>
            <w:webHidden/>
            <w:sz w:val="21"/>
            <w:szCs w:val="21"/>
          </w:rPr>
          <w:fldChar w:fldCharType="begin"/>
        </w:r>
        <w:r w:rsidR="00B52D6A" w:rsidRPr="00953DD7">
          <w:rPr>
            <w:rStyle w:val="Hiperligao"/>
            <w:noProof/>
            <w:webHidden/>
            <w:sz w:val="21"/>
            <w:szCs w:val="21"/>
          </w:rPr>
          <w:instrText xml:space="preserve"> PAGEREF _Toc75433069 \h </w:instrText>
        </w:r>
        <w:r w:rsidR="00B52D6A" w:rsidRPr="00953DD7">
          <w:rPr>
            <w:rStyle w:val="Hiperligao"/>
            <w:noProof/>
            <w:webHidden/>
            <w:sz w:val="21"/>
            <w:szCs w:val="21"/>
          </w:rPr>
        </w:r>
        <w:r w:rsidR="00B52D6A" w:rsidRPr="00953DD7">
          <w:rPr>
            <w:rStyle w:val="Hiperligao"/>
            <w:noProof/>
            <w:webHidden/>
            <w:sz w:val="21"/>
            <w:szCs w:val="21"/>
          </w:rPr>
          <w:fldChar w:fldCharType="separate"/>
        </w:r>
        <w:r w:rsidR="00953DD7">
          <w:rPr>
            <w:rStyle w:val="Hiperligao"/>
            <w:noProof/>
            <w:webHidden/>
            <w:sz w:val="21"/>
            <w:szCs w:val="21"/>
          </w:rPr>
          <w:t>83</w:t>
        </w:r>
        <w:r w:rsidR="00B52D6A" w:rsidRPr="00953DD7">
          <w:rPr>
            <w:rStyle w:val="Hiperligao"/>
            <w:noProof/>
            <w:webHidden/>
            <w:sz w:val="21"/>
            <w:szCs w:val="21"/>
          </w:rPr>
          <w:fldChar w:fldCharType="end"/>
        </w:r>
      </w:hyperlink>
    </w:p>
    <w:p w:rsidR="00B52D6A" w:rsidRPr="00953DD7" w:rsidRDefault="004E1203">
      <w:pPr>
        <w:pStyle w:val="ndicedeilustraes"/>
        <w:tabs>
          <w:tab w:val="right" w:leader="dot" w:pos="9913"/>
        </w:tabs>
        <w:rPr>
          <w:rStyle w:val="Hiperligao"/>
          <w:noProof/>
          <w:sz w:val="21"/>
          <w:szCs w:val="21"/>
        </w:rPr>
      </w:pPr>
      <w:hyperlink w:anchor="_Toc75433070" w:history="1">
        <w:r w:rsidR="00B52D6A" w:rsidRPr="00953DD7">
          <w:rPr>
            <w:rStyle w:val="Hiperligao"/>
            <w:noProof/>
            <w:sz w:val="21"/>
            <w:szCs w:val="21"/>
          </w:rPr>
          <w:t>Figure 5 : Carte d’occupation des sols de la Guinée-Bissau</w:t>
        </w:r>
        <w:r w:rsidR="00B52D6A" w:rsidRPr="00953DD7">
          <w:rPr>
            <w:rStyle w:val="Hiperligao"/>
            <w:noProof/>
            <w:webHidden/>
            <w:sz w:val="21"/>
            <w:szCs w:val="21"/>
          </w:rPr>
          <w:tab/>
        </w:r>
        <w:r w:rsidR="00B52D6A" w:rsidRPr="00953DD7">
          <w:rPr>
            <w:rStyle w:val="Hiperligao"/>
            <w:noProof/>
            <w:webHidden/>
            <w:sz w:val="21"/>
            <w:szCs w:val="21"/>
          </w:rPr>
          <w:fldChar w:fldCharType="begin"/>
        </w:r>
        <w:r w:rsidR="00B52D6A" w:rsidRPr="00953DD7">
          <w:rPr>
            <w:rStyle w:val="Hiperligao"/>
            <w:noProof/>
            <w:webHidden/>
            <w:sz w:val="21"/>
            <w:szCs w:val="21"/>
          </w:rPr>
          <w:instrText xml:space="preserve"> PAGEREF _Toc75433070 \h </w:instrText>
        </w:r>
        <w:r w:rsidR="00B52D6A" w:rsidRPr="00953DD7">
          <w:rPr>
            <w:rStyle w:val="Hiperligao"/>
            <w:noProof/>
            <w:webHidden/>
            <w:sz w:val="21"/>
            <w:szCs w:val="21"/>
          </w:rPr>
        </w:r>
        <w:r w:rsidR="00B52D6A" w:rsidRPr="00953DD7">
          <w:rPr>
            <w:rStyle w:val="Hiperligao"/>
            <w:noProof/>
            <w:webHidden/>
            <w:sz w:val="21"/>
            <w:szCs w:val="21"/>
          </w:rPr>
          <w:fldChar w:fldCharType="separate"/>
        </w:r>
        <w:r w:rsidR="00953DD7">
          <w:rPr>
            <w:rStyle w:val="Hiperligao"/>
            <w:noProof/>
            <w:webHidden/>
            <w:sz w:val="21"/>
            <w:szCs w:val="21"/>
          </w:rPr>
          <w:t>86</w:t>
        </w:r>
        <w:r w:rsidR="00B52D6A" w:rsidRPr="00953DD7">
          <w:rPr>
            <w:rStyle w:val="Hiperligao"/>
            <w:noProof/>
            <w:webHidden/>
            <w:sz w:val="21"/>
            <w:szCs w:val="21"/>
          </w:rPr>
          <w:fldChar w:fldCharType="end"/>
        </w:r>
      </w:hyperlink>
    </w:p>
    <w:p w:rsidR="00B52D6A" w:rsidRPr="00953DD7" w:rsidRDefault="004E1203">
      <w:pPr>
        <w:pStyle w:val="ndicedeilustraes"/>
        <w:tabs>
          <w:tab w:val="right" w:leader="dot" w:pos="9913"/>
        </w:tabs>
        <w:rPr>
          <w:rStyle w:val="Hiperligao"/>
          <w:noProof/>
          <w:sz w:val="21"/>
          <w:szCs w:val="21"/>
        </w:rPr>
      </w:pPr>
      <w:hyperlink w:anchor="_Toc75433071" w:history="1">
        <w:r w:rsidR="00B52D6A" w:rsidRPr="00953DD7">
          <w:rPr>
            <w:rStyle w:val="Hiperligao"/>
            <w:noProof/>
            <w:sz w:val="21"/>
            <w:szCs w:val="21"/>
          </w:rPr>
          <w:t>Figure 6 : Aires protégées du pays</w:t>
        </w:r>
        <w:r w:rsidR="00B52D6A" w:rsidRPr="00953DD7">
          <w:rPr>
            <w:rStyle w:val="Hiperligao"/>
            <w:noProof/>
            <w:webHidden/>
            <w:sz w:val="21"/>
            <w:szCs w:val="21"/>
          </w:rPr>
          <w:tab/>
        </w:r>
        <w:r w:rsidR="00B52D6A" w:rsidRPr="00953DD7">
          <w:rPr>
            <w:rStyle w:val="Hiperligao"/>
            <w:noProof/>
            <w:webHidden/>
            <w:sz w:val="21"/>
            <w:szCs w:val="21"/>
          </w:rPr>
          <w:fldChar w:fldCharType="begin"/>
        </w:r>
        <w:r w:rsidR="00B52D6A" w:rsidRPr="00953DD7">
          <w:rPr>
            <w:rStyle w:val="Hiperligao"/>
            <w:noProof/>
            <w:webHidden/>
            <w:sz w:val="21"/>
            <w:szCs w:val="21"/>
          </w:rPr>
          <w:instrText xml:space="preserve"> PAGEREF _Toc75433071 \h </w:instrText>
        </w:r>
        <w:r w:rsidR="00B52D6A" w:rsidRPr="00953DD7">
          <w:rPr>
            <w:rStyle w:val="Hiperligao"/>
            <w:noProof/>
            <w:webHidden/>
            <w:sz w:val="21"/>
            <w:szCs w:val="21"/>
          </w:rPr>
        </w:r>
        <w:r w:rsidR="00B52D6A" w:rsidRPr="00953DD7">
          <w:rPr>
            <w:rStyle w:val="Hiperligao"/>
            <w:noProof/>
            <w:webHidden/>
            <w:sz w:val="21"/>
            <w:szCs w:val="21"/>
          </w:rPr>
          <w:fldChar w:fldCharType="separate"/>
        </w:r>
        <w:r w:rsidR="00953DD7">
          <w:rPr>
            <w:rStyle w:val="Hiperligao"/>
            <w:noProof/>
            <w:webHidden/>
            <w:sz w:val="21"/>
            <w:szCs w:val="21"/>
          </w:rPr>
          <w:t>88</w:t>
        </w:r>
        <w:r w:rsidR="00B52D6A" w:rsidRPr="00953DD7">
          <w:rPr>
            <w:rStyle w:val="Hiperligao"/>
            <w:noProof/>
            <w:webHidden/>
            <w:sz w:val="21"/>
            <w:szCs w:val="21"/>
          </w:rPr>
          <w:fldChar w:fldCharType="end"/>
        </w:r>
      </w:hyperlink>
    </w:p>
    <w:p w:rsidR="00B52D6A" w:rsidRPr="00953DD7" w:rsidRDefault="004E1203">
      <w:pPr>
        <w:pStyle w:val="ndicedeilustraes"/>
        <w:tabs>
          <w:tab w:val="right" w:leader="dot" w:pos="9913"/>
        </w:tabs>
        <w:rPr>
          <w:rStyle w:val="Hiperligao"/>
          <w:noProof/>
          <w:sz w:val="21"/>
          <w:szCs w:val="21"/>
        </w:rPr>
      </w:pPr>
      <w:hyperlink w:anchor="_Toc75433072" w:history="1">
        <w:r w:rsidR="00B52D6A" w:rsidRPr="00953DD7">
          <w:rPr>
            <w:rStyle w:val="Hiperligao"/>
            <w:noProof/>
            <w:sz w:val="21"/>
            <w:szCs w:val="21"/>
          </w:rPr>
          <w:t>Figure 7 : représentation graphique de la répartition des grands groupes ethniques</w:t>
        </w:r>
        <w:r w:rsidR="00B52D6A" w:rsidRPr="00953DD7">
          <w:rPr>
            <w:rStyle w:val="Hiperligao"/>
            <w:noProof/>
            <w:webHidden/>
            <w:sz w:val="21"/>
            <w:szCs w:val="21"/>
          </w:rPr>
          <w:tab/>
        </w:r>
        <w:r w:rsidR="00B52D6A" w:rsidRPr="00953DD7">
          <w:rPr>
            <w:rStyle w:val="Hiperligao"/>
            <w:noProof/>
            <w:webHidden/>
            <w:sz w:val="21"/>
            <w:szCs w:val="21"/>
          </w:rPr>
          <w:fldChar w:fldCharType="begin"/>
        </w:r>
        <w:r w:rsidR="00B52D6A" w:rsidRPr="00953DD7">
          <w:rPr>
            <w:rStyle w:val="Hiperligao"/>
            <w:noProof/>
            <w:webHidden/>
            <w:sz w:val="21"/>
            <w:szCs w:val="21"/>
          </w:rPr>
          <w:instrText xml:space="preserve"> PAGEREF _Toc75433072 \h </w:instrText>
        </w:r>
        <w:r w:rsidR="00B52D6A" w:rsidRPr="00953DD7">
          <w:rPr>
            <w:rStyle w:val="Hiperligao"/>
            <w:noProof/>
            <w:webHidden/>
            <w:sz w:val="21"/>
            <w:szCs w:val="21"/>
          </w:rPr>
        </w:r>
        <w:r w:rsidR="00B52D6A" w:rsidRPr="00953DD7">
          <w:rPr>
            <w:rStyle w:val="Hiperligao"/>
            <w:noProof/>
            <w:webHidden/>
            <w:sz w:val="21"/>
            <w:szCs w:val="21"/>
          </w:rPr>
          <w:fldChar w:fldCharType="separate"/>
        </w:r>
        <w:r w:rsidR="00953DD7">
          <w:rPr>
            <w:rStyle w:val="Hiperligao"/>
            <w:noProof/>
            <w:webHidden/>
            <w:sz w:val="21"/>
            <w:szCs w:val="21"/>
          </w:rPr>
          <w:t>90</w:t>
        </w:r>
        <w:r w:rsidR="00B52D6A" w:rsidRPr="00953DD7">
          <w:rPr>
            <w:rStyle w:val="Hiperligao"/>
            <w:noProof/>
            <w:webHidden/>
            <w:sz w:val="21"/>
            <w:szCs w:val="21"/>
          </w:rPr>
          <w:fldChar w:fldCharType="end"/>
        </w:r>
      </w:hyperlink>
    </w:p>
    <w:p w:rsidR="00B52D6A" w:rsidRPr="00953DD7" w:rsidRDefault="004E1203">
      <w:pPr>
        <w:pStyle w:val="ndicedeilustraes"/>
        <w:tabs>
          <w:tab w:val="right" w:leader="dot" w:pos="9913"/>
        </w:tabs>
        <w:rPr>
          <w:rStyle w:val="Hiperligao"/>
          <w:noProof/>
          <w:sz w:val="21"/>
          <w:szCs w:val="21"/>
        </w:rPr>
      </w:pPr>
      <w:hyperlink w:anchor="_Toc75433073" w:history="1">
        <w:r w:rsidR="00B52D6A" w:rsidRPr="00953DD7">
          <w:rPr>
            <w:rStyle w:val="Hiperligao"/>
            <w:noProof/>
            <w:sz w:val="21"/>
            <w:szCs w:val="21"/>
          </w:rPr>
          <w:t>Figure 8 : Diagramme de fonctionnement du MGP du projet PUSA</w:t>
        </w:r>
        <w:r w:rsidR="00B52D6A" w:rsidRPr="00953DD7">
          <w:rPr>
            <w:rStyle w:val="Hiperligao"/>
            <w:noProof/>
            <w:webHidden/>
            <w:sz w:val="21"/>
            <w:szCs w:val="21"/>
          </w:rPr>
          <w:tab/>
        </w:r>
        <w:r w:rsidR="00B52D6A" w:rsidRPr="00953DD7">
          <w:rPr>
            <w:rStyle w:val="Hiperligao"/>
            <w:noProof/>
            <w:webHidden/>
            <w:sz w:val="21"/>
            <w:szCs w:val="21"/>
          </w:rPr>
          <w:fldChar w:fldCharType="begin"/>
        </w:r>
        <w:r w:rsidR="00B52D6A" w:rsidRPr="00953DD7">
          <w:rPr>
            <w:rStyle w:val="Hiperligao"/>
            <w:noProof/>
            <w:webHidden/>
            <w:sz w:val="21"/>
            <w:szCs w:val="21"/>
          </w:rPr>
          <w:instrText xml:space="preserve"> PAGEREF _Toc75433073 \h </w:instrText>
        </w:r>
        <w:r w:rsidR="00B52D6A" w:rsidRPr="00953DD7">
          <w:rPr>
            <w:rStyle w:val="Hiperligao"/>
            <w:noProof/>
            <w:webHidden/>
            <w:sz w:val="21"/>
            <w:szCs w:val="21"/>
          </w:rPr>
        </w:r>
        <w:r w:rsidR="00B52D6A" w:rsidRPr="00953DD7">
          <w:rPr>
            <w:rStyle w:val="Hiperligao"/>
            <w:noProof/>
            <w:webHidden/>
            <w:sz w:val="21"/>
            <w:szCs w:val="21"/>
          </w:rPr>
          <w:fldChar w:fldCharType="separate"/>
        </w:r>
        <w:r w:rsidR="00953DD7">
          <w:rPr>
            <w:rStyle w:val="Hiperligao"/>
            <w:noProof/>
            <w:webHidden/>
            <w:sz w:val="21"/>
            <w:szCs w:val="21"/>
          </w:rPr>
          <w:t>165</w:t>
        </w:r>
        <w:r w:rsidR="00B52D6A" w:rsidRPr="00953DD7">
          <w:rPr>
            <w:rStyle w:val="Hiperligao"/>
            <w:noProof/>
            <w:webHidden/>
            <w:sz w:val="21"/>
            <w:szCs w:val="21"/>
          </w:rPr>
          <w:fldChar w:fldCharType="end"/>
        </w:r>
      </w:hyperlink>
    </w:p>
    <w:p w:rsidR="00DE7AE9" w:rsidRPr="007F24B6" w:rsidRDefault="005070EE" w:rsidP="00B52D6A">
      <w:pPr>
        <w:pStyle w:val="ndicedeilustraes"/>
        <w:tabs>
          <w:tab w:val="right" w:leader="dot" w:pos="9913"/>
        </w:tabs>
      </w:pPr>
      <w:r w:rsidRPr="00953DD7">
        <w:rPr>
          <w:rStyle w:val="Hiperligao"/>
          <w:noProof/>
          <w:sz w:val="21"/>
          <w:szCs w:val="21"/>
        </w:rPr>
        <w:fldChar w:fldCharType="end"/>
      </w:r>
    </w:p>
    <w:p w:rsidR="005070EE" w:rsidRPr="00A05698" w:rsidRDefault="005070EE" w:rsidP="002442FE">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 w:name="_Toc75432210"/>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LISTE DES </w:t>
      </w:r>
      <w:r w:rsidR="009463C6"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DIAGRAMME</w:t>
      </w:r>
      <w:bookmarkEnd w:id="15"/>
    </w:p>
    <w:p w:rsidR="005070EE" w:rsidRPr="00A05698" w:rsidRDefault="005070EE" w:rsidP="005070EE">
      <w:pPr>
        <w:jc w:val="both"/>
        <w:rPr>
          <w:b/>
        </w:rPr>
      </w:pPr>
    </w:p>
    <w:p w:rsidR="00BE0248" w:rsidRPr="007C41FA" w:rsidRDefault="005070EE">
      <w:pPr>
        <w:pStyle w:val="ndicedeilustraes"/>
        <w:tabs>
          <w:tab w:val="right" w:leader="dot" w:pos="9913"/>
        </w:tabs>
        <w:rPr>
          <w:rFonts w:asciiTheme="minorHAnsi" w:eastAsiaTheme="minorEastAsia" w:hAnsiTheme="minorHAnsi" w:cstheme="minorBidi"/>
          <w:noProof/>
          <w:sz w:val="21"/>
          <w:szCs w:val="21"/>
        </w:rPr>
      </w:pPr>
      <w:r w:rsidRPr="007C41FA">
        <w:rPr>
          <w:b/>
          <w:smallCaps/>
          <w:sz w:val="21"/>
          <w:szCs w:val="21"/>
        </w:rPr>
        <w:fldChar w:fldCharType="begin"/>
      </w:r>
      <w:r w:rsidRPr="007C41FA">
        <w:rPr>
          <w:b/>
          <w:sz w:val="21"/>
          <w:szCs w:val="21"/>
        </w:rPr>
        <w:instrText xml:space="preserve"> </w:instrText>
      </w:r>
      <w:r w:rsidR="006C5620" w:rsidRPr="007C41FA">
        <w:rPr>
          <w:b/>
          <w:sz w:val="21"/>
          <w:szCs w:val="21"/>
        </w:rPr>
        <w:instrText>TOC</w:instrText>
      </w:r>
      <w:r w:rsidRPr="007C41FA">
        <w:rPr>
          <w:b/>
          <w:sz w:val="21"/>
          <w:szCs w:val="21"/>
        </w:rPr>
        <w:instrText xml:space="preserve"> \h \z \c "Diagramme " </w:instrText>
      </w:r>
      <w:r w:rsidRPr="007C41FA">
        <w:rPr>
          <w:b/>
          <w:smallCaps/>
          <w:sz w:val="21"/>
          <w:szCs w:val="21"/>
        </w:rPr>
        <w:fldChar w:fldCharType="separate"/>
      </w:r>
      <w:hyperlink w:anchor="_Toc73522798" w:history="1">
        <w:r w:rsidR="00BE0248" w:rsidRPr="007C41FA">
          <w:rPr>
            <w:rStyle w:val="Hiperligao"/>
            <w:noProof/>
            <w:sz w:val="21"/>
            <w:szCs w:val="21"/>
          </w:rPr>
          <w:t>Diagramme  1: Températures et précipitations moyennes</w:t>
        </w:r>
        <w:r w:rsidR="00BE0248" w:rsidRPr="007C41FA">
          <w:rPr>
            <w:noProof/>
            <w:webHidden/>
            <w:sz w:val="21"/>
            <w:szCs w:val="21"/>
          </w:rPr>
          <w:tab/>
        </w:r>
        <w:r w:rsidR="00BE0248" w:rsidRPr="007C41FA">
          <w:rPr>
            <w:noProof/>
            <w:webHidden/>
            <w:sz w:val="21"/>
            <w:szCs w:val="21"/>
          </w:rPr>
          <w:fldChar w:fldCharType="begin"/>
        </w:r>
        <w:r w:rsidR="00BE0248" w:rsidRPr="007C41FA">
          <w:rPr>
            <w:noProof/>
            <w:webHidden/>
            <w:sz w:val="21"/>
            <w:szCs w:val="21"/>
          </w:rPr>
          <w:instrText xml:space="preserve"> PAGEREF _Toc73522798 \h </w:instrText>
        </w:r>
        <w:r w:rsidR="00BE0248" w:rsidRPr="007C41FA">
          <w:rPr>
            <w:noProof/>
            <w:webHidden/>
            <w:sz w:val="21"/>
            <w:szCs w:val="21"/>
          </w:rPr>
        </w:r>
        <w:r w:rsidR="00BE0248" w:rsidRPr="007C41FA">
          <w:rPr>
            <w:noProof/>
            <w:webHidden/>
            <w:sz w:val="21"/>
            <w:szCs w:val="21"/>
          </w:rPr>
          <w:fldChar w:fldCharType="separate"/>
        </w:r>
        <w:r w:rsidR="007C41FA">
          <w:rPr>
            <w:noProof/>
            <w:webHidden/>
            <w:sz w:val="21"/>
            <w:szCs w:val="21"/>
          </w:rPr>
          <w:t>81</w:t>
        </w:r>
        <w:r w:rsidR="00BE0248" w:rsidRPr="007C41FA">
          <w:rPr>
            <w:noProof/>
            <w:webHidden/>
            <w:sz w:val="21"/>
            <w:szCs w:val="21"/>
          </w:rPr>
          <w:fldChar w:fldCharType="end"/>
        </w:r>
      </w:hyperlink>
    </w:p>
    <w:p w:rsidR="009D7EF4" w:rsidRDefault="005070EE" w:rsidP="00B52D6A">
      <w:pPr>
        <w:jc w:val="both"/>
        <w:rPr>
          <w:b/>
          <w:sz w:val="21"/>
          <w:szCs w:val="21"/>
        </w:rPr>
      </w:pPr>
      <w:r w:rsidRPr="007C41FA">
        <w:rPr>
          <w:b/>
          <w:sz w:val="21"/>
          <w:szCs w:val="21"/>
        </w:rPr>
        <w:fldChar w:fldCharType="end"/>
      </w:r>
    </w:p>
    <w:p w:rsidR="007C41FA" w:rsidRDefault="007C41FA" w:rsidP="00B52D6A">
      <w:pPr>
        <w:jc w:val="both"/>
        <w:rPr>
          <w:b/>
          <w:sz w:val="21"/>
          <w:szCs w:val="21"/>
        </w:rPr>
      </w:pPr>
    </w:p>
    <w:p w:rsidR="007C41FA" w:rsidRDefault="007C41FA" w:rsidP="00B52D6A">
      <w:pPr>
        <w:jc w:val="both"/>
        <w:rPr>
          <w:b/>
          <w:sz w:val="21"/>
          <w:szCs w:val="21"/>
        </w:rPr>
      </w:pPr>
    </w:p>
    <w:p w:rsidR="007C41FA" w:rsidRDefault="007C41FA" w:rsidP="00B52D6A">
      <w:pPr>
        <w:jc w:val="both"/>
        <w:rPr>
          <w:b/>
          <w:sz w:val="21"/>
          <w:szCs w:val="21"/>
        </w:rPr>
      </w:pPr>
    </w:p>
    <w:p w:rsidR="007C41FA" w:rsidRDefault="007C41FA" w:rsidP="00B52D6A">
      <w:pPr>
        <w:jc w:val="both"/>
        <w:rPr>
          <w:b/>
          <w:sz w:val="21"/>
          <w:szCs w:val="21"/>
        </w:rPr>
      </w:pPr>
    </w:p>
    <w:p w:rsidR="007C41FA" w:rsidRDefault="007C41FA" w:rsidP="00B52D6A">
      <w:pPr>
        <w:jc w:val="both"/>
        <w:rPr>
          <w:bCs/>
        </w:rPr>
      </w:pPr>
    </w:p>
    <w:p w:rsidR="005070EE" w:rsidRPr="00A05698" w:rsidRDefault="005070EE" w:rsidP="002442FE">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6" w:name="_Toc493752545"/>
      <w:bookmarkStart w:id="17" w:name="_Toc505616390"/>
      <w:bookmarkStart w:id="18" w:name="_Toc512872055"/>
      <w:bookmarkStart w:id="19" w:name="_Toc527881982"/>
      <w:bookmarkStart w:id="20" w:name="_Toc10451969"/>
      <w:bookmarkStart w:id="21" w:name="_Toc17385724"/>
      <w:bookmarkStart w:id="22" w:name="_Toc75432211"/>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LISTE DES SIGLES ET ABREVIATIONS</w:t>
      </w:r>
      <w:bookmarkEnd w:id="16"/>
      <w:bookmarkEnd w:id="17"/>
      <w:bookmarkEnd w:id="18"/>
      <w:bookmarkEnd w:id="19"/>
      <w:bookmarkEnd w:id="20"/>
      <w:bookmarkEnd w:id="21"/>
      <w:bookmarkEnd w:id="22"/>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5070EE" w:rsidRPr="00A05698" w:rsidRDefault="005070EE" w:rsidP="005070EE">
      <w:pPr>
        <w:jc w:val="both"/>
        <w:rPr>
          <w:b/>
        </w:rPr>
      </w:pPr>
    </w:p>
    <w:tbl>
      <w:tblPr>
        <w:tblStyle w:val="Tabelacomgrelha"/>
        <w:tblW w:w="9105" w:type="dxa"/>
        <w:tblBorders>
          <w:top w:val="double" w:sz="4" w:space="0" w:color="000000"/>
          <w:left w:val="double" w:sz="4" w:space="0" w:color="000000"/>
          <w:bottom w:val="double" w:sz="4" w:space="0" w:color="000000"/>
          <w:right w:val="double" w:sz="4" w:space="0" w:color="000000"/>
          <w:insideH w:val="none" w:sz="0" w:space="0" w:color="auto"/>
          <w:insideV w:val="none" w:sz="0" w:space="0" w:color="auto"/>
        </w:tblBorders>
        <w:tblLook w:val="04A0" w:firstRow="1" w:lastRow="0" w:firstColumn="1" w:lastColumn="0" w:noHBand="0" w:noVBand="1"/>
      </w:tblPr>
      <w:tblGrid>
        <w:gridCol w:w="1550"/>
        <w:gridCol w:w="7555"/>
      </w:tblGrid>
      <w:tr w:rsidR="002A5606" w:rsidRPr="007C7FDF" w:rsidTr="00853784">
        <w:tc>
          <w:tcPr>
            <w:tcW w:w="1550" w:type="dxa"/>
          </w:tcPr>
          <w:p w:rsidR="00140D52" w:rsidRPr="007C7FDF" w:rsidRDefault="00140D52" w:rsidP="008F798F">
            <w:pPr>
              <w:rPr>
                <w:sz w:val="21"/>
                <w:szCs w:val="21"/>
              </w:rPr>
            </w:pPr>
            <w:r w:rsidRPr="007C7FDF">
              <w:rPr>
                <w:b/>
                <w:sz w:val="21"/>
                <w:szCs w:val="21"/>
              </w:rPr>
              <w:t>AAAC</w:t>
            </w:r>
          </w:p>
        </w:tc>
        <w:tc>
          <w:tcPr>
            <w:tcW w:w="7555" w:type="dxa"/>
          </w:tcPr>
          <w:p w:rsidR="00140D52" w:rsidRPr="007C7FDF" w:rsidRDefault="00140D52" w:rsidP="00140D52">
            <w:pPr>
              <w:rPr>
                <w:sz w:val="21"/>
                <w:szCs w:val="21"/>
              </w:rPr>
            </w:pPr>
            <w:r w:rsidRPr="007C7FDF">
              <w:rPr>
                <w:sz w:val="21"/>
                <w:szCs w:val="21"/>
              </w:rPr>
              <w:t>Autorité d’Évaluation Environnementale Compétente</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AEI</w:t>
            </w:r>
          </w:p>
        </w:tc>
        <w:tc>
          <w:tcPr>
            <w:tcW w:w="7555" w:type="dxa"/>
          </w:tcPr>
          <w:p w:rsidR="00140D52" w:rsidRPr="007C7FDF" w:rsidRDefault="00140D52" w:rsidP="00140D52">
            <w:pPr>
              <w:rPr>
                <w:sz w:val="21"/>
                <w:szCs w:val="21"/>
              </w:rPr>
            </w:pPr>
            <w:r w:rsidRPr="007C7FDF">
              <w:rPr>
                <w:sz w:val="21"/>
                <w:szCs w:val="21"/>
              </w:rPr>
              <w:t>Analyse Environnemental Initial</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AT</w:t>
            </w:r>
          </w:p>
        </w:tc>
        <w:tc>
          <w:tcPr>
            <w:tcW w:w="7555" w:type="dxa"/>
          </w:tcPr>
          <w:p w:rsidR="00140D52" w:rsidRPr="007C7FDF" w:rsidRDefault="00140D52" w:rsidP="008E012E">
            <w:pPr>
              <w:rPr>
                <w:sz w:val="21"/>
                <w:szCs w:val="21"/>
              </w:rPr>
            </w:pPr>
            <w:r w:rsidRPr="007C7FDF">
              <w:rPr>
                <w:sz w:val="21"/>
                <w:szCs w:val="21"/>
              </w:rPr>
              <w:t>Assistance Technique</w:t>
            </w:r>
          </w:p>
        </w:tc>
      </w:tr>
      <w:tr w:rsidR="002A5606" w:rsidRPr="007C7FDF" w:rsidTr="00853784">
        <w:tc>
          <w:tcPr>
            <w:tcW w:w="1550" w:type="dxa"/>
          </w:tcPr>
          <w:p w:rsidR="00140D52" w:rsidRPr="007C7FDF" w:rsidRDefault="00140D52" w:rsidP="008F798F">
            <w:pPr>
              <w:widowControl w:val="0"/>
              <w:autoSpaceDE w:val="0"/>
              <w:autoSpaceDN w:val="0"/>
              <w:adjustRightInd w:val="0"/>
              <w:rPr>
                <w:color w:val="000000"/>
                <w:sz w:val="21"/>
                <w:szCs w:val="21"/>
                <w:lang w:eastAsia="en-US"/>
              </w:rPr>
            </w:pPr>
            <w:r w:rsidRPr="007C7FDF">
              <w:rPr>
                <w:b/>
                <w:color w:val="000000"/>
                <w:sz w:val="21"/>
                <w:szCs w:val="21"/>
                <w:lang w:eastAsia="en-US"/>
              </w:rPr>
              <w:t>AMAE</w:t>
            </w:r>
          </w:p>
        </w:tc>
        <w:tc>
          <w:tcPr>
            <w:tcW w:w="7555" w:type="dxa"/>
          </w:tcPr>
          <w:p w:rsidR="00140D52" w:rsidRPr="007C7FDF" w:rsidRDefault="00140D52" w:rsidP="008E012E">
            <w:pPr>
              <w:widowControl w:val="0"/>
              <w:autoSpaceDE w:val="0"/>
              <w:autoSpaceDN w:val="0"/>
              <w:adjustRightInd w:val="0"/>
              <w:rPr>
                <w:color w:val="000000"/>
                <w:sz w:val="21"/>
                <w:szCs w:val="21"/>
                <w:lang w:eastAsia="en-US"/>
              </w:rPr>
            </w:pPr>
            <w:r w:rsidRPr="007C7FDF">
              <w:rPr>
                <w:color w:val="000000"/>
                <w:sz w:val="21"/>
                <w:szCs w:val="21"/>
                <w:lang w:eastAsia="en-US"/>
              </w:rPr>
              <w:t>Association des Femmes de l’Activité Economique</w:t>
            </w:r>
          </w:p>
        </w:tc>
      </w:tr>
      <w:tr w:rsidR="002A5606" w:rsidRPr="007C7FDF" w:rsidTr="00853784">
        <w:tc>
          <w:tcPr>
            <w:tcW w:w="1550" w:type="dxa"/>
          </w:tcPr>
          <w:p w:rsidR="00140D52" w:rsidRPr="007C7FDF" w:rsidRDefault="00140D52" w:rsidP="008F798F">
            <w:pPr>
              <w:widowControl w:val="0"/>
              <w:autoSpaceDE w:val="0"/>
              <w:autoSpaceDN w:val="0"/>
              <w:adjustRightInd w:val="0"/>
              <w:rPr>
                <w:rFonts w:eastAsia="MS Mincho"/>
                <w:color w:val="000000"/>
                <w:sz w:val="21"/>
                <w:szCs w:val="21"/>
                <w:lang w:eastAsia="en-US"/>
              </w:rPr>
            </w:pPr>
            <w:r w:rsidRPr="007C7FDF">
              <w:rPr>
                <w:b/>
                <w:color w:val="000000"/>
                <w:sz w:val="21"/>
                <w:szCs w:val="21"/>
                <w:lang w:eastAsia="en-US"/>
              </w:rPr>
              <w:t>ANAG</w:t>
            </w:r>
          </w:p>
        </w:tc>
        <w:tc>
          <w:tcPr>
            <w:tcW w:w="7555" w:type="dxa"/>
          </w:tcPr>
          <w:p w:rsidR="00140D52" w:rsidRPr="007C7FDF" w:rsidRDefault="00140D52" w:rsidP="008E012E">
            <w:pPr>
              <w:widowControl w:val="0"/>
              <w:autoSpaceDE w:val="0"/>
              <w:autoSpaceDN w:val="0"/>
              <w:adjustRightInd w:val="0"/>
              <w:rPr>
                <w:rFonts w:eastAsia="MS Mincho"/>
                <w:color w:val="000000"/>
                <w:sz w:val="21"/>
                <w:szCs w:val="21"/>
                <w:lang w:eastAsia="en-US"/>
              </w:rPr>
            </w:pPr>
            <w:r w:rsidRPr="007C7FDF">
              <w:rPr>
                <w:color w:val="000000"/>
                <w:sz w:val="21"/>
                <w:szCs w:val="21"/>
                <w:lang w:eastAsia="en-US"/>
              </w:rPr>
              <w:t>Association Nationale des Agriculteurs de Guinée Bissau</w:t>
            </w:r>
          </w:p>
        </w:tc>
      </w:tr>
      <w:tr w:rsidR="002A5606" w:rsidRPr="007C7FDF" w:rsidTr="00853784">
        <w:tc>
          <w:tcPr>
            <w:tcW w:w="1550" w:type="dxa"/>
          </w:tcPr>
          <w:p w:rsidR="00140D52" w:rsidRPr="007C7FDF" w:rsidRDefault="00140D52" w:rsidP="008F798F">
            <w:pPr>
              <w:widowControl w:val="0"/>
              <w:autoSpaceDE w:val="0"/>
              <w:autoSpaceDN w:val="0"/>
              <w:adjustRightInd w:val="0"/>
              <w:rPr>
                <w:color w:val="000000"/>
                <w:sz w:val="21"/>
                <w:szCs w:val="21"/>
                <w:lang w:eastAsia="en-US"/>
              </w:rPr>
            </w:pPr>
            <w:r w:rsidRPr="007C7FDF">
              <w:rPr>
                <w:b/>
                <w:color w:val="000000"/>
                <w:sz w:val="21"/>
                <w:szCs w:val="21"/>
                <w:lang w:eastAsia="en-US"/>
              </w:rPr>
              <w:t>ANCA</w:t>
            </w:r>
          </w:p>
        </w:tc>
        <w:tc>
          <w:tcPr>
            <w:tcW w:w="7555" w:type="dxa"/>
          </w:tcPr>
          <w:p w:rsidR="00140D52" w:rsidRPr="007C7FDF" w:rsidRDefault="00140D52" w:rsidP="008E012E">
            <w:pPr>
              <w:widowControl w:val="0"/>
              <w:autoSpaceDE w:val="0"/>
              <w:autoSpaceDN w:val="0"/>
              <w:adjustRightInd w:val="0"/>
              <w:rPr>
                <w:color w:val="000000"/>
                <w:sz w:val="21"/>
                <w:szCs w:val="21"/>
                <w:lang w:eastAsia="en-US"/>
              </w:rPr>
            </w:pPr>
            <w:r w:rsidRPr="007C7FDF">
              <w:rPr>
                <w:color w:val="000000"/>
                <w:sz w:val="21"/>
                <w:szCs w:val="21"/>
                <w:lang w:eastAsia="en-US"/>
              </w:rPr>
              <w:t>Agence Nationale du Cajou</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BM</w:t>
            </w:r>
          </w:p>
        </w:tc>
        <w:tc>
          <w:tcPr>
            <w:tcW w:w="7555" w:type="dxa"/>
          </w:tcPr>
          <w:p w:rsidR="00140D52" w:rsidRPr="007C7FDF" w:rsidRDefault="00140D52" w:rsidP="008E012E">
            <w:pPr>
              <w:rPr>
                <w:sz w:val="21"/>
                <w:szCs w:val="21"/>
              </w:rPr>
            </w:pPr>
            <w:r w:rsidRPr="007C7FDF">
              <w:rPr>
                <w:sz w:val="21"/>
                <w:szCs w:val="21"/>
              </w:rPr>
              <w:t>Banque Mondiale</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CAIA</w:t>
            </w:r>
          </w:p>
        </w:tc>
        <w:tc>
          <w:tcPr>
            <w:tcW w:w="7555" w:type="dxa"/>
          </w:tcPr>
          <w:p w:rsidR="00140D52" w:rsidRPr="007C7FDF" w:rsidRDefault="00140D52" w:rsidP="008E012E">
            <w:pPr>
              <w:rPr>
                <w:sz w:val="21"/>
                <w:szCs w:val="21"/>
              </w:rPr>
            </w:pPr>
            <w:r w:rsidRPr="007C7FDF">
              <w:rPr>
                <w:sz w:val="21"/>
                <w:szCs w:val="21"/>
              </w:rPr>
              <w:t>Cellule d’Évaluation d’Impact Environnemental</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CCC</w:t>
            </w:r>
          </w:p>
        </w:tc>
        <w:tc>
          <w:tcPr>
            <w:tcW w:w="7555" w:type="dxa"/>
          </w:tcPr>
          <w:p w:rsidR="00140D52" w:rsidRPr="007C7FDF" w:rsidRDefault="00140D52" w:rsidP="008E012E">
            <w:pPr>
              <w:rPr>
                <w:sz w:val="21"/>
                <w:szCs w:val="21"/>
              </w:rPr>
            </w:pPr>
            <w:r w:rsidRPr="007C7FDF">
              <w:rPr>
                <w:sz w:val="21"/>
                <w:szCs w:val="21"/>
              </w:rPr>
              <w:t>Communication pour un Changement de Comportement</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CES</w:t>
            </w:r>
          </w:p>
        </w:tc>
        <w:tc>
          <w:tcPr>
            <w:tcW w:w="7555" w:type="dxa"/>
          </w:tcPr>
          <w:p w:rsidR="00140D52" w:rsidRPr="007C7FDF" w:rsidRDefault="00140D52" w:rsidP="008E012E">
            <w:pPr>
              <w:rPr>
                <w:sz w:val="21"/>
                <w:szCs w:val="21"/>
              </w:rPr>
            </w:pPr>
            <w:r w:rsidRPr="007C7FDF">
              <w:rPr>
                <w:sz w:val="21"/>
                <w:szCs w:val="21"/>
              </w:rPr>
              <w:t>Cadre Environnemental et Social</w:t>
            </w:r>
          </w:p>
        </w:tc>
      </w:tr>
      <w:tr w:rsidR="002A5606" w:rsidRPr="007C7FDF" w:rsidTr="00853784">
        <w:tc>
          <w:tcPr>
            <w:tcW w:w="1550" w:type="dxa"/>
          </w:tcPr>
          <w:p w:rsidR="00140D52" w:rsidRPr="007C7FDF" w:rsidRDefault="00140D52" w:rsidP="008F798F">
            <w:pPr>
              <w:rPr>
                <w:b/>
                <w:sz w:val="21"/>
                <w:szCs w:val="21"/>
              </w:rPr>
            </w:pPr>
            <w:r w:rsidRPr="007C7FDF">
              <w:rPr>
                <w:b/>
                <w:sz w:val="21"/>
                <w:szCs w:val="21"/>
              </w:rPr>
              <w:t>CERIP</w:t>
            </w:r>
          </w:p>
        </w:tc>
        <w:tc>
          <w:tcPr>
            <w:tcW w:w="7555" w:type="dxa"/>
          </w:tcPr>
          <w:p w:rsidR="00140D52" w:rsidRPr="007C7FDF" w:rsidRDefault="00140D52" w:rsidP="008E012E">
            <w:pPr>
              <w:rPr>
                <w:b/>
                <w:sz w:val="21"/>
                <w:szCs w:val="21"/>
              </w:rPr>
            </w:pPr>
            <w:r w:rsidRPr="007C7FDF">
              <w:rPr>
                <w:sz w:val="21"/>
                <w:szCs w:val="21"/>
              </w:rPr>
              <w:t>Plan de Mise en Œuvre de la Réponse d’Urgence Contingente</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CGES</w:t>
            </w:r>
          </w:p>
        </w:tc>
        <w:tc>
          <w:tcPr>
            <w:tcW w:w="7555" w:type="dxa"/>
          </w:tcPr>
          <w:p w:rsidR="00140D52" w:rsidRPr="007C7FDF" w:rsidRDefault="00140D52" w:rsidP="008E012E">
            <w:pPr>
              <w:rPr>
                <w:sz w:val="21"/>
                <w:szCs w:val="21"/>
              </w:rPr>
            </w:pPr>
            <w:r w:rsidRPr="007C7FDF">
              <w:rPr>
                <w:sz w:val="21"/>
                <w:szCs w:val="21"/>
              </w:rPr>
              <w:t>Cadre de Gestion Environnementale et Sociale</w:t>
            </w:r>
          </w:p>
        </w:tc>
      </w:tr>
      <w:tr w:rsidR="002A5606" w:rsidRPr="007C7FDF" w:rsidTr="00853784">
        <w:tc>
          <w:tcPr>
            <w:tcW w:w="1550" w:type="dxa"/>
          </w:tcPr>
          <w:p w:rsidR="00140D52" w:rsidRPr="007C7FDF" w:rsidRDefault="00140D52" w:rsidP="008F798F">
            <w:pPr>
              <w:rPr>
                <w:sz w:val="21"/>
                <w:szCs w:val="21"/>
              </w:rPr>
            </w:pPr>
            <w:r w:rsidRPr="007C7FDF">
              <w:rPr>
                <w:b/>
                <w:color w:val="000000"/>
                <w:sz w:val="21"/>
                <w:szCs w:val="21"/>
                <w:lang w:eastAsia="en-US"/>
              </w:rPr>
              <w:t>CIN</w:t>
            </w:r>
          </w:p>
        </w:tc>
        <w:tc>
          <w:tcPr>
            <w:tcW w:w="7555" w:type="dxa"/>
          </w:tcPr>
          <w:p w:rsidR="00140D52" w:rsidRPr="007C7FDF" w:rsidRDefault="00140D52" w:rsidP="008E012E">
            <w:pPr>
              <w:rPr>
                <w:sz w:val="21"/>
                <w:szCs w:val="21"/>
              </w:rPr>
            </w:pPr>
            <w:r w:rsidRPr="007C7FDF">
              <w:rPr>
                <w:color w:val="000000"/>
                <w:sz w:val="21"/>
                <w:szCs w:val="21"/>
                <w:lang w:eastAsia="en-US"/>
              </w:rPr>
              <w:t>Carte d’Identification Nationale</w:t>
            </w:r>
          </w:p>
        </w:tc>
      </w:tr>
      <w:tr w:rsidR="002A5606" w:rsidRPr="007C7FDF" w:rsidTr="00853784">
        <w:tc>
          <w:tcPr>
            <w:tcW w:w="1550" w:type="dxa"/>
          </w:tcPr>
          <w:p w:rsidR="00140D52" w:rsidRPr="007C7FDF" w:rsidRDefault="00140D52" w:rsidP="008F798F">
            <w:pPr>
              <w:rPr>
                <w:sz w:val="21"/>
                <w:szCs w:val="21"/>
              </w:rPr>
            </w:pPr>
            <w:r w:rsidRPr="007C7FDF">
              <w:rPr>
                <w:b/>
                <w:i/>
                <w:sz w:val="21"/>
                <w:szCs w:val="21"/>
                <w:lang w:eastAsia="en-US"/>
              </w:rPr>
              <w:t>CNGP</w:t>
            </w:r>
          </w:p>
        </w:tc>
        <w:tc>
          <w:tcPr>
            <w:tcW w:w="7555" w:type="dxa"/>
          </w:tcPr>
          <w:p w:rsidR="00140D52" w:rsidRPr="007C7FDF" w:rsidRDefault="00140D52" w:rsidP="008E012E">
            <w:pPr>
              <w:rPr>
                <w:sz w:val="21"/>
                <w:szCs w:val="21"/>
              </w:rPr>
            </w:pPr>
            <w:r w:rsidRPr="007C7FDF">
              <w:rPr>
                <w:sz w:val="21"/>
                <w:szCs w:val="21"/>
                <w:lang w:eastAsia="en-US"/>
              </w:rPr>
              <w:t>Comité National de Gestion des Pesticides</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CPR</w:t>
            </w:r>
          </w:p>
        </w:tc>
        <w:tc>
          <w:tcPr>
            <w:tcW w:w="7555" w:type="dxa"/>
          </w:tcPr>
          <w:p w:rsidR="00140D52" w:rsidRPr="007C7FDF" w:rsidRDefault="00140D52" w:rsidP="008E012E">
            <w:pPr>
              <w:rPr>
                <w:sz w:val="21"/>
                <w:szCs w:val="21"/>
              </w:rPr>
            </w:pPr>
            <w:r w:rsidRPr="007C7FDF">
              <w:rPr>
                <w:sz w:val="21"/>
                <w:szCs w:val="21"/>
              </w:rPr>
              <w:t>Cabinet de Planification Régionale</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CPRP</w:t>
            </w:r>
          </w:p>
        </w:tc>
        <w:tc>
          <w:tcPr>
            <w:tcW w:w="7555" w:type="dxa"/>
          </w:tcPr>
          <w:p w:rsidR="00140D52" w:rsidRPr="007C7FDF" w:rsidRDefault="00140D52" w:rsidP="008E012E">
            <w:pPr>
              <w:rPr>
                <w:sz w:val="21"/>
                <w:szCs w:val="21"/>
              </w:rPr>
            </w:pPr>
            <w:r w:rsidRPr="007C7FDF">
              <w:rPr>
                <w:sz w:val="21"/>
                <w:szCs w:val="21"/>
              </w:rPr>
              <w:t>Cadre de Politique de Réinstallation des Populations</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CPP</w:t>
            </w:r>
          </w:p>
        </w:tc>
        <w:tc>
          <w:tcPr>
            <w:tcW w:w="7555" w:type="dxa"/>
          </w:tcPr>
          <w:p w:rsidR="00140D52" w:rsidRPr="007C7FDF" w:rsidRDefault="00140D52" w:rsidP="008E012E">
            <w:pPr>
              <w:rPr>
                <w:sz w:val="21"/>
                <w:szCs w:val="21"/>
              </w:rPr>
            </w:pPr>
            <w:r w:rsidRPr="007C7FDF">
              <w:rPr>
                <w:sz w:val="21"/>
                <w:szCs w:val="21"/>
              </w:rPr>
              <w:t>Cadre de Partenariat Pays</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CR</w:t>
            </w:r>
          </w:p>
        </w:tc>
        <w:tc>
          <w:tcPr>
            <w:tcW w:w="7555" w:type="dxa"/>
          </w:tcPr>
          <w:p w:rsidR="00140D52" w:rsidRPr="007C7FDF" w:rsidRDefault="00140D52" w:rsidP="008E012E">
            <w:pPr>
              <w:rPr>
                <w:sz w:val="21"/>
                <w:szCs w:val="21"/>
              </w:rPr>
            </w:pPr>
            <w:r w:rsidRPr="007C7FDF">
              <w:rPr>
                <w:sz w:val="21"/>
                <w:szCs w:val="21"/>
              </w:rPr>
              <w:t>Coordinateur Régional</w:t>
            </w:r>
          </w:p>
        </w:tc>
      </w:tr>
      <w:tr w:rsidR="002A5606" w:rsidRPr="007C7FDF" w:rsidTr="00853784">
        <w:tc>
          <w:tcPr>
            <w:tcW w:w="1550" w:type="dxa"/>
          </w:tcPr>
          <w:p w:rsidR="00140D52" w:rsidRPr="007C7FDF" w:rsidRDefault="00140D52" w:rsidP="008F798F">
            <w:pPr>
              <w:rPr>
                <w:rFonts w:ascii="Times" w:hAnsi="Times"/>
                <w:sz w:val="21"/>
                <w:szCs w:val="21"/>
              </w:rPr>
            </w:pPr>
            <w:r w:rsidRPr="007C7FDF">
              <w:rPr>
                <w:rFonts w:ascii="Times" w:hAnsi="Times"/>
                <w:b/>
                <w:sz w:val="21"/>
                <w:szCs w:val="21"/>
              </w:rPr>
              <w:t>CRSE</w:t>
            </w:r>
          </w:p>
        </w:tc>
        <w:tc>
          <w:tcPr>
            <w:tcW w:w="7555" w:type="dxa"/>
          </w:tcPr>
          <w:p w:rsidR="00140D52" w:rsidRPr="007C7FDF" w:rsidRDefault="00140D52" w:rsidP="008E012E">
            <w:pPr>
              <w:rPr>
                <w:rFonts w:ascii="Times" w:hAnsi="Times"/>
                <w:sz w:val="21"/>
                <w:szCs w:val="21"/>
              </w:rPr>
            </w:pPr>
            <w:r w:rsidRPr="007C7FDF">
              <w:rPr>
                <w:rFonts w:ascii="Times" w:hAnsi="Times"/>
                <w:sz w:val="21"/>
                <w:szCs w:val="21"/>
              </w:rPr>
              <w:t>Comité régionale de suivi environnemental</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CRENI</w:t>
            </w:r>
          </w:p>
        </w:tc>
        <w:tc>
          <w:tcPr>
            <w:tcW w:w="7555" w:type="dxa"/>
          </w:tcPr>
          <w:p w:rsidR="00140D52" w:rsidRPr="007C7FDF" w:rsidRDefault="00140D52" w:rsidP="008E012E">
            <w:pPr>
              <w:rPr>
                <w:sz w:val="21"/>
                <w:szCs w:val="21"/>
              </w:rPr>
            </w:pPr>
            <w:r w:rsidRPr="007C7FDF">
              <w:rPr>
                <w:sz w:val="21"/>
                <w:szCs w:val="21"/>
              </w:rPr>
              <w:t>Centre de Récupération Nutritionnel en Internement</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CRENAG</w:t>
            </w:r>
          </w:p>
        </w:tc>
        <w:tc>
          <w:tcPr>
            <w:tcW w:w="7555" w:type="dxa"/>
          </w:tcPr>
          <w:p w:rsidR="00140D52" w:rsidRPr="007C7FDF" w:rsidRDefault="00140D52" w:rsidP="008E012E">
            <w:pPr>
              <w:rPr>
                <w:sz w:val="21"/>
                <w:szCs w:val="21"/>
              </w:rPr>
            </w:pPr>
            <w:r w:rsidRPr="007C7FDF">
              <w:rPr>
                <w:sz w:val="21"/>
                <w:szCs w:val="21"/>
              </w:rPr>
              <w:t>Centre de Récupération Nutritionnel Ambulatoire</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DAO</w:t>
            </w:r>
          </w:p>
        </w:tc>
        <w:tc>
          <w:tcPr>
            <w:tcW w:w="7555" w:type="dxa"/>
          </w:tcPr>
          <w:p w:rsidR="00140D52" w:rsidRPr="007C7FDF" w:rsidRDefault="00140D52" w:rsidP="008E012E">
            <w:pPr>
              <w:rPr>
                <w:sz w:val="21"/>
                <w:szCs w:val="21"/>
              </w:rPr>
            </w:pPr>
            <w:r w:rsidRPr="007C7FDF">
              <w:rPr>
                <w:sz w:val="21"/>
                <w:szCs w:val="21"/>
              </w:rPr>
              <w:t>Dossier d'Appel d'Offres</w:t>
            </w:r>
          </w:p>
        </w:tc>
      </w:tr>
      <w:tr w:rsidR="002A5606" w:rsidRPr="007C7FDF" w:rsidTr="00853784">
        <w:tc>
          <w:tcPr>
            <w:tcW w:w="1550" w:type="dxa"/>
          </w:tcPr>
          <w:p w:rsidR="00140D52" w:rsidRPr="007C7FDF" w:rsidRDefault="00140D52" w:rsidP="008F798F">
            <w:pPr>
              <w:rPr>
                <w:sz w:val="21"/>
                <w:szCs w:val="21"/>
              </w:rPr>
            </w:pPr>
            <w:r w:rsidRPr="007C7FDF">
              <w:rPr>
                <w:b/>
                <w:bCs/>
                <w:sz w:val="21"/>
                <w:szCs w:val="21"/>
              </w:rPr>
              <w:t>DENARP II</w:t>
            </w:r>
          </w:p>
        </w:tc>
        <w:tc>
          <w:tcPr>
            <w:tcW w:w="7555" w:type="dxa"/>
          </w:tcPr>
          <w:p w:rsidR="00140D52" w:rsidRPr="007C7FDF" w:rsidRDefault="00140D52" w:rsidP="008E012E">
            <w:pPr>
              <w:rPr>
                <w:sz w:val="21"/>
                <w:szCs w:val="21"/>
              </w:rPr>
            </w:pPr>
            <w:r w:rsidRPr="007C7FDF">
              <w:rPr>
                <w:bCs/>
                <w:sz w:val="21"/>
                <w:szCs w:val="21"/>
              </w:rPr>
              <w:t>Document de Stratégie Nationale pour la Réduction de la pauvreté</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DGA</w:t>
            </w:r>
          </w:p>
        </w:tc>
        <w:tc>
          <w:tcPr>
            <w:tcW w:w="7555" w:type="dxa"/>
          </w:tcPr>
          <w:p w:rsidR="00140D52" w:rsidRPr="007C7FDF" w:rsidRDefault="00DF7EA9" w:rsidP="008E012E">
            <w:pPr>
              <w:rPr>
                <w:sz w:val="21"/>
                <w:szCs w:val="21"/>
              </w:rPr>
            </w:pPr>
            <w:r w:rsidRPr="007C7FDF">
              <w:rPr>
                <w:sz w:val="21"/>
                <w:szCs w:val="21"/>
              </w:rPr>
              <w:t>Direction générale</w:t>
            </w:r>
            <w:r w:rsidR="00140D52" w:rsidRPr="007C7FDF">
              <w:rPr>
                <w:sz w:val="21"/>
                <w:szCs w:val="21"/>
              </w:rPr>
              <w:t xml:space="preserve"> de l’agriculture</w:t>
            </w:r>
          </w:p>
        </w:tc>
      </w:tr>
      <w:tr w:rsidR="002A5606" w:rsidRPr="007C7FDF" w:rsidTr="00853784">
        <w:tc>
          <w:tcPr>
            <w:tcW w:w="1550" w:type="dxa"/>
          </w:tcPr>
          <w:p w:rsidR="00140D52" w:rsidRPr="007C7FDF" w:rsidRDefault="00140D52" w:rsidP="008F798F">
            <w:pPr>
              <w:rPr>
                <w:sz w:val="21"/>
                <w:szCs w:val="21"/>
              </w:rPr>
            </w:pPr>
            <w:r w:rsidRPr="007C7FDF">
              <w:rPr>
                <w:b/>
                <w:spacing w:val="-2"/>
                <w:sz w:val="21"/>
                <w:szCs w:val="21"/>
              </w:rPr>
              <w:t>DGE</w:t>
            </w:r>
          </w:p>
        </w:tc>
        <w:tc>
          <w:tcPr>
            <w:tcW w:w="7555" w:type="dxa"/>
          </w:tcPr>
          <w:p w:rsidR="00140D52" w:rsidRPr="007C7FDF" w:rsidRDefault="00140D52" w:rsidP="008E012E">
            <w:pPr>
              <w:rPr>
                <w:sz w:val="21"/>
                <w:szCs w:val="21"/>
              </w:rPr>
            </w:pPr>
            <w:r w:rsidRPr="007C7FDF">
              <w:rPr>
                <w:spacing w:val="-2"/>
                <w:sz w:val="21"/>
                <w:szCs w:val="21"/>
              </w:rPr>
              <w:t>Direction Générale de l’Environnement</w:t>
            </w:r>
          </w:p>
        </w:tc>
      </w:tr>
      <w:tr w:rsidR="002A5606" w:rsidRPr="007C7FDF" w:rsidTr="00853784">
        <w:trPr>
          <w:trHeight w:val="278"/>
        </w:trPr>
        <w:tc>
          <w:tcPr>
            <w:tcW w:w="1550" w:type="dxa"/>
          </w:tcPr>
          <w:p w:rsidR="00140D52" w:rsidRPr="007C7FDF" w:rsidRDefault="00140D52" w:rsidP="008F798F">
            <w:pPr>
              <w:rPr>
                <w:sz w:val="21"/>
                <w:szCs w:val="21"/>
              </w:rPr>
            </w:pPr>
            <w:r w:rsidRPr="007C7FDF">
              <w:rPr>
                <w:b/>
                <w:sz w:val="21"/>
                <w:szCs w:val="21"/>
              </w:rPr>
              <w:t>DGFF</w:t>
            </w:r>
          </w:p>
        </w:tc>
        <w:tc>
          <w:tcPr>
            <w:tcW w:w="7555" w:type="dxa"/>
          </w:tcPr>
          <w:p w:rsidR="00140D52" w:rsidRPr="007C7FDF" w:rsidRDefault="00140D52" w:rsidP="008E012E">
            <w:pPr>
              <w:rPr>
                <w:sz w:val="21"/>
                <w:szCs w:val="21"/>
              </w:rPr>
            </w:pPr>
            <w:r w:rsidRPr="007C7FDF">
              <w:rPr>
                <w:sz w:val="21"/>
                <w:szCs w:val="21"/>
              </w:rPr>
              <w:t>Direction Générale des Flores et Faunes</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DSRP</w:t>
            </w:r>
          </w:p>
        </w:tc>
        <w:tc>
          <w:tcPr>
            <w:tcW w:w="7555" w:type="dxa"/>
          </w:tcPr>
          <w:p w:rsidR="00140D52" w:rsidRPr="007C7FDF" w:rsidRDefault="00140D52" w:rsidP="008E012E">
            <w:pPr>
              <w:rPr>
                <w:sz w:val="21"/>
                <w:szCs w:val="21"/>
              </w:rPr>
            </w:pPr>
            <w:r w:rsidRPr="007C7FDF">
              <w:rPr>
                <w:sz w:val="21"/>
                <w:szCs w:val="21"/>
              </w:rPr>
              <w:t>Document de Stratégie de Réduction de la Pauvreté</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DSPV</w:t>
            </w:r>
          </w:p>
        </w:tc>
        <w:tc>
          <w:tcPr>
            <w:tcW w:w="7555" w:type="dxa"/>
          </w:tcPr>
          <w:p w:rsidR="00140D52" w:rsidRPr="007C7FDF" w:rsidRDefault="00140D52" w:rsidP="008E012E">
            <w:pPr>
              <w:rPr>
                <w:sz w:val="21"/>
                <w:szCs w:val="21"/>
              </w:rPr>
            </w:pPr>
            <w:r w:rsidRPr="007C7FDF">
              <w:rPr>
                <w:sz w:val="21"/>
                <w:szCs w:val="21"/>
              </w:rPr>
              <w:t>Direction de Protection des Végétaux</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EAS/HS</w:t>
            </w:r>
          </w:p>
        </w:tc>
        <w:tc>
          <w:tcPr>
            <w:tcW w:w="7555" w:type="dxa"/>
          </w:tcPr>
          <w:p w:rsidR="00140D52" w:rsidRPr="007C7FDF" w:rsidRDefault="00140D52" w:rsidP="008E012E">
            <w:pPr>
              <w:rPr>
                <w:sz w:val="21"/>
                <w:szCs w:val="21"/>
              </w:rPr>
            </w:pPr>
            <w:r w:rsidRPr="007C7FDF">
              <w:rPr>
                <w:sz w:val="21"/>
                <w:szCs w:val="21"/>
              </w:rPr>
              <w:t>Exploitation et d'Abus Sexuels ou de Harcèlement Sexuel</w:t>
            </w:r>
          </w:p>
        </w:tc>
      </w:tr>
      <w:tr w:rsidR="002A5606" w:rsidRPr="007C7FDF" w:rsidTr="00853784">
        <w:tc>
          <w:tcPr>
            <w:tcW w:w="1550" w:type="dxa"/>
          </w:tcPr>
          <w:p w:rsidR="00140D52" w:rsidRPr="007C7FDF" w:rsidRDefault="00140D52" w:rsidP="008F798F">
            <w:pPr>
              <w:rPr>
                <w:sz w:val="21"/>
                <w:szCs w:val="21"/>
              </w:rPr>
            </w:pPr>
            <w:r w:rsidRPr="007C7FDF">
              <w:rPr>
                <w:b/>
                <w:sz w:val="21"/>
                <w:szCs w:val="21"/>
              </w:rPr>
              <w:t>EIES</w:t>
            </w:r>
          </w:p>
        </w:tc>
        <w:tc>
          <w:tcPr>
            <w:tcW w:w="7555" w:type="dxa"/>
          </w:tcPr>
          <w:p w:rsidR="00140D52" w:rsidRPr="007C7FDF" w:rsidRDefault="00140D52" w:rsidP="008E012E">
            <w:pPr>
              <w:rPr>
                <w:sz w:val="21"/>
                <w:szCs w:val="21"/>
              </w:rPr>
            </w:pPr>
            <w:r w:rsidRPr="007C7FDF">
              <w:rPr>
                <w:sz w:val="21"/>
                <w:szCs w:val="21"/>
              </w:rPr>
              <w:t>Etude d’Impact Environnemental et Social</w:t>
            </w:r>
          </w:p>
        </w:tc>
      </w:tr>
      <w:tr w:rsidR="00140D52" w:rsidRPr="007C7FDF" w:rsidTr="00853784">
        <w:tc>
          <w:tcPr>
            <w:tcW w:w="1550" w:type="dxa"/>
          </w:tcPr>
          <w:p w:rsidR="00140D52" w:rsidRPr="007C7FDF" w:rsidRDefault="00140D52" w:rsidP="008F798F">
            <w:pPr>
              <w:widowControl w:val="0"/>
              <w:autoSpaceDE w:val="0"/>
              <w:autoSpaceDN w:val="0"/>
              <w:adjustRightInd w:val="0"/>
              <w:rPr>
                <w:color w:val="000000"/>
                <w:sz w:val="21"/>
                <w:szCs w:val="21"/>
                <w:lang w:eastAsia="en-US"/>
              </w:rPr>
            </w:pPr>
            <w:r w:rsidRPr="007C7FDF">
              <w:rPr>
                <w:b/>
                <w:color w:val="000000"/>
                <w:sz w:val="21"/>
                <w:szCs w:val="21"/>
                <w:lang w:eastAsia="en-US"/>
              </w:rPr>
              <w:t>EEES</w:t>
            </w:r>
          </w:p>
        </w:tc>
        <w:tc>
          <w:tcPr>
            <w:tcW w:w="7555" w:type="dxa"/>
          </w:tcPr>
          <w:p w:rsidR="00140D52" w:rsidRPr="007C7FDF" w:rsidRDefault="00140D52" w:rsidP="008E012E">
            <w:pPr>
              <w:widowControl w:val="0"/>
              <w:autoSpaceDE w:val="0"/>
              <w:autoSpaceDN w:val="0"/>
              <w:adjustRightInd w:val="0"/>
              <w:rPr>
                <w:color w:val="000000"/>
                <w:sz w:val="21"/>
                <w:szCs w:val="21"/>
                <w:lang w:eastAsia="en-US"/>
              </w:rPr>
            </w:pPr>
            <w:r w:rsidRPr="007C7FDF">
              <w:rPr>
                <w:color w:val="000000"/>
                <w:sz w:val="21"/>
                <w:szCs w:val="21"/>
                <w:lang w:eastAsia="en-US"/>
              </w:rPr>
              <w:t>Evaluation environnemental et sociale stratégique</w:t>
            </w:r>
          </w:p>
        </w:tc>
      </w:tr>
      <w:tr w:rsidR="00140D52" w:rsidRPr="007C7FDF" w:rsidTr="00853784">
        <w:tc>
          <w:tcPr>
            <w:tcW w:w="1550" w:type="dxa"/>
          </w:tcPr>
          <w:p w:rsidR="00140D52" w:rsidRPr="007C7FDF" w:rsidRDefault="00140D52" w:rsidP="008F798F">
            <w:pPr>
              <w:widowControl w:val="0"/>
              <w:autoSpaceDE w:val="0"/>
              <w:autoSpaceDN w:val="0"/>
              <w:adjustRightInd w:val="0"/>
              <w:rPr>
                <w:color w:val="000000" w:themeColor="text1"/>
                <w:sz w:val="21"/>
                <w:szCs w:val="21"/>
              </w:rPr>
            </w:pPr>
            <w:r w:rsidRPr="007C7FDF">
              <w:rPr>
                <w:b/>
                <w:color w:val="000000" w:themeColor="text1"/>
                <w:sz w:val="21"/>
                <w:szCs w:val="21"/>
              </w:rPr>
              <w:t>EPI</w:t>
            </w:r>
          </w:p>
        </w:tc>
        <w:tc>
          <w:tcPr>
            <w:tcW w:w="7555" w:type="dxa"/>
          </w:tcPr>
          <w:p w:rsidR="00140D52" w:rsidRPr="007C7FDF" w:rsidRDefault="00140D52" w:rsidP="008E012E">
            <w:pPr>
              <w:widowControl w:val="0"/>
              <w:autoSpaceDE w:val="0"/>
              <w:autoSpaceDN w:val="0"/>
              <w:adjustRightInd w:val="0"/>
              <w:rPr>
                <w:color w:val="000000" w:themeColor="text1"/>
                <w:sz w:val="21"/>
                <w:szCs w:val="21"/>
              </w:rPr>
            </w:pPr>
            <w:r w:rsidRPr="007C7FDF">
              <w:rPr>
                <w:color w:val="000000" w:themeColor="text1"/>
                <w:sz w:val="21"/>
                <w:szCs w:val="21"/>
              </w:rPr>
              <w:t>Equipement de Protection Individuel</w:t>
            </w:r>
          </w:p>
        </w:tc>
      </w:tr>
      <w:tr w:rsidR="00140D52" w:rsidRPr="007C7FDF" w:rsidTr="00853784">
        <w:tc>
          <w:tcPr>
            <w:tcW w:w="1550" w:type="dxa"/>
          </w:tcPr>
          <w:p w:rsidR="00140D52" w:rsidRPr="007C7FDF" w:rsidRDefault="00140D52" w:rsidP="008F798F">
            <w:pPr>
              <w:widowControl w:val="0"/>
              <w:autoSpaceDE w:val="0"/>
              <w:autoSpaceDN w:val="0"/>
              <w:adjustRightInd w:val="0"/>
              <w:rPr>
                <w:rFonts w:eastAsia="Times New Roman"/>
                <w:sz w:val="21"/>
                <w:szCs w:val="21"/>
              </w:rPr>
            </w:pPr>
            <w:r w:rsidRPr="007C7FDF">
              <w:rPr>
                <w:rFonts w:eastAsia="Times New Roman"/>
                <w:b/>
                <w:sz w:val="21"/>
                <w:szCs w:val="21"/>
              </w:rPr>
              <w:t>ESHS</w:t>
            </w:r>
          </w:p>
        </w:tc>
        <w:tc>
          <w:tcPr>
            <w:tcW w:w="7555" w:type="dxa"/>
          </w:tcPr>
          <w:p w:rsidR="00140D52" w:rsidRPr="007C7FDF" w:rsidRDefault="00140D52" w:rsidP="008E012E">
            <w:pPr>
              <w:widowControl w:val="0"/>
              <w:autoSpaceDE w:val="0"/>
              <w:autoSpaceDN w:val="0"/>
              <w:adjustRightInd w:val="0"/>
              <w:rPr>
                <w:rFonts w:eastAsia="Times New Roman"/>
                <w:sz w:val="21"/>
                <w:szCs w:val="21"/>
              </w:rPr>
            </w:pPr>
            <w:r w:rsidRPr="007C7FDF">
              <w:rPr>
                <w:rFonts w:eastAsia="Times New Roman"/>
                <w:sz w:val="21"/>
                <w:szCs w:val="21"/>
              </w:rPr>
              <w:t>Environnementales et Sociales, d’Hygiène et de Sécurité</w:t>
            </w:r>
          </w:p>
        </w:tc>
      </w:tr>
      <w:tr w:rsidR="00140D52" w:rsidRPr="007C7FDF" w:rsidTr="00853784">
        <w:tc>
          <w:tcPr>
            <w:tcW w:w="1550" w:type="dxa"/>
          </w:tcPr>
          <w:p w:rsidR="00140D52" w:rsidRPr="007C7FDF" w:rsidRDefault="00140D52" w:rsidP="008F798F">
            <w:pPr>
              <w:widowControl w:val="0"/>
              <w:autoSpaceDE w:val="0"/>
              <w:autoSpaceDN w:val="0"/>
              <w:adjustRightInd w:val="0"/>
              <w:rPr>
                <w:color w:val="000000"/>
                <w:sz w:val="21"/>
                <w:szCs w:val="21"/>
                <w:lang w:eastAsia="en-US"/>
              </w:rPr>
            </w:pPr>
            <w:r w:rsidRPr="007C7FDF">
              <w:rPr>
                <w:b/>
                <w:color w:val="000000"/>
                <w:sz w:val="21"/>
                <w:szCs w:val="21"/>
                <w:lang w:eastAsia="en-US"/>
              </w:rPr>
              <w:t>FAO</w:t>
            </w:r>
          </w:p>
        </w:tc>
        <w:tc>
          <w:tcPr>
            <w:tcW w:w="7555" w:type="dxa"/>
          </w:tcPr>
          <w:p w:rsidR="00140D52" w:rsidRPr="007C7FDF" w:rsidRDefault="00140D52" w:rsidP="008E012E">
            <w:pPr>
              <w:widowControl w:val="0"/>
              <w:autoSpaceDE w:val="0"/>
              <w:autoSpaceDN w:val="0"/>
              <w:adjustRightInd w:val="0"/>
              <w:rPr>
                <w:color w:val="000000"/>
                <w:sz w:val="21"/>
                <w:szCs w:val="21"/>
                <w:lang w:eastAsia="en-US"/>
              </w:rPr>
            </w:pPr>
            <w:r w:rsidRPr="007C7FDF">
              <w:rPr>
                <w:rFonts w:eastAsia="Times New Roman"/>
                <w:color w:val="040404"/>
                <w:sz w:val="21"/>
                <w:szCs w:val="21"/>
                <w:shd w:val="clear" w:color="auto" w:fill="FFFFFF"/>
              </w:rPr>
              <w:t>Organisation des Nations Unies pour l’Alimentation et l’Agriculture</w:t>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sz w:val="21"/>
                <w:szCs w:val="21"/>
              </w:rPr>
            </w:pPr>
            <w:r w:rsidRPr="007C7FDF">
              <w:rPr>
                <w:b/>
                <w:sz w:val="21"/>
                <w:szCs w:val="21"/>
              </w:rPr>
              <w:t>FIL</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sz w:val="21"/>
                <w:szCs w:val="21"/>
              </w:rPr>
            </w:pPr>
            <w:r w:rsidRPr="007C7FDF">
              <w:rPr>
                <w:sz w:val="21"/>
                <w:szCs w:val="21"/>
              </w:rPr>
              <w:t>Fonds d’Investissement Local</w:t>
            </w:r>
            <w:r w:rsidRPr="007C7FDF">
              <w:rPr>
                <w:sz w:val="21"/>
                <w:szCs w:val="21"/>
              </w:rPr>
              <w:tab/>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sz w:val="21"/>
                <w:szCs w:val="21"/>
              </w:rPr>
            </w:pPr>
            <w:r w:rsidRPr="007C7FDF">
              <w:rPr>
                <w:b/>
                <w:spacing w:val="-2"/>
                <w:sz w:val="21"/>
                <w:szCs w:val="21"/>
              </w:rPr>
              <w:t>FME</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sz w:val="21"/>
                <w:szCs w:val="21"/>
              </w:rPr>
            </w:pPr>
            <w:r w:rsidRPr="007C7FDF">
              <w:rPr>
                <w:spacing w:val="-2"/>
                <w:sz w:val="21"/>
                <w:szCs w:val="21"/>
              </w:rPr>
              <w:t>Fonds Mondial pour l’Environnement</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GB</w:t>
            </w:r>
          </w:p>
        </w:tc>
        <w:tc>
          <w:tcPr>
            <w:tcW w:w="7555" w:type="dxa"/>
          </w:tcPr>
          <w:p w:rsidR="00140D52" w:rsidRPr="007C7FDF" w:rsidRDefault="00140D52" w:rsidP="008E012E">
            <w:pPr>
              <w:rPr>
                <w:sz w:val="21"/>
                <w:szCs w:val="21"/>
              </w:rPr>
            </w:pPr>
            <w:r w:rsidRPr="007C7FDF">
              <w:rPr>
                <w:sz w:val="21"/>
                <w:szCs w:val="21"/>
              </w:rPr>
              <w:t>Guinée Bissau</w:t>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rFonts w:cs="Calibri"/>
                <w:sz w:val="21"/>
                <w:szCs w:val="21"/>
              </w:rPr>
            </w:pPr>
            <w:r w:rsidRPr="007C7FDF">
              <w:rPr>
                <w:b/>
                <w:sz w:val="21"/>
                <w:szCs w:val="21"/>
              </w:rPr>
              <w:t>GIRE</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rFonts w:cs="Calibri"/>
                <w:sz w:val="21"/>
                <w:szCs w:val="21"/>
              </w:rPr>
            </w:pPr>
            <w:r w:rsidRPr="007C7FDF">
              <w:rPr>
                <w:rFonts w:cs="Calibri"/>
                <w:sz w:val="21"/>
                <w:szCs w:val="21"/>
              </w:rPr>
              <w:t>Gestion Intégrée des ressources en eau</w:t>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rFonts w:cs="Calibri"/>
                <w:sz w:val="21"/>
                <w:szCs w:val="21"/>
              </w:rPr>
            </w:pPr>
            <w:r w:rsidRPr="007C7FDF">
              <w:rPr>
                <w:b/>
                <w:sz w:val="21"/>
                <w:szCs w:val="21"/>
              </w:rPr>
              <w:t>GIPD</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rFonts w:cs="Calibri"/>
                <w:sz w:val="21"/>
                <w:szCs w:val="21"/>
              </w:rPr>
            </w:pPr>
            <w:r w:rsidRPr="007C7FDF">
              <w:rPr>
                <w:sz w:val="21"/>
                <w:szCs w:val="21"/>
              </w:rPr>
              <w:t>Gestion Intégrée de la Production et des Déprédateurs</w:t>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sz w:val="21"/>
                <w:szCs w:val="21"/>
              </w:rPr>
            </w:pPr>
            <w:r w:rsidRPr="007C7FDF">
              <w:rPr>
                <w:rFonts w:cs="Calibri"/>
                <w:b/>
                <w:sz w:val="21"/>
                <w:szCs w:val="21"/>
              </w:rPr>
              <w:t>GF</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sz w:val="21"/>
                <w:szCs w:val="21"/>
              </w:rPr>
            </w:pPr>
            <w:r w:rsidRPr="007C7FDF">
              <w:rPr>
                <w:sz w:val="21"/>
                <w:szCs w:val="21"/>
              </w:rPr>
              <w:t>Gestion financière</w:t>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i/>
                <w:sz w:val="21"/>
                <w:szCs w:val="21"/>
              </w:rPr>
            </w:pPr>
            <w:r w:rsidRPr="007C7FDF">
              <w:rPr>
                <w:b/>
                <w:sz w:val="21"/>
                <w:szCs w:val="21"/>
              </w:rPr>
              <w:t>GIN</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i/>
                <w:sz w:val="21"/>
                <w:szCs w:val="21"/>
              </w:rPr>
            </w:pPr>
            <w:r w:rsidRPr="007C7FDF">
              <w:rPr>
                <w:sz w:val="21"/>
                <w:szCs w:val="21"/>
              </w:rPr>
              <w:t>Gestion Intégrée des Nuisibles</w:t>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sz w:val="21"/>
                <w:szCs w:val="21"/>
              </w:rPr>
            </w:pPr>
            <w:r w:rsidRPr="007C7FDF">
              <w:rPr>
                <w:b/>
                <w:i/>
                <w:sz w:val="21"/>
                <w:szCs w:val="21"/>
              </w:rPr>
              <w:t>GRNE</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sz w:val="21"/>
                <w:szCs w:val="21"/>
              </w:rPr>
            </w:pPr>
            <w:r w:rsidRPr="007C7FDF">
              <w:rPr>
                <w:sz w:val="21"/>
                <w:szCs w:val="21"/>
              </w:rPr>
              <w:t>Gestion des Ressources Naturelles et de l’Environnement</w:t>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sz w:val="21"/>
                <w:szCs w:val="21"/>
              </w:rPr>
            </w:pPr>
            <w:r w:rsidRPr="007C7FDF">
              <w:rPr>
                <w:rFonts w:eastAsia="Times New Roman"/>
                <w:b/>
                <w:sz w:val="21"/>
                <w:szCs w:val="21"/>
              </w:rPr>
              <w:t>HST</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sz w:val="21"/>
                <w:szCs w:val="21"/>
              </w:rPr>
            </w:pPr>
            <w:r w:rsidRPr="007C7FDF">
              <w:rPr>
                <w:rFonts w:eastAsia="Times New Roman"/>
                <w:sz w:val="21"/>
                <w:szCs w:val="21"/>
              </w:rPr>
              <w:t>Hygiène et de sécurité au travail</w:t>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sz w:val="21"/>
                <w:szCs w:val="21"/>
              </w:rPr>
            </w:pPr>
            <w:r w:rsidRPr="007C7FDF">
              <w:rPr>
                <w:b/>
                <w:sz w:val="21"/>
                <w:szCs w:val="21"/>
              </w:rPr>
              <w:t>IBAP</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sz w:val="21"/>
                <w:szCs w:val="21"/>
              </w:rPr>
            </w:pPr>
            <w:r w:rsidRPr="007C7FDF">
              <w:rPr>
                <w:sz w:val="21"/>
                <w:szCs w:val="21"/>
              </w:rPr>
              <w:t>Institut de la Biodiversité et des Aires Protégés</w:t>
            </w:r>
          </w:p>
        </w:tc>
      </w:tr>
      <w:tr w:rsidR="00140D52" w:rsidRPr="007C7FDF" w:rsidTr="00853784">
        <w:tc>
          <w:tcPr>
            <w:tcW w:w="1550" w:type="dxa"/>
          </w:tcPr>
          <w:p w:rsidR="00140D52" w:rsidRPr="007C7FDF" w:rsidRDefault="00140D52" w:rsidP="008F798F">
            <w:pPr>
              <w:tabs>
                <w:tab w:val="left" w:pos="720"/>
                <w:tab w:val="left" w:pos="1440"/>
                <w:tab w:val="left" w:pos="2160"/>
                <w:tab w:val="left" w:pos="2880"/>
                <w:tab w:val="left" w:pos="3600"/>
                <w:tab w:val="left" w:pos="4320"/>
                <w:tab w:val="left" w:pos="5040"/>
                <w:tab w:val="left" w:pos="5485"/>
              </w:tabs>
              <w:rPr>
                <w:sz w:val="21"/>
                <w:szCs w:val="21"/>
              </w:rPr>
            </w:pPr>
            <w:r w:rsidRPr="007C7FDF">
              <w:rPr>
                <w:b/>
                <w:sz w:val="21"/>
                <w:szCs w:val="21"/>
              </w:rPr>
              <w:t>IDH</w:t>
            </w:r>
          </w:p>
        </w:tc>
        <w:tc>
          <w:tcPr>
            <w:tcW w:w="7555" w:type="dxa"/>
          </w:tcPr>
          <w:p w:rsidR="00140D52" w:rsidRPr="007C7FDF" w:rsidRDefault="00140D52" w:rsidP="008E012E">
            <w:pPr>
              <w:tabs>
                <w:tab w:val="left" w:pos="720"/>
                <w:tab w:val="left" w:pos="1440"/>
                <w:tab w:val="left" w:pos="2160"/>
                <w:tab w:val="left" w:pos="2880"/>
                <w:tab w:val="left" w:pos="3600"/>
                <w:tab w:val="left" w:pos="4320"/>
                <w:tab w:val="left" w:pos="5040"/>
                <w:tab w:val="left" w:pos="5485"/>
              </w:tabs>
              <w:rPr>
                <w:sz w:val="21"/>
                <w:szCs w:val="21"/>
              </w:rPr>
            </w:pPr>
            <w:r w:rsidRPr="007C7FDF">
              <w:rPr>
                <w:sz w:val="21"/>
                <w:szCs w:val="21"/>
              </w:rPr>
              <w:t>Indice de Développement Humain</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IEC</w:t>
            </w:r>
          </w:p>
        </w:tc>
        <w:tc>
          <w:tcPr>
            <w:tcW w:w="7555" w:type="dxa"/>
          </w:tcPr>
          <w:p w:rsidR="00140D52" w:rsidRPr="007C7FDF" w:rsidRDefault="00140D52" w:rsidP="008E012E">
            <w:pPr>
              <w:rPr>
                <w:sz w:val="21"/>
                <w:szCs w:val="21"/>
              </w:rPr>
            </w:pPr>
            <w:r w:rsidRPr="007C7FDF">
              <w:rPr>
                <w:sz w:val="21"/>
                <w:szCs w:val="21"/>
              </w:rPr>
              <w:t>Information Education et Communication</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INEC</w:t>
            </w:r>
          </w:p>
        </w:tc>
        <w:tc>
          <w:tcPr>
            <w:tcW w:w="7555" w:type="dxa"/>
          </w:tcPr>
          <w:p w:rsidR="00140D52" w:rsidRPr="007C7FDF" w:rsidRDefault="00140D52" w:rsidP="008E012E">
            <w:pPr>
              <w:rPr>
                <w:sz w:val="21"/>
                <w:szCs w:val="21"/>
              </w:rPr>
            </w:pPr>
            <w:r w:rsidRPr="007C7FDF">
              <w:rPr>
                <w:sz w:val="21"/>
                <w:szCs w:val="21"/>
              </w:rPr>
              <w:t>Institut National de la Statistique et du Recensement</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IST</w:t>
            </w:r>
          </w:p>
        </w:tc>
        <w:tc>
          <w:tcPr>
            <w:tcW w:w="7555" w:type="dxa"/>
          </w:tcPr>
          <w:p w:rsidR="00140D52" w:rsidRPr="007C7FDF" w:rsidRDefault="00140D52" w:rsidP="008E012E">
            <w:pPr>
              <w:rPr>
                <w:sz w:val="21"/>
                <w:szCs w:val="21"/>
              </w:rPr>
            </w:pPr>
            <w:r w:rsidRPr="007C7FDF">
              <w:rPr>
                <w:sz w:val="21"/>
                <w:szCs w:val="21"/>
              </w:rPr>
              <w:t>Infection sexuellement transmissibles</w:t>
            </w:r>
          </w:p>
        </w:tc>
      </w:tr>
      <w:tr w:rsidR="00140D52" w:rsidRPr="007C7FDF" w:rsidTr="00853784">
        <w:tc>
          <w:tcPr>
            <w:tcW w:w="1550" w:type="dxa"/>
          </w:tcPr>
          <w:p w:rsidR="00140D52" w:rsidRPr="007C7FDF" w:rsidRDefault="00140D52" w:rsidP="008F798F">
            <w:pPr>
              <w:rPr>
                <w:sz w:val="21"/>
                <w:szCs w:val="21"/>
                <w:lang w:eastAsia="en-US"/>
              </w:rPr>
            </w:pPr>
            <w:r w:rsidRPr="007C7FDF">
              <w:rPr>
                <w:b/>
                <w:sz w:val="21"/>
                <w:szCs w:val="21"/>
                <w:lang w:eastAsia="en-US"/>
              </w:rPr>
              <w:t>LPDA</w:t>
            </w:r>
          </w:p>
        </w:tc>
        <w:tc>
          <w:tcPr>
            <w:tcW w:w="7555" w:type="dxa"/>
          </w:tcPr>
          <w:p w:rsidR="00140D52" w:rsidRPr="007C7FDF" w:rsidRDefault="00140D52" w:rsidP="008E012E">
            <w:pPr>
              <w:rPr>
                <w:sz w:val="21"/>
                <w:szCs w:val="21"/>
                <w:lang w:eastAsia="en-US"/>
              </w:rPr>
            </w:pPr>
            <w:r w:rsidRPr="007C7FDF">
              <w:rPr>
                <w:sz w:val="21"/>
                <w:szCs w:val="21"/>
                <w:lang w:eastAsia="en-US"/>
              </w:rPr>
              <w:t>Lettre de Politique de Développement Agricole</w:t>
            </w:r>
          </w:p>
        </w:tc>
      </w:tr>
      <w:tr w:rsidR="00140D52" w:rsidRPr="007C7FDF" w:rsidTr="00853784">
        <w:tc>
          <w:tcPr>
            <w:tcW w:w="1550" w:type="dxa"/>
          </w:tcPr>
          <w:p w:rsidR="00140D52" w:rsidRPr="007C7FDF" w:rsidRDefault="00140D52" w:rsidP="008F798F">
            <w:pPr>
              <w:rPr>
                <w:sz w:val="21"/>
                <w:szCs w:val="21"/>
              </w:rPr>
            </w:pPr>
            <w:r w:rsidRPr="007C7FDF">
              <w:rPr>
                <w:b/>
                <w:spacing w:val="-2"/>
                <w:sz w:val="21"/>
                <w:szCs w:val="21"/>
              </w:rPr>
              <w:t>LMR</w:t>
            </w:r>
          </w:p>
        </w:tc>
        <w:tc>
          <w:tcPr>
            <w:tcW w:w="7555" w:type="dxa"/>
          </w:tcPr>
          <w:p w:rsidR="00140D52" w:rsidRPr="007C7FDF" w:rsidRDefault="00140D52" w:rsidP="008E012E">
            <w:pPr>
              <w:rPr>
                <w:sz w:val="21"/>
                <w:szCs w:val="21"/>
              </w:rPr>
            </w:pPr>
            <w:r w:rsidRPr="007C7FDF">
              <w:rPr>
                <w:spacing w:val="-2"/>
                <w:sz w:val="21"/>
                <w:szCs w:val="21"/>
              </w:rPr>
              <w:t>Limites Maximales de Résidus</w:t>
            </w:r>
          </w:p>
        </w:tc>
      </w:tr>
      <w:tr w:rsidR="00140D52" w:rsidRPr="007C7FDF" w:rsidTr="00853784">
        <w:tc>
          <w:tcPr>
            <w:tcW w:w="1550" w:type="dxa"/>
          </w:tcPr>
          <w:p w:rsidR="00140D52" w:rsidRPr="007C7FDF" w:rsidRDefault="00140D52" w:rsidP="008F798F">
            <w:pPr>
              <w:rPr>
                <w:bCs/>
                <w:iCs/>
                <w:sz w:val="21"/>
                <w:szCs w:val="21"/>
              </w:rPr>
            </w:pPr>
            <w:r w:rsidRPr="007C7FDF">
              <w:rPr>
                <w:b/>
                <w:sz w:val="21"/>
                <w:szCs w:val="21"/>
              </w:rPr>
              <w:t>MARD</w:t>
            </w:r>
          </w:p>
        </w:tc>
        <w:tc>
          <w:tcPr>
            <w:tcW w:w="7555" w:type="dxa"/>
          </w:tcPr>
          <w:p w:rsidR="00140D52" w:rsidRPr="007C7FDF" w:rsidRDefault="00140D52" w:rsidP="008E012E">
            <w:pPr>
              <w:rPr>
                <w:bCs/>
                <w:iCs/>
                <w:sz w:val="21"/>
                <w:szCs w:val="21"/>
              </w:rPr>
            </w:pPr>
            <w:r w:rsidRPr="007C7FDF">
              <w:rPr>
                <w:sz w:val="21"/>
                <w:szCs w:val="21"/>
              </w:rPr>
              <w:t xml:space="preserve">Ministère </w:t>
            </w:r>
            <w:r w:rsidRPr="007C7FDF">
              <w:rPr>
                <w:bCs/>
                <w:iCs/>
                <w:sz w:val="21"/>
                <w:szCs w:val="21"/>
              </w:rPr>
              <w:t>de l'Agriculture et du Développement Rural Développement</w:t>
            </w:r>
          </w:p>
        </w:tc>
      </w:tr>
      <w:tr w:rsidR="00140D52" w:rsidRPr="007C7FDF" w:rsidTr="00853784">
        <w:tc>
          <w:tcPr>
            <w:tcW w:w="1550" w:type="dxa"/>
          </w:tcPr>
          <w:p w:rsidR="00140D52" w:rsidRPr="007C7FDF" w:rsidRDefault="00140D52" w:rsidP="008F798F">
            <w:pPr>
              <w:rPr>
                <w:bCs/>
                <w:iCs/>
                <w:sz w:val="21"/>
                <w:szCs w:val="21"/>
              </w:rPr>
            </w:pPr>
            <w:r w:rsidRPr="007C7FDF">
              <w:rPr>
                <w:b/>
                <w:spacing w:val="-2"/>
                <w:sz w:val="21"/>
                <w:szCs w:val="21"/>
              </w:rPr>
              <w:t>MASPF</w:t>
            </w:r>
            <w:r>
              <w:rPr>
                <w:b/>
                <w:spacing w:val="-2"/>
                <w:sz w:val="21"/>
                <w:szCs w:val="21"/>
              </w:rPr>
              <w:t xml:space="preserve"> </w:t>
            </w:r>
          </w:p>
        </w:tc>
        <w:tc>
          <w:tcPr>
            <w:tcW w:w="7555" w:type="dxa"/>
          </w:tcPr>
          <w:p w:rsidR="00140D52" w:rsidRPr="007C7FDF" w:rsidRDefault="00140D52" w:rsidP="008E012E">
            <w:pPr>
              <w:rPr>
                <w:bCs/>
                <w:iCs/>
                <w:sz w:val="21"/>
                <w:szCs w:val="21"/>
              </w:rPr>
            </w:pPr>
            <w:r w:rsidRPr="007C7FDF">
              <w:rPr>
                <w:spacing w:val="-2"/>
                <w:sz w:val="21"/>
                <w:szCs w:val="21"/>
              </w:rPr>
              <w:t>Ministère de la Promotion Féminine et des Affaires Sociales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MDC</w:t>
            </w:r>
          </w:p>
        </w:tc>
        <w:tc>
          <w:tcPr>
            <w:tcW w:w="7555" w:type="dxa"/>
          </w:tcPr>
          <w:p w:rsidR="00140D52" w:rsidRPr="007C7FDF" w:rsidRDefault="00140D52" w:rsidP="008E012E">
            <w:pPr>
              <w:rPr>
                <w:sz w:val="21"/>
                <w:szCs w:val="21"/>
              </w:rPr>
            </w:pPr>
            <w:r w:rsidRPr="007C7FDF">
              <w:rPr>
                <w:sz w:val="21"/>
                <w:szCs w:val="21"/>
              </w:rPr>
              <w:t>Mission de contrôle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MGP</w:t>
            </w:r>
          </w:p>
        </w:tc>
        <w:tc>
          <w:tcPr>
            <w:tcW w:w="7555" w:type="dxa"/>
          </w:tcPr>
          <w:p w:rsidR="00140D52" w:rsidRPr="007C7FDF" w:rsidRDefault="00140D52" w:rsidP="00C5493A">
            <w:pPr>
              <w:rPr>
                <w:sz w:val="21"/>
                <w:szCs w:val="21"/>
              </w:rPr>
            </w:pPr>
            <w:r w:rsidRPr="007C7FDF">
              <w:rPr>
                <w:sz w:val="21"/>
                <w:szCs w:val="21"/>
              </w:rPr>
              <w:t>Mécanisme de Gestion des Plaintes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lastRenderedPageBreak/>
              <w:t>MP</w:t>
            </w:r>
          </w:p>
        </w:tc>
        <w:tc>
          <w:tcPr>
            <w:tcW w:w="7555" w:type="dxa"/>
          </w:tcPr>
          <w:p w:rsidR="00140D52" w:rsidRPr="007C7FDF" w:rsidRDefault="00140D52" w:rsidP="00C5493A">
            <w:pPr>
              <w:rPr>
                <w:sz w:val="21"/>
                <w:szCs w:val="21"/>
              </w:rPr>
            </w:pPr>
            <w:r w:rsidRPr="007C7FDF">
              <w:rPr>
                <w:sz w:val="21"/>
                <w:szCs w:val="21"/>
              </w:rPr>
              <w:t>Microprojet</w:t>
            </w:r>
          </w:p>
        </w:tc>
      </w:tr>
      <w:tr w:rsidR="00140D52" w:rsidRPr="007C7FDF" w:rsidTr="00853784">
        <w:tc>
          <w:tcPr>
            <w:tcW w:w="1550" w:type="dxa"/>
          </w:tcPr>
          <w:p w:rsidR="00140D52" w:rsidRPr="007C7FDF" w:rsidRDefault="00140D52" w:rsidP="008F798F">
            <w:pPr>
              <w:rPr>
                <w:bCs/>
                <w:sz w:val="21"/>
                <w:szCs w:val="21"/>
              </w:rPr>
            </w:pPr>
            <w:r w:rsidRPr="007C7FDF">
              <w:rPr>
                <w:b/>
                <w:bCs/>
                <w:sz w:val="21"/>
                <w:szCs w:val="21"/>
              </w:rPr>
              <w:t>NAPA</w:t>
            </w:r>
          </w:p>
        </w:tc>
        <w:tc>
          <w:tcPr>
            <w:tcW w:w="7555" w:type="dxa"/>
          </w:tcPr>
          <w:p w:rsidR="00140D52" w:rsidRPr="007C7FDF" w:rsidRDefault="00140D52" w:rsidP="00C5493A">
            <w:pPr>
              <w:rPr>
                <w:bCs/>
                <w:sz w:val="21"/>
                <w:szCs w:val="21"/>
              </w:rPr>
            </w:pPr>
            <w:r w:rsidRPr="007C7FDF">
              <w:rPr>
                <w:bCs/>
                <w:sz w:val="21"/>
                <w:szCs w:val="21"/>
              </w:rPr>
              <w:t>Plan National d’Adaptation aux Changements Climatiques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NES</w:t>
            </w:r>
          </w:p>
        </w:tc>
        <w:tc>
          <w:tcPr>
            <w:tcW w:w="7555" w:type="dxa"/>
          </w:tcPr>
          <w:p w:rsidR="00140D52" w:rsidRPr="007C7FDF" w:rsidRDefault="00140D52" w:rsidP="00C5493A">
            <w:pPr>
              <w:rPr>
                <w:sz w:val="21"/>
                <w:szCs w:val="21"/>
              </w:rPr>
            </w:pPr>
            <w:r w:rsidRPr="007C7FDF">
              <w:rPr>
                <w:sz w:val="21"/>
                <w:szCs w:val="21"/>
              </w:rPr>
              <w:t xml:space="preserve">Norme Environnementale et Sociale </w:t>
            </w:r>
          </w:p>
        </w:tc>
      </w:tr>
      <w:tr w:rsidR="00140D52" w:rsidRPr="007C7FDF" w:rsidTr="00853784">
        <w:trPr>
          <w:trHeight w:val="279"/>
        </w:trPr>
        <w:tc>
          <w:tcPr>
            <w:tcW w:w="1550" w:type="dxa"/>
          </w:tcPr>
          <w:p w:rsidR="00140D52" w:rsidRPr="007C7FDF" w:rsidRDefault="00140D52" w:rsidP="008F798F">
            <w:pPr>
              <w:rPr>
                <w:sz w:val="21"/>
                <w:szCs w:val="21"/>
              </w:rPr>
            </w:pPr>
            <w:r w:rsidRPr="007C7FDF">
              <w:rPr>
                <w:b/>
                <w:color w:val="000000"/>
                <w:sz w:val="21"/>
                <w:szCs w:val="21"/>
                <w:lang w:eastAsia="en-US"/>
              </w:rPr>
              <w:t>NIF</w:t>
            </w:r>
          </w:p>
        </w:tc>
        <w:tc>
          <w:tcPr>
            <w:tcW w:w="7555" w:type="dxa"/>
          </w:tcPr>
          <w:p w:rsidR="00140D52" w:rsidRPr="007C7FDF" w:rsidRDefault="00140D52" w:rsidP="00C5493A">
            <w:pPr>
              <w:rPr>
                <w:sz w:val="21"/>
                <w:szCs w:val="21"/>
              </w:rPr>
            </w:pPr>
            <w:r w:rsidRPr="007C7FDF">
              <w:rPr>
                <w:color w:val="000000"/>
                <w:sz w:val="21"/>
                <w:szCs w:val="21"/>
                <w:lang w:eastAsia="en-US"/>
              </w:rPr>
              <w:t>Numéro d’Immatriculation Fiscale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OCB</w:t>
            </w:r>
          </w:p>
        </w:tc>
        <w:tc>
          <w:tcPr>
            <w:tcW w:w="7555" w:type="dxa"/>
          </w:tcPr>
          <w:p w:rsidR="00140D52" w:rsidRPr="007C7FDF" w:rsidRDefault="00140D52" w:rsidP="00C5493A">
            <w:pPr>
              <w:rPr>
                <w:sz w:val="21"/>
                <w:szCs w:val="21"/>
              </w:rPr>
            </w:pPr>
            <w:r w:rsidRPr="007C7FDF">
              <w:rPr>
                <w:sz w:val="21"/>
                <w:szCs w:val="21"/>
              </w:rPr>
              <w:t>Organisation Communautaire de Base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ODD</w:t>
            </w:r>
          </w:p>
        </w:tc>
        <w:tc>
          <w:tcPr>
            <w:tcW w:w="7555" w:type="dxa"/>
          </w:tcPr>
          <w:p w:rsidR="00140D52" w:rsidRPr="007C7FDF" w:rsidRDefault="00140D52" w:rsidP="00C5493A">
            <w:pPr>
              <w:rPr>
                <w:sz w:val="21"/>
                <w:szCs w:val="21"/>
              </w:rPr>
            </w:pPr>
            <w:r w:rsidRPr="007C7FDF">
              <w:rPr>
                <w:sz w:val="21"/>
                <w:szCs w:val="21"/>
              </w:rPr>
              <w:t xml:space="preserve">Objectifs de Développement Durable </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OIE</w:t>
            </w:r>
          </w:p>
        </w:tc>
        <w:tc>
          <w:tcPr>
            <w:tcW w:w="7555" w:type="dxa"/>
          </w:tcPr>
          <w:p w:rsidR="00140D52" w:rsidRPr="007C7FDF" w:rsidRDefault="00140D52" w:rsidP="00C5493A">
            <w:pPr>
              <w:rPr>
                <w:sz w:val="21"/>
                <w:szCs w:val="21"/>
              </w:rPr>
            </w:pPr>
            <w:r w:rsidRPr="007C7FDF">
              <w:rPr>
                <w:sz w:val="21"/>
                <w:szCs w:val="21"/>
              </w:rPr>
              <w:t>Office international des épizooties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OMD</w:t>
            </w:r>
          </w:p>
        </w:tc>
        <w:tc>
          <w:tcPr>
            <w:tcW w:w="7555" w:type="dxa"/>
          </w:tcPr>
          <w:p w:rsidR="00140D52" w:rsidRPr="007C7FDF" w:rsidRDefault="00140D52" w:rsidP="00C5493A">
            <w:pPr>
              <w:rPr>
                <w:sz w:val="21"/>
                <w:szCs w:val="21"/>
              </w:rPr>
            </w:pPr>
            <w:r w:rsidRPr="007C7FDF">
              <w:rPr>
                <w:sz w:val="21"/>
                <w:szCs w:val="21"/>
              </w:rPr>
              <w:t>Objectifs du Millénaire pour le développement</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ONG</w:t>
            </w:r>
          </w:p>
        </w:tc>
        <w:tc>
          <w:tcPr>
            <w:tcW w:w="7555" w:type="dxa"/>
          </w:tcPr>
          <w:p w:rsidR="00140D52" w:rsidRPr="007C7FDF" w:rsidRDefault="00140D52" w:rsidP="00C5493A">
            <w:pPr>
              <w:rPr>
                <w:sz w:val="21"/>
                <w:szCs w:val="21"/>
              </w:rPr>
            </w:pPr>
            <w:r w:rsidRPr="007C7FDF">
              <w:rPr>
                <w:sz w:val="21"/>
                <w:szCs w:val="21"/>
              </w:rPr>
              <w:t>Organisation non gouvernementale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OP</w:t>
            </w:r>
          </w:p>
        </w:tc>
        <w:tc>
          <w:tcPr>
            <w:tcW w:w="7555" w:type="dxa"/>
          </w:tcPr>
          <w:p w:rsidR="00140D52" w:rsidRPr="007C7FDF" w:rsidRDefault="00140D52" w:rsidP="00C5493A">
            <w:pPr>
              <w:rPr>
                <w:sz w:val="21"/>
                <w:szCs w:val="21"/>
              </w:rPr>
            </w:pPr>
            <w:r w:rsidRPr="007C7FDF">
              <w:rPr>
                <w:sz w:val="21"/>
                <w:szCs w:val="21"/>
              </w:rPr>
              <w:t>Opérationnel Policy</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PANA</w:t>
            </w:r>
          </w:p>
        </w:tc>
        <w:tc>
          <w:tcPr>
            <w:tcW w:w="7555" w:type="dxa"/>
          </w:tcPr>
          <w:p w:rsidR="00140D52" w:rsidRPr="007C7FDF" w:rsidRDefault="00140D52" w:rsidP="00C5493A">
            <w:pPr>
              <w:rPr>
                <w:sz w:val="21"/>
                <w:szCs w:val="21"/>
              </w:rPr>
            </w:pPr>
            <w:r w:rsidRPr="007C7FDF">
              <w:rPr>
                <w:sz w:val="21"/>
                <w:szCs w:val="21"/>
              </w:rPr>
              <w:t>Plan d’Action National d'Adaptation aux Changements Climatiques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PAR</w:t>
            </w:r>
          </w:p>
        </w:tc>
        <w:tc>
          <w:tcPr>
            <w:tcW w:w="7555" w:type="dxa"/>
          </w:tcPr>
          <w:p w:rsidR="00140D52" w:rsidRPr="007C7FDF" w:rsidRDefault="00140D52" w:rsidP="00C5493A">
            <w:pPr>
              <w:rPr>
                <w:sz w:val="21"/>
                <w:szCs w:val="21"/>
              </w:rPr>
            </w:pPr>
            <w:r w:rsidRPr="007C7FDF">
              <w:rPr>
                <w:sz w:val="21"/>
                <w:szCs w:val="21"/>
              </w:rPr>
              <w:t>Plan d’Action de Réinstallation</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PAM</w:t>
            </w:r>
          </w:p>
        </w:tc>
        <w:tc>
          <w:tcPr>
            <w:tcW w:w="7555" w:type="dxa"/>
          </w:tcPr>
          <w:p w:rsidR="00140D52" w:rsidRPr="007C7FDF" w:rsidRDefault="00140D52" w:rsidP="00C5493A">
            <w:pPr>
              <w:rPr>
                <w:sz w:val="21"/>
                <w:szCs w:val="21"/>
              </w:rPr>
            </w:pPr>
            <w:r w:rsidRPr="007C7FDF">
              <w:rPr>
                <w:sz w:val="21"/>
                <w:szCs w:val="21"/>
              </w:rPr>
              <w:t>Programme Alimentaire Mondial</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PAP</w:t>
            </w:r>
          </w:p>
        </w:tc>
        <w:tc>
          <w:tcPr>
            <w:tcW w:w="7555" w:type="dxa"/>
          </w:tcPr>
          <w:p w:rsidR="00140D52" w:rsidRPr="007C7FDF" w:rsidRDefault="00140D52" w:rsidP="00C5493A">
            <w:pPr>
              <w:rPr>
                <w:sz w:val="21"/>
                <w:szCs w:val="21"/>
              </w:rPr>
            </w:pPr>
            <w:r w:rsidRPr="007C7FDF">
              <w:rPr>
                <w:sz w:val="21"/>
                <w:szCs w:val="21"/>
              </w:rPr>
              <w:t>Personnes Affectées par Projet</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PDDC</w:t>
            </w:r>
          </w:p>
        </w:tc>
        <w:tc>
          <w:tcPr>
            <w:tcW w:w="7555" w:type="dxa"/>
          </w:tcPr>
          <w:p w:rsidR="00140D52" w:rsidRPr="007C7FDF" w:rsidRDefault="00140D52" w:rsidP="00C5493A">
            <w:pPr>
              <w:rPr>
                <w:sz w:val="21"/>
                <w:szCs w:val="21"/>
              </w:rPr>
            </w:pPr>
            <w:r w:rsidRPr="007C7FDF">
              <w:rPr>
                <w:sz w:val="21"/>
                <w:szCs w:val="21"/>
              </w:rPr>
              <w:t>Projet de Développement Dirigé par les Communautés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PGES</w:t>
            </w:r>
          </w:p>
        </w:tc>
        <w:tc>
          <w:tcPr>
            <w:tcW w:w="7555" w:type="dxa"/>
          </w:tcPr>
          <w:p w:rsidR="00140D52" w:rsidRPr="007C7FDF" w:rsidRDefault="00140D52" w:rsidP="00C5493A">
            <w:pPr>
              <w:rPr>
                <w:sz w:val="21"/>
                <w:szCs w:val="21"/>
              </w:rPr>
            </w:pPr>
            <w:r w:rsidRPr="007C7FDF">
              <w:rPr>
                <w:sz w:val="21"/>
                <w:szCs w:val="21"/>
              </w:rPr>
              <w:t>Plan de Gestion Environnementale et Social</w:t>
            </w:r>
          </w:p>
        </w:tc>
      </w:tr>
      <w:tr w:rsidR="00140D52" w:rsidRPr="007C7FDF" w:rsidTr="00853784">
        <w:tc>
          <w:tcPr>
            <w:tcW w:w="1550" w:type="dxa"/>
          </w:tcPr>
          <w:p w:rsidR="00140D52" w:rsidRPr="007C7FDF" w:rsidRDefault="00140D52" w:rsidP="008F798F">
            <w:pPr>
              <w:rPr>
                <w:sz w:val="21"/>
                <w:szCs w:val="21"/>
              </w:rPr>
            </w:pPr>
            <w:r w:rsidRPr="007C7FDF">
              <w:rPr>
                <w:rFonts w:eastAsia="Times New Roman"/>
                <w:b/>
                <w:bCs/>
                <w:sz w:val="21"/>
                <w:szCs w:val="21"/>
                <w:lang w:eastAsia="es-ES"/>
              </w:rPr>
              <w:t>PGMO</w:t>
            </w:r>
          </w:p>
        </w:tc>
        <w:tc>
          <w:tcPr>
            <w:tcW w:w="7555" w:type="dxa"/>
          </w:tcPr>
          <w:p w:rsidR="00140D52" w:rsidRPr="007C7FDF" w:rsidRDefault="00140D52" w:rsidP="00C5493A">
            <w:pPr>
              <w:rPr>
                <w:sz w:val="21"/>
                <w:szCs w:val="21"/>
              </w:rPr>
            </w:pPr>
            <w:r w:rsidRPr="007C7FDF">
              <w:rPr>
                <w:rFonts w:eastAsia="Times New Roman"/>
                <w:bCs/>
                <w:sz w:val="21"/>
                <w:szCs w:val="21"/>
                <w:lang w:eastAsia="es-ES"/>
              </w:rPr>
              <w:t>Procédures de Gestion de la Main-d’œuvre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PFES</w:t>
            </w:r>
          </w:p>
        </w:tc>
        <w:tc>
          <w:tcPr>
            <w:tcW w:w="7555" w:type="dxa"/>
          </w:tcPr>
          <w:p w:rsidR="00140D52" w:rsidRPr="007C7FDF" w:rsidRDefault="00140D52" w:rsidP="00C5493A">
            <w:pPr>
              <w:rPr>
                <w:sz w:val="21"/>
                <w:szCs w:val="21"/>
              </w:rPr>
            </w:pPr>
            <w:r w:rsidRPr="007C7FDF">
              <w:rPr>
                <w:sz w:val="21"/>
                <w:szCs w:val="21"/>
              </w:rPr>
              <w:t xml:space="preserve">Points Focaux Environnementales et Sociales </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PGPP</w:t>
            </w:r>
          </w:p>
        </w:tc>
        <w:tc>
          <w:tcPr>
            <w:tcW w:w="7555" w:type="dxa"/>
          </w:tcPr>
          <w:p w:rsidR="00140D52" w:rsidRPr="007C7FDF" w:rsidRDefault="00140D52" w:rsidP="00C5493A">
            <w:pPr>
              <w:rPr>
                <w:sz w:val="21"/>
                <w:szCs w:val="21"/>
              </w:rPr>
            </w:pPr>
            <w:r w:rsidRPr="007C7FDF">
              <w:rPr>
                <w:sz w:val="21"/>
                <w:szCs w:val="21"/>
              </w:rPr>
              <w:t>Plan de Gestion des Pestes et Pesticides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PLD</w:t>
            </w:r>
          </w:p>
        </w:tc>
        <w:tc>
          <w:tcPr>
            <w:tcW w:w="7555" w:type="dxa"/>
          </w:tcPr>
          <w:p w:rsidR="00140D52" w:rsidRPr="007C7FDF" w:rsidRDefault="00140D52" w:rsidP="00C5493A">
            <w:pPr>
              <w:rPr>
                <w:sz w:val="21"/>
                <w:szCs w:val="21"/>
              </w:rPr>
            </w:pPr>
            <w:r w:rsidRPr="007C7FDF">
              <w:rPr>
                <w:sz w:val="21"/>
                <w:szCs w:val="21"/>
              </w:rPr>
              <w:t>Plan Local de Développement</w:t>
            </w:r>
          </w:p>
        </w:tc>
      </w:tr>
      <w:tr w:rsidR="00140D52" w:rsidRPr="007C7FDF" w:rsidTr="00853784">
        <w:tc>
          <w:tcPr>
            <w:tcW w:w="1550" w:type="dxa"/>
          </w:tcPr>
          <w:p w:rsidR="00140D52" w:rsidRPr="007C7FDF" w:rsidRDefault="00140D52" w:rsidP="008F798F">
            <w:pPr>
              <w:rPr>
                <w:bCs/>
                <w:sz w:val="21"/>
                <w:szCs w:val="21"/>
              </w:rPr>
            </w:pPr>
            <w:r w:rsidRPr="007C7FDF">
              <w:rPr>
                <w:b/>
                <w:bCs/>
                <w:sz w:val="21"/>
                <w:szCs w:val="21"/>
              </w:rPr>
              <w:t>PNGE</w:t>
            </w:r>
          </w:p>
        </w:tc>
        <w:tc>
          <w:tcPr>
            <w:tcW w:w="7555" w:type="dxa"/>
          </w:tcPr>
          <w:p w:rsidR="00140D52" w:rsidRPr="007C7FDF" w:rsidRDefault="00140D52" w:rsidP="00C5493A">
            <w:pPr>
              <w:rPr>
                <w:bCs/>
                <w:sz w:val="21"/>
                <w:szCs w:val="21"/>
              </w:rPr>
            </w:pPr>
            <w:r w:rsidRPr="007C7FDF">
              <w:rPr>
                <w:bCs/>
                <w:sz w:val="21"/>
                <w:szCs w:val="21"/>
              </w:rPr>
              <w:t>Plan National de Gestion Environnementale</w:t>
            </w:r>
          </w:p>
        </w:tc>
      </w:tr>
      <w:tr w:rsidR="00140D52" w:rsidRPr="007C7FDF" w:rsidTr="00853784">
        <w:tc>
          <w:tcPr>
            <w:tcW w:w="1550" w:type="dxa"/>
          </w:tcPr>
          <w:p w:rsidR="00140D52" w:rsidRPr="007C7FDF" w:rsidRDefault="00140D52" w:rsidP="008F798F">
            <w:pPr>
              <w:rPr>
                <w:bCs/>
                <w:sz w:val="21"/>
                <w:szCs w:val="21"/>
              </w:rPr>
            </w:pPr>
            <w:r w:rsidRPr="007C7FDF">
              <w:rPr>
                <w:b/>
                <w:bCs/>
                <w:sz w:val="21"/>
                <w:szCs w:val="21"/>
              </w:rPr>
              <w:t>PNDS II</w:t>
            </w:r>
          </w:p>
        </w:tc>
        <w:tc>
          <w:tcPr>
            <w:tcW w:w="7555" w:type="dxa"/>
          </w:tcPr>
          <w:p w:rsidR="00140D52" w:rsidRPr="007C7FDF" w:rsidRDefault="00140D52" w:rsidP="00C5493A">
            <w:pPr>
              <w:rPr>
                <w:bCs/>
                <w:sz w:val="21"/>
                <w:szCs w:val="21"/>
              </w:rPr>
            </w:pPr>
            <w:r w:rsidRPr="007C7FDF">
              <w:rPr>
                <w:bCs/>
                <w:sz w:val="21"/>
                <w:szCs w:val="21"/>
              </w:rPr>
              <w:t>Plan National de Développement Sanitaire</w:t>
            </w:r>
          </w:p>
        </w:tc>
      </w:tr>
      <w:tr w:rsidR="00140D52" w:rsidRPr="007C7FDF" w:rsidTr="00853784">
        <w:tc>
          <w:tcPr>
            <w:tcW w:w="1550" w:type="dxa"/>
          </w:tcPr>
          <w:p w:rsidR="00140D52" w:rsidRPr="007C7FDF" w:rsidRDefault="00140D52" w:rsidP="008F798F">
            <w:pPr>
              <w:rPr>
                <w:sz w:val="21"/>
                <w:szCs w:val="21"/>
              </w:rPr>
            </w:pPr>
            <w:r w:rsidRPr="007C7FDF">
              <w:rPr>
                <w:b/>
                <w:spacing w:val="-2"/>
                <w:sz w:val="21"/>
                <w:szCs w:val="21"/>
              </w:rPr>
              <w:t>PMA</w:t>
            </w:r>
          </w:p>
        </w:tc>
        <w:tc>
          <w:tcPr>
            <w:tcW w:w="7555" w:type="dxa"/>
          </w:tcPr>
          <w:p w:rsidR="00140D52" w:rsidRPr="007C7FDF" w:rsidRDefault="00140D52" w:rsidP="00C5493A">
            <w:pPr>
              <w:rPr>
                <w:sz w:val="21"/>
                <w:szCs w:val="21"/>
              </w:rPr>
            </w:pPr>
            <w:r w:rsidRPr="007C7FDF">
              <w:rPr>
                <w:spacing w:val="-2"/>
                <w:sz w:val="21"/>
                <w:szCs w:val="21"/>
              </w:rPr>
              <w:t>Pays Moins Avancés</w:t>
            </w:r>
          </w:p>
        </w:tc>
      </w:tr>
      <w:tr w:rsidR="00140D52" w:rsidRPr="007C7FDF" w:rsidTr="00853784">
        <w:tc>
          <w:tcPr>
            <w:tcW w:w="1550" w:type="dxa"/>
          </w:tcPr>
          <w:p w:rsidR="00140D52" w:rsidRPr="007C7FDF" w:rsidRDefault="00140D52" w:rsidP="008F798F">
            <w:pPr>
              <w:rPr>
                <w:bCs/>
                <w:sz w:val="21"/>
                <w:szCs w:val="21"/>
              </w:rPr>
            </w:pPr>
            <w:r w:rsidRPr="007C7FDF">
              <w:rPr>
                <w:b/>
                <w:sz w:val="21"/>
                <w:szCs w:val="21"/>
              </w:rPr>
              <w:t>PMPP</w:t>
            </w:r>
          </w:p>
        </w:tc>
        <w:tc>
          <w:tcPr>
            <w:tcW w:w="7555" w:type="dxa"/>
          </w:tcPr>
          <w:p w:rsidR="00140D52" w:rsidRPr="007C7FDF" w:rsidRDefault="00140D52" w:rsidP="00C5493A">
            <w:pPr>
              <w:rPr>
                <w:bCs/>
                <w:sz w:val="21"/>
                <w:szCs w:val="21"/>
              </w:rPr>
            </w:pPr>
            <w:r w:rsidRPr="007C7FDF">
              <w:rPr>
                <w:sz w:val="21"/>
                <w:szCs w:val="21"/>
              </w:rPr>
              <w:t>P</w:t>
            </w:r>
            <w:r w:rsidRPr="007C7FDF">
              <w:rPr>
                <w:bCs/>
                <w:sz w:val="21"/>
                <w:szCs w:val="21"/>
              </w:rPr>
              <w:t>lan de Mobilisation des Parties Prenantes</w:t>
            </w:r>
          </w:p>
        </w:tc>
      </w:tr>
      <w:tr w:rsidR="00140D52" w:rsidRPr="007C7FDF" w:rsidTr="00853784">
        <w:tc>
          <w:tcPr>
            <w:tcW w:w="1550" w:type="dxa"/>
          </w:tcPr>
          <w:p w:rsidR="00140D52" w:rsidRPr="007C7FDF" w:rsidRDefault="00140D52" w:rsidP="008F798F">
            <w:pPr>
              <w:rPr>
                <w:sz w:val="21"/>
                <w:szCs w:val="21"/>
              </w:rPr>
            </w:pPr>
            <w:r w:rsidRPr="007C7FDF">
              <w:rPr>
                <w:b/>
                <w:bCs/>
                <w:sz w:val="21"/>
                <w:szCs w:val="21"/>
              </w:rPr>
              <w:t>PM</w:t>
            </w:r>
          </w:p>
        </w:tc>
        <w:tc>
          <w:tcPr>
            <w:tcW w:w="7555" w:type="dxa"/>
          </w:tcPr>
          <w:p w:rsidR="00140D52" w:rsidRPr="007C7FDF" w:rsidRDefault="00140D52" w:rsidP="00C5493A">
            <w:pPr>
              <w:rPr>
                <w:sz w:val="21"/>
                <w:szCs w:val="21"/>
              </w:rPr>
            </w:pPr>
            <w:r w:rsidRPr="007C7FDF">
              <w:rPr>
                <w:bCs/>
                <w:sz w:val="21"/>
                <w:szCs w:val="21"/>
              </w:rPr>
              <w:t>Pour Mémoire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PO</w:t>
            </w:r>
          </w:p>
        </w:tc>
        <w:tc>
          <w:tcPr>
            <w:tcW w:w="7555" w:type="dxa"/>
          </w:tcPr>
          <w:p w:rsidR="00140D52" w:rsidRPr="007C7FDF" w:rsidRDefault="00140D52" w:rsidP="00C5493A">
            <w:pPr>
              <w:rPr>
                <w:sz w:val="21"/>
                <w:szCs w:val="21"/>
              </w:rPr>
            </w:pPr>
            <w:r w:rsidRPr="007C7FDF">
              <w:rPr>
                <w:sz w:val="21"/>
                <w:szCs w:val="21"/>
              </w:rPr>
              <w:t>Politique Opérationnelle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PNAE</w:t>
            </w:r>
          </w:p>
        </w:tc>
        <w:tc>
          <w:tcPr>
            <w:tcW w:w="7555" w:type="dxa"/>
          </w:tcPr>
          <w:p w:rsidR="00140D52" w:rsidRPr="007C7FDF" w:rsidRDefault="00140D52" w:rsidP="00C5493A">
            <w:pPr>
              <w:rPr>
                <w:sz w:val="21"/>
                <w:szCs w:val="21"/>
              </w:rPr>
            </w:pPr>
            <w:r w:rsidRPr="007C7FDF">
              <w:rPr>
                <w:sz w:val="21"/>
                <w:szCs w:val="21"/>
              </w:rPr>
              <w:t>Plan National d’Action Environnemental</w:t>
            </w:r>
          </w:p>
        </w:tc>
      </w:tr>
      <w:tr w:rsidR="00140D52" w:rsidRPr="007C7FDF" w:rsidTr="00853784">
        <w:tc>
          <w:tcPr>
            <w:tcW w:w="1550" w:type="dxa"/>
          </w:tcPr>
          <w:p w:rsidR="00140D52" w:rsidRPr="007C7FDF" w:rsidRDefault="00140D52" w:rsidP="008F798F">
            <w:pPr>
              <w:rPr>
                <w:bCs/>
                <w:sz w:val="21"/>
                <w:szCs w:val="21"/>
              </w:rPr>
            </w:pPr>
            <w:r w:rsidRPr="007C7FDF">
              <w:rPr>
                <w:b/>
                <w:bCs/>
                <w:sz w:val="21"/>
                <w:szCs w:val="21"/>
              </w:rPr>
              <w:t>PNSA</w:t>
            </w:r>
          </w:p>
        </w:tc>
        <w:tc>
          <w:tcPr>
            <w:tcW w:w="7555" w:type="dxa"/>
          </w:tcPr>
          <w:p w:rsidR="00140D52" w:rsidRPr="007C7FDF" w:rsidRDefault="00140D52" w:rsidP="00C5493A">
            <w:pPr>
              <w:rPr>
                <w:bCs/>
                <w:sz w:val="21"/>
                <w:szCs w:val="21"/>
              </w:rPr>
            </w:pPr>
            <w:r w:rsidRPr="007C7FDF">
              <w:rPr>
                <w:bCs/>
                <w:sz w:val="21"/>
                <w:szCs w:val="21"/>
              </w:rPr>
              <w:t>Programme National pour la Sécurité Alimentaire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PPR</w:t>
            </w:r>
          </w:p>
        </w:tc>
        <w:tc>
          <w:tcPr>
            <w:tcW w:w="7555" w:type="dxa"/>
          </w:tcPr>
          <w:p w:rsidR="00140D52" w:rsidRPr="007C7FDF" w:rsidRDefault="00140D52" w:rsidP="00C5493A">
            <w:pPr>
              <w:rPr>
                <w:sz w:val="21"/>
                <w:szCs w:val="21"/>
              </w:rPr>
            </w:pPr>
            <w:r w:rsidRPr="007C7FDF">
              <w:rPr>
                <w:sz w:val="21"/>
                <w:szCs w:val="21"/>
              </w:rPr>
              <w:t>Peste des Petits Ruminants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PPA</w:t>
            </w:r>
          </w:p>
        </w:tc>
        <w:tc>
          <w:tcPr>
            <w:tcW w:w="7555" w:type="dxa"/>
          </w:tcPr>
          <w:p w:rsidR="00140D52" w:rsidRPr="007C7FDF" w:rsidRDefault="00140D52" w:rsidP="00C5493A">
            <w:pPr>
              <w:rPr>
                <w:sz w:val="21"/>
                <w:szCs w:val="21"/>
              </w:rPr>
            </w:pPr>
            <w:r w:rsidRPr="007C7FDF">
              <w:rPr>
                <w:sz w:val="21"/>
                <w:szCs w:val="21"/>
              </w:rPr>
              <w:t>Peste Porcine Africaine</w:t>
            </w:r>
          </w:p>
        </w:tc>
      </w:tr>
      <w:tr w:rsidR="00140D52" w:rsidRPr="007C7FDF" w:rsidTr="00853784">
        <w:tc>
          <w:tcPr>
            <w:tcW w:w="1550" w:type="dxa"/>
          </w:tcPr>
          <w:p w:rsidR="00140D52" w:rsidRPr="007C7FDF" w:rsidRDefault="00140D52" w:rsidP="008F798F">
            <w:pPr>
              <w:rPr>
                <w:spacing w:val="-2"/>
                <w:sz w:val="21"/>
                <w:szCs w:val="21"/>
              </w:rPr>
            </w:pPr>
            <w:r w:rsidRPr="007C7FDF">
              <w:rPr>
                <w:b/>
                <w:spacing w:val="-2"/>
                <w:sz w:val="21"/>
                <w:szCs w:val="21"/>
              </w:rPr>
              <w:t>PSSA</w:t>
            </w:r>
          </w:p>
        </w:tc>
        <w:tc>
          <w:tcPr>
            <w:tcW w:w="7555" w:type="dxa"/>
          </w:tcPr>
          <w:p w:rsidR="00140D52" w:rsidRPr="007C7FDF" w:rsidRDefault="00140D52" w:rsidP="00C5493A">
            <w:pPr>
              <w:rPr>
                <w:spacing w:val="-2"/>
                <w:sz w:val="21"/>
                <w:szCs w:val="21"/>
              </w:rPr>
            </w:pPr>
            <w:r w:rsidRPr="007C7FDF">
              <w:rPr>
                <w:spacing w:val="-2"/>
                <w:sz w:val="21"/>
                <w:szCs w:val="21"/>
              </w:rPr>
              <w:t>Programme Spécial pour la Sécurité Alimentaire</w:t>
            </w:r>
          </w:p>
        </w:tc>
      </w:tr>
      <w:tr w:rsidR="00140D52" w:rsidRPr="007C7FDF" w:rsidTr="00853784">
        <w:tc>
          <w:tcPr>
            <w:tcW w:w="1550" w:type="dxa"/>
          </w:tcPr>
          <w:p w:rsidR="00140D52" w:rsidRPr="007C7FDF" w:rsidRDefault="00140D52" w:rsidP="008F798F">
            <w:pPr>
              <w:rPr>
                <w:sz w:val="21"/>
                <w:szCs w:val="21"/>
              </w:rPr>
            </w:pPr>
            <w:r w:rsidRPr="007C7FDF">
              <w:rPr>
                <w:b/>
                <w:spacing w:val="-2"/>
                <w:sz w:val="21"/>
                <w:szCs w:val="21"/>
              </w:rPr>
              <w:t>PRSA</w:t>
            </w:r>
          </w:p>
        </w:tc>
        <w:tc>
          <w:tcPr>
            <w:tcW w:w="7555" w:type="dxa"/>
          </w:tcPr>
          <w:p w:rsidR="00140D52" w:rsidRPr="007C7FDF" w:rsidRDefault="00140D52" w:rsidP="00C5493A">
            <w:pPr>
              <w:rPr>
                <w:sz w:val="21"/>
                <w:szCs w:val="21"/>
              </w:rPr>
            </w:pPr>
            <w:r w:rsidRPr="007C7FDF">
              <w:rPr>
                <w:spacing w:val="-2"/>
                <w:sz w:val="21"/>
                <w:szCs w:val="21"/>
              </w:rPr>
              <w:t>Programme Régional pour la Sécurité Alimentaire</w:t>
            </w:r>
          </w:p>
        </w:tc>
      </w:tr>
      <w:tr w:rsidR="00140D52" w:rsidRPr="007C7FDF" w:rsidTr="00853784">
        <w:tc>
          <w:tcPr>
            <w:tcW w:w="1550" w:type="dxa"/>
          </w:tcPr>
          <w:p w:rsidR="00140D52" w:rsidRPr="007C7FDF" w:rsidRDefault="00140D52" w:rsidP="008F798F">
            <w:pPr>
              <w:rPr>
                <w:b/>
                <w:sz w:val="21"/>
                <w:szCs w:val="21"/>
              </w:rPr>
            </w:pPr>
            <w:r w:rsidRPr="007C7FDF">
              <w:rPr>
                <w:b/>
                <w:spacing w:val="-2"/>
                <w:sz w:val="21"/>
                <w:szCs w:val="21"/>
              </w:rPr>
              <w:t>PUSA</w:t>
            </w:r>
          </w:p>
        </w:tc>
        <w:tc>
          <w:tcPr>
            <w:tcW w:w="7555" w:type="dxa"/>
          </w:tcPr>
          <w:p w:rsidR="00140D52" w:rsidRPr="007C7FDF" w:rsidRDefault="00140D52" w:rsidP="00C5493A">
            <w:pPr>
              <w:rPr>
                <w:b/>
                <w:sz w:val="21"/>
                <w:szCs w:val="21"/>
              </w:rPr>
            </w:pPr>
            <w:r w:rsidRPr="007C7FDF">
              <w:rPr>
                <w:rFonts w:eastAsia="Times New Roman"/>
                <w:color w:val="040404"/>
                <w:sz w:val="21"/>
                <w:szCs w:val="21"/>
                <w:shd w:val="clear" w:color="auto" w:fill="FFFFFF"/>
              </w:rPr>
              <w:t>Projet</w:t>
            </w:r>
            <w:r w:rsidRPr="007C7FDF">
              <w:rPr>
                <w:bCs/>
                <w:iCs/>
                <w:sz w:val="21"/>
                <w:szCs w:val="21"/>
              </w:rPr>
              <w:t xml:space="preserve"> d'Urgence de Sécurité Alimentaire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REIES</w:t>
            </w:r>
          </w:p>
        </w:tc>
        <w:tc>
          <w:tcPr>
            <w:tcW w:w="7555" w:type="dxa"/>
          </w:tcPr>
          <w:p w:rsidR="00140D52" w:rsidRPr="007C7FDF" w:rsidRDefault="00140D52" w:rsidP="00C5493A">
            <w:pPr>
              <w:rPr>
                <w:sz w:val="21"/>
                <w:szCs w:val="21"/>
              </w:rPr>
            </w:pPr>
            <w:r w:rsidRPr="007C7FDF">
              <w:rPr>
                <w:sz w:val="21"/>
                <w:szCs w:val="21"/>
              </w:rPr>
              <w:t>Rapport d'Études Impact Environnemental et Social</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RN</w:t>
            </w:r>
          </w:p>
        </w:tc>
        <w:tc>
          <w:tcPr>
            <w:tcW w:w="7555" w:type="dxa"/>
          </w:tcPr>
          <w:p w:rsidR="00140D52" w:rsidRPr="007C7FDF" w:rsidRDefault="00140D52" w:rsidP="00C5493A">
            <w:pPr>
              <w:rPr>
                <w:sz w:val="21"/>
                <w:szCs w:val="21"/>
              </w:rPr>
            </w:pPr>
            <w:r w:rsidRPr="007C7FDF">
              <w:rPr>
                <w:sz w:val="21"/>
                <w:szCs w:val="21"/>
              </w:rPr>
              <w:t>Ressources Naturelles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RPM</w:t>
            </w:r>
          </w:p>
        </w:tc>
        <w:tc>
          <w:tcPr>
            <w:tcW w:w="7555" w:type="dxa"/>
          </w:tcPr>
          <w:p w:rsidR="00140D52" w:rsidRPr="007C7FDF" w:rsidRDefault="00140D52" w:rsidP="00C5493A">
            <w:pPr>
              <w:rPr>
                <w:sz w:val="21"/>
                <w:szCs w:val="21"/>
              </w:rPr>
            </w:pPr>
            <w:r w:rsidRPr="007C7FDF">
              <w:rPr>
                <w:sz w:val="21"/>
                <w:szCs w:val="21"/>
              </w:rPr>
              <w:t>Responsable en Passation de Marchés </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SIDA</w:t>
            </w:r>
          </w:p>
        </w:tc>
        <w:tc>
          <w:tcPr>
            <w:tcW w:w="7555" w:type="dxa"/>
          </w:tcPr>
          <w:p w:rsidR="00140D52" w:rsidRPr="007C7FDF" w:rsidRDefault="00140D52" w:rsidP="00C5493A">
            <w:pPr>
              <w:rPr>
                <w:sz w:val="21"/>
                <w:szCs w:val="21"/>
              </w:rPr>
            </w:pPr>
            <w:r w:rsidRPr="007C7FDF">
              <w:rPr>
                <w:sz w:val="21"/>
                <w:szCs w:val="21"/>
              </w:rPr>
              <w:t>Syndrome d’Immuno Déficience Acquise</w:t>
            </w:r>
          </w:p>
        </w:tc>
      </w:tr>
      <w:tr w:rsidR="00140D52" w:rsidRPr="007C7FDF" w:rsidTr="00853784">
        <w:tc>
          <w:tcPr>
            <w:tcW w:w="1550" w:type="dxa"/>
          </w:tcPr>
          <w:p w:rsidR="00140D52" w:rsidRPr="007C7FDF" w:rsidRDefault="00140D52" w:rsidP="008F798F">
            <w:pPr>
              <w:rPr>
                <w:bCs/>
                <w:sz w:val="21"/>
                <w:szCs w:val="21"/>
              </w:rPr>
            </w:pPr>
            <w:r w:rsidRPr="007C7FDF">
              <w:rPr>
                <w:b/>
                <w:bCs/>
                <w:sz w:val="21"/>
                <w:szCs w:val="21"/>
              </w:rPr>
              <w:t>SNSA</w:t>
            </w:r>
          </w:p>
        </w:tc>
        <w:tc>
          <w:tcPr>
            <w:tcW w:w="7555" w:type="dxa"/>
          </w:tcPr>
          <w:p w:rsidR="00140D52" w:rsidRPr="007C7FDF" w:rsidRDefault="00140D52" w:rsidP="00C5493A">
            <w:pPr>
              <w:rPr>
                <w:bCs/>
                <w:sz w:val="21"/>
                <w:szCs w:val="21"/>
              </w:rPr>
            </w:pPr>
            <w:r w:rsidRPr="007C7FDF">
              <w:rPr>
                <w:bCs/>
                <w:sz w:val="21"/>
                <w:szCs w:val="21"/>
              </w:rPr>
              <w:t>Stratégie Nationale de Sécurité Alimentaire</w:t>
            </w:r>
          </w:p>
        </w:tc>
      </w:tr>
      <w:tr w:rsidR="00140D52" w:rsidRPr="007C7FDF" w:rsidTr="00853784">
        <w:tc>
          <w:tcPr>
            <w:tcW w:w="1550" w:type="dxa"/>
          </w:tcPr>
          <w:p w:rsidR="00140D52" w:rsidRPr="007C7FDF" w:rsidRDefault="00140D52" w:rsidP="008F798F">
            <w:pPr>
              <w:rPr>
                <w:bCs/>
                <w:sz w:val="21"/>
                <w:szCs w:val="21"/>
              </w:rPr>
            </w:pPr>
            <w:r w:rsidRPr="007C7FDF">
              <w:rPr>
                <w:b/>
                <w:spacing w:val="-2"/>
                <w:sz w:val="21"/>
                <w:szCs w:val="21"/>
              </w:rPr>
              <w:t>SNAP</w:t>
            </w:r>
          </w:p>
        </w:tc>
        <w:tc>
          <w:tcPr>
            <w:tcW w:w="7555" w:type="dxa"/>
          </w:tcPr>
          <w:p w:rsidR="00140D52" w:rsidRPr="007C7FDF" w:rsidRDefault="00140D52" w:rsidP="00C5493A">
            <w:pPr>
              <w:rPr>
                <w:bCs/>
                <w:sz w:val="21"/>
                <w:szCs w:val="21"/>
              </w:rPr>
            </w:pPr>
            <w:r w:rsidRPr="007C7FDF">
              <w:rPr>
                <w:spacing w:val="-2"/>
                <w:sz w:val="21"/>
                <w:szCs w:val="21"/>
              </w:rPr>
              <w:t>Système National d'Aires Protégées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SSA</w:t>
            </w:r>
          </w:p>
        </w:tc>
        <w:tc>
          <w:tcPr>
            <w:tcW w:w="7555" w:type="dxa"/>
          </w:tcPr>
          <w:p w:rsidR="00140D52" w:rsidRPr="007C7FDF" w:rsidRDefault="00140D52" w:rsidP="00C5493A">
            <w:pPr>
              <w:rPr>
                <w:sz w:val="21"/>
                <w:szCs w:val="21"/>
              </w:rPr>
            </w:pPr>
            <w:r w:rsidRPr="007C7FDF">
              <w:rPr>
                <w:sz w:val="21"/>
                <w:szCs w:val="21"/>
              </w:rPr>
              <w:t>Service Statistique Agricole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SSES</w:t>
            </w:r>
          </w:p>
        </w:tc>
        <w:tc>
          <w:tcPr>
            <w:tcW w:w="7555" w:type="dxa"/>
          </w:tcPr>
          <w:p w:rsidR="00140D52" w:rsidRPr="007C7FDF" w:rsidRDefault="00140D52" w:rsidP="00C5493A">
            <w:pPr>
              <w:rPr>
                <w:sz w:val="21"/>
                <w:szCs w:val="21"/>
              </w:rPr>
            </w:pPr>
            <w:r w:rsidRPr="007C7FDF">
              <w:rPr>
                <w:sz w:val="21"/>
                <w:szCs w:val="21"/>
              </w:rPr>
              <w:t>Spécialiste en Sauvegardes Environnementales et Sociales</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S&amp;E</w:t>
            </w:r>
          </w:p>
        </w:tc>
        <w:tc>
          <w:tcPr>
            <w:tcW w:w="7555" w:type="dxa"/>
          </w:tcPr>
          <w:p w:rsidR="00140D52" w:rsidRPr="007C7FDF" w:rsidRDefault="00140D52" w:rsidP="00C5493A">
            <w:pPr>
              <w:rPr>
                <w:sz w:val="21"/>
                <w:szCs w:val="21"/>
              </w:rPr>
            </w:pPr>
            <w:r w:rsidRPr="007C7FDF">
              <w:rPr>
                <w:sz w:val="21"/>
                <w:szCs w:val="21"/>
              </w:rPr>
              <w:t>Suivi et l’Evaluation</w:t>
            </w:r>
          </w:p>
        </w:tc>
      </w:tr>
      <w:tr w:rsidR="00140D52" w:rsidRPr="007C7FDF" w:rsidTr="00853784">
        <w:tc>
          <w:tcPr>
            <w:tcW w:w="1550" w:type="dxa"/>
          </w:tcPr>
          <w:p w:rsidR="00140D52" w:rsidRPr="007C7FDF" w:rsidRDefault="00140D52" w:rsidP="008F798F">
            <w:pPr>
              <w:rPr>
                <w:sz w:val="21"/>
                <w:szCs w:val="21"/>
              </w:rPr>
            </w:pPr>
            <w:r w:rsidRPr="007C7FDF">
              <w:rPr>
                <w:b/>
                <w:color w:val="000000"/>
                <w:sz w:val="21"/>
                <w:szCs w:val="21"/>
                <w:lang w:eastAsia="en-US"/>
              </w:rPr>
              <w:t>SST</w:t>
            </w:r>
          </w:p>
        </w:tc>
        <w:tc>
          <w:tcPr>
            <w:tcW w:w="7555" w:type="dxa"/>
          </w:tcPr>
          <w:p w:rsidR="00140D52" w:rsidRPr="007C7FDF" w:rsidRDefault="00140D52" w:rsidP="00C5493A">
            <w:pPr>
              <w:rPr>
                <w:sz w:val="21"/>
                <w:szCs w:val="21"/>
              </w:rPr>
            </w:pPr>
            <w:r w:rsidRPr="007C7FDF">
              <w:rPr>
                <w:color w:val="000000"/>
                <w:sz w:val="21"/>
                <w:szCs w:val="21"/>
                <w:lang w:eastAsia="en-US"/>
              </w:rPr>
              <w:t>Santé et Sécurité au Travail</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TDR</w:t>
            </w:r>
          </w:p>
        </w:tc>
        <w:tc>
          <w:tcPr>
            <w:tcW w:w="7555" w:type="dxa"/>
          </w:tcPr>
          <w:p w:rsidR="00140D52" w:rsidRPr="007C7FDF" w:rsidRDefault="00140D52" w:rsidP="00C5493A">
            <w:pPr>
              <w:rPr>
                <w:sz w:val="21"/>
                <w:szCs w:val="21"/>
              </w:rPr>
            </w:pPr>
            <w:r w:rsidRPr="007C7FDF">
              <w:rPr>
                <w:sz w:val="21"/>
                <w:szCs w:val="21"/>
              </w:rPr>
              <w:t>Termes de référence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UCP</w:t>
            </w:r>
          </w:p>
        </w:tc>
        <w:tc>
          <w:tcPr>
            <w:tcW w:w="7555" w:type="dxa"/>
          </w:tcPr>
          <w:p w:rsidR="00140D52" w:rsidRPr="007C7FDF" w:rsidRDefault="00140D52" w:rsidP="00C5493A">
            <w:pPr>
              <w:rPr>
                <w:sz w:val="21"/>
                <w:szCs w:val="21"/>
              </w:rPr>
            </w:pPr>
            <w:r w:rsidRPr="007C7FDF">
              <w:rPr>
                <w:sz w:val="21"/>
                <w:szCs w:val="21"/>
              </w:rPr>
              <w:t>Unité de Coordination du Projet</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UICN</w:t>
            </w:r>
          </w:p>
        </w:tc>
        <w:tc>
          <w:tcPr>
            <w:tcW w:w="7555" w:type="dxa"/>
          </w:tcPr>
          <w:p w:rsidR="00140D52" w:rsidRPr="007C7FDF" w:rsidRDefault="00140D52" w:rsidP="00C5493A">
            <w:pPr>
              <w:rPr>
                <w:sz w:val="21"/>
                <w:szCs w:val="21"/>
              </w:rPr>
            </w:pPr>
            <w:r w:rsidRPr="007C7FDF">
              <w:rPr>
                <w:sz w:val="21"/>
                <w:szCs w:val="21"/>
              </w:rPr>
              <w:t>Union International pour la Conservation de la Nature</w:t>
            </w:r>
          </w:p>
        </w:tc>
      </w:tr>
      <w:tr w:rsidR="00140D52" w:rsidRPr="007C7FDF" w:rsidTr="00853784">
        <w:tc>
          <w:tcPr>
            <w:tcW w:w="1550" w:type="dxa"/>
          </w:tcPr>
          <w:p w:rsidR="00140D52" w:rsidRPr="007C7FDF" w:rsidRDefault="00140D52" w:rsidP="008F798F">
            <w:pPr>
              <w:rPr>
                <w:sz w:val="21"/>
                <w:szCs w:val="21"/>
              </w:rPr>
            </w:pPr>
            <w:r w:rsidRPr="007C7FDF">
              <w:rPr>
                <w:b/>
                <w:sz w:val="21"/>
                <w:szCs w:val="21"/>
              </w:rPr>
              <w:t>VBG</w:t>
            </w:r>
          </w:p>
        </w:tc>
        <w:tc>
          <w:tcPr>
            <w:tcW w:w="7555" w:type="dxa"/>
          </w:tcPr>
          <w:p w:rsidR="00140D52" w:rsidRPr="007C7FDF" w:rsidRDefault="00140D52" w:rsidP="00C5493A">
            <w:pPr>
              <w:rPr>
                <w:sz w:val="21"/>
                <w:szCs w:val="21"/>
              </w:rPr>
            </w:pPr>
            <w:r w:rsidRPr="007C7FDF">
              <w:rPr>
                <w:sz w:val="21"/>
                <w:szCs w:val="21"/>
              </w:rPr>
              <w:t>Violence Basée sur le Genre</w:t>
            </w:r>
          </w:p>
        </w:tc>
      </w:tr>
      <w:tr w:rsidR="00140D52" w:rsidRPr="007C7FDF" w:rsidTr="00853784">
        <w:tc>
          <w:tcPr>
            <w:tcW w:w="1550" w:type="dxa"/>
          </w:tcPr>
          <w:p w:rsidR="00140D52" w:rsidRPr="007C7FDF" w:rsidRDefault="00140D52" w:rsidP="008F798F">
            <w:pPr>
              <w:rPr>
                <w:sz w:val="21"/>
                <w:szCs w:val="21"/>
              </w:rPr>
            </w:pPr>
            <w:r w:rsidRPr="007C7FDF">
              <w:rPr>
                <w:rFonts w:eastAsia="Times New Roman"/>
                <w:b/>
                <w:sz w:val="21"/>
                <w:szCs w:val="21"/>
              </w:rPr>
              <w:t>VCE</w:t>
            </w:r>
          </w:p>
        </w:tc>
        <w:tc>
          <w:tcPr>
            <w:tcW w:w="7555" w:type="dxa"/>
          </w:tcPr>
          <w:p w:rsidR="00140D52" w:rsidRPr="007C7FDF" w:rsidRDefault="00140D52" w:rsidP="00C5493A">
            <w:pPr>
              <w:rPr>
                <w:sz w:val="21"/>
                <w:szCs w:val="21"/>
              </w:rPr>
            </w:pPr>
            <w:r w:rsidRPr="007C7FDF">
              <w:rPr>
                <w:rFonts w:eastAsia="Times New Roman"/>
                <w:sz w:val="21"/>
                <w:szCs w:val="21"/>
              </w:rPr>
              <w:t>Violences Contre les Enfants</w:t>
            </w:r>
          </w:p>
        </w:tc>
      </w:tr>
      <w:tr w:rsidR="00140D52" w:rsidRPr="007C7FDF" w:rsidTr="00853784">
        <w:tc>
          <w:tcPr>
            <w:tcW w:w="1550" w:type="dxa"/>
          </w:tcPr>
          <w:p w:rsidR="00140D52" w:rsidRPr="007C7FDF" w:rsidRDefault="00140D52" w:rsidP="008F798F">
            <w:pPr>
              <w:rPr>
                <w:sz w:val="21"/>
                <w:szCs w:val="21"/>
              </w:rPr>
            </w:pPr>
            <w:r>
              <w:rPr>
                <w:b/>
                <w:sz w:val="21"/>
                <w:szCs w:val="21"/>
              </w:rPr>
              <w:t xml:space="preserve"> </w:t>
            </w:r>
            <w:r w:rsidRPr="007C7FDF">
              <w:rPr>
                <w:b/>
                <w:sz w:val="21"/>
                <w:szCs w:val="21"/>
              </w:rPr>
              <w:t>VIH</w:t>
            </w:r>
          </w:p>
        </w:tc>
        <w:tc>
          <w:tcPr>
            <w:tcW w:w="7555" w:type="dxa"/>
          </w:tcPr>
          <w:p w:rsidR="00140D52" w:rsidRPr="007C7FDF" w:rsidRDefault="00140D52" w:rsidP="00C5493A">
            <w:pPr>
              <w:rPr>
                <w:sz w:val="21"/>
                <w:szCs w:val="21"/>
              </w:rPr>
            </w:pPr>
            <w:r w:rsidRPr="007C7FDF">
              <w:rPr>
                <w:sz w:val="21"/>
                <w:szCs w:val="21"/>
              </w:rPr>
              <w:t>Immuno déficience Humaine</w:t>
            </w:r>
          </w:p>
        </w:tc>
      </w:tr>
    </w:tbl>
    <w:p w:rsidR="005070EE" w:rsidRPr="00A05698" w:rsidRDefault="005070EE" w:rsidP="004F4212">
      <w:pPr>
        <w:tabs>
          <w:tab w:val="right" w:leader="dot" w:pos="10348"/>
        </w:tabs>
        <w:rPr>
          <w:bCs/>
        </w:rPr>
      </w:pPr>
    </w:p>
    <w:p w:rsidR="005070EE" w:rsidRDefault="005070EE" w:rsidP="004F4212">
      <w:pPr>
        <w:tabs>
          <w:tab w:val="right" w:leader="dot" w:pos="10348"/>
        </w:tabs>
        <w:rPr>
          <w:bCs/>
        </w:rPr>
      </w:pPr>
    </w:p>
    <w:p w:rsidR="000079B1" w:rsidRDefault="000079B1" w:rsidP="004F4212">
      <w:pPr>
        <w:tabs>
          <w:tab w:val="right" w:leader="dot" w:pos="10348"/>
        </w:tabs>
        <w:rPr>
          <w:bCs/>
        </w:rPr>
      </w:pPr>
    </w:p>
    <w:p w:rsidR="000079B1" w:rsidRDefault="00B52D6A" w:rsidP="004F4212">
      <w:pPr>
        <w:tabs>
          <w:tab w:val="right" w:leader="dot" w:pos="10348"/>
        </w:tabs>
        <w:rPr>
          <w:bCs/>
        </w:rPr>
      </w:pPr>
      <w:r>
        <w:rPr>
          <w:bCs/>
        </w:rPr>
        <w:t xml:space="preserve">  </w:t>
      </w:r>
    </w:p>
    <w:p w:rsidR="00B52D6A" w:rsidRDefault="00B52D6A" w:rsidP="004F4212">
      <w:pPr>
        <w:tabs>
          <w:tab w:val="right" w:leader="dot" w:pos="10348"/>
        </w:tabs>
        <w:rPr>
          <w:bCs/>
        </w:rPr>
      </w:pPr>
    </w:p>
    <w:p w:rsidR="000079B1" w:rsidRDefault="000079B1" w:rsidP="004F4212">
      <w:pPr>
        <w:tabs>
          <w:tab w:val="right" w:leader="dot" w:pos="10348"/>
        </w:tabs>
        <w:rPr>
          <w:bCs/>
        </w:rPr>
      </w:pPr>
    </w:p>
    <w:p w:rsidR="000079B1" w:rsidRDefault="000079B1" w:rsidP="004F4212">
      <w:pPr>
        <w:tabs>
          <w:tab w:val="right" w:leader="dot" w:pos="10348"/>
        </w:tabs>
        <w:rPr>
          <w:bCs/>
        </w:rPr>
      </w:pPr>
    </w:p>
    <w:p w:rsidR="00337D92" w:rsidRPr="00F36255" w:rsidRDefault="00337D92" w:rsidP="00853784">
      <w:pPr>
        <w:pStyle w:val="PargrafodaLista"/>
        <w:keepNext/>
        <w:keepLines/>
        <w:pBdr>
          <w:bottom w:val="thickThinSmallGap" w:sz="24" w:space="1" w:color="auto"/>
        </w:pBdr>
        <w:shd w:val="clear" w:color="auto" w:fill="DEEAF6" w:themeFill="accent1" w:themeFillTint="33"/>
        <w:spacing w:after="0" w:line="240" w:lineRule="auto"/>
        <w:ind w:left="76"/>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3" w:name="_Toc11158231"/>
      <w:bookmarkStart w:id="24" w:name="_Toc50135822"/>
      <w:r w:rsidRPr="00F36255">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w:t>
      </w:r>
      <w:bookmarkStart w:id="25" w:name="_Toc75432212"/>
      <w:r w:rsidRPr="00F36255">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RESUME NON TECHNIQUE</w:t>
      </w:r>
      <w:bookmarkEnd w:id="25"/>
      <w:r w:rsidRPr="00F36255">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23"/>
      <w:bookmarkEnd w:id="24"/>
    </w:p>
    <w:p w:rsidR="00337D92" w:rsidRPr="00861C29" w:rsidRDefault="00337D92" w:rsidP="00337D92">
      <w:pPr>
        <w:tabs>
          <w:tab w:val="right" w:leader="dot" w:pos="10348"/>
        </w:tabs>
        <w:ind w:right="-993"/>
        <w:rPr>
          <w:bCs/>
        </w:rPr>
      </w:pPr>
    </w:p>
    <w:p w:rsidR="00337D92" w:rsidRPr="00861C29" w:rsidRDefault="00337D92" w:rsidP="00D47C37">
      <w:pPr>
        <w:pStyle w:val="PargrafodaLista"/>
        <w:numPr>
          <w:ilvl w:val="0"/>
          <w:numId w:val="246"/>
        </w:numPr>
        <w:tabs>
          <w:tab w:val="left" w:pos="1418"/>
          <w:tab w:val="left" w:pos="1843"/>
        </w:tabs>
        <w:spacing w:after="0" w:line="240" w:lineRule="auto"/>
        <w:contextualSpacing w:val="0"/>
        <w:rPr>
          <w:rFonts w:ascii="Times New Roman" w:hAnsi="Times New Roman"/>
          <w:b/>
          <w:bCs/>
          <w:i/>
          <w:sz w:val="24"/>
          <w:szCs w:val="24"/>
        </w:rPr>
      </w:pPr>
      <w:r w:rsidRPr="00861C29">
        <w:rPr>
          <w:rFonts w:ascii="Times New Roman" w:hAnsi="Times New Roman"/>
          <w:b/>
          <w:bCs/>
          <w:i/>
          <w:sz w:val="24"/>
          <w:szCs w:val="24"/>
        </w:rPr>
        <w:t>CONTEXTE ET JUSTIFICATION DU PROJET</w:t>
      </w:r>
    </w:p>
    <w:p w:rsidR="00337D92" w:rsidRPr="00861C29" w:rsidRDefault="00337D92" w:rsidP="00D47C37">
      <w:pPr>
        <w:tabs>
          <w:tab w:val="left" w:pos="547"/>
        </w:tabs>
        <w:autoSpaceDE w:val="0"/>
        <w:autoSpaceDN w:val="0"/>
        <w:adjustRightInd w:val="0"/>
        <w:spacing w:after="120"/>
        <w:jc w:val="both"/>
      </w:pPr>
      <w:r w:rsidRPr="00861C29">
        <w:t>La Guinée-Bissau est l'un des pays d'Afrique subsaharienne dont le niveau de pauvreté est très élevé. En 2019, le taux d’insécurité alimentaire était de 30,7% (368 458 personnes touchées) sur l’ensemble du pays à l’exception du secteur autonome de Bissau qui n’a pas été inclus dans l’enquête. Le taux était de 34,2% dans les zones rurales et 19,2% dans les zones urbaines. Les régions de Gabu, Biombo, Oio et Cacheu étaient les plus touchées avec des taux d’insécurité alimentaire qui dépassaient 36% alors que Bafata, Quinara</w:t>
      </w:r>
      <w:r w:rsidR="006C6578">
        <w:t>,</w:t>
      </w:r>
      <w:r w:rsidR="00F65A05">
        <w:t xml:space="preserve"> Tombali</w:t>
      </w:r>
      <w:r w:rsidR="00F65A05" w:rsidRPr="00861C29">
        <w:t xml:space="preserve"> </w:t>
      </w:r>
      <w:r w:rsidRPr="00861C29">
        <w:t>et Bolama Bijagos étaient les moins affectées avec des taux en deçà de 22%. Cette situation en fait l'un des pays les plus pauvres du</w:t>
      </w:r>
      <w:r w:rsidRPr="00861C29">
        <w:rPr>
          <w:b/>
        </w:rPr>
        <w:t xml:space="preserve"> </w:t>
      </w:r>
      <w:r w:rsidRPr="00861C29">
        <w:t>monde. La pauvreté est davantage ancrée dans les zones rurales où elle est aggravée par le manque d’accès aux de services sociaux, de capital humain et d'infrastructures.</w:t>
      </w:r>
    </w:p>
    <w:p w:rsidR="00337D92" w:rsidRPr="00861C29" w:rsidRDefault="00337D92" w:rsidP="00D47C37">
      <w:pPr>
        <w:spacing w:before="120" w:after="120"/>
        <w:jc w:val="both"/>
        <w:rPr>
          <w:spacing w:val="-2"/>
        </w:rPr>
      </w:pPr>
      <w:r w:rsidRPr="00861C29">
        <w:rPr>
          <w:spacing w:val="-2"/>
        </w:rPr>
        <w:t xml:space="preserve">Ainsi, la pandémie de la COVID 19 fait que la situation économique et la sécurité alimentaire du pays est devenue plus vulnérable et très </w:t>
      </w:r>
      <w:r w:rsidRPr="00861C29">
        <w:t xml:space="preserve">perturbée car aggravée par le confinement et l'impact direct sur la santé des populations. De plus, pendant ces périodes, </w:t>
      </w:r>
      <w:r w:rsidRPr="00861C29">
        <w:rPr>
          <w:spacing w:val="-2"/>
        </w:rPr>
        <w:t xml:space="preserve">en Guinée Bissau, </w:t>
      </w:r>
      <w:r w:rsidRPr="00861C29">
        <w:rPr>
          <w:rFonts w:eastAsia="Times New Roman"/>
          <w:color w:val="040404"/>
          <w:shd w:val="clear" w:color="auto" w:fill="FFFFFF"/>
        </w:rPr>
        <w:t>le commerce s’opèrerait dans une zone géographique très limitée et les marchés ont été fermés. Le transport et la circulation des personnes entre les régions ont été suspendus. Le commerce international (importation et exportation) a été considérablement réduit. Cet impact a été ressenti plus gravement dans le secteur du commerce de la noix de cajou, principal produit d'exportation du pays.</w:t>
      </w:r>
    </w:p>
    <w:p w:rsidR="00337D92" w:rsidRPr="00861C29" w:rsidRDefault="00337D92" w:rsidP="00D47C37">
      <w:pPr>
        <w:jc w:val="both"/>
        <w:rPr>
          <w:rFonts w:eastAsia="Times New Roman"/>
        </w:rPr>
      </w:pPr>
      <w:r w:rsidRPr="00861C29">
        <w:t xml:space="preserve">La noix de cajou brute est le principal produit agricole du pays et la première source de revenus pour plus des deux tiers des ménages. </w:t>
      </w:r>
      <w:r w:rsidRPr="00861C29">
        <w:rPr>
          <w:rFonts w:eastAsia="Times New Roman"/>
          <w:color w:val="040404"/>
          <w:shd w:val="clear" w:color="auto" w:fill="FFFFFF"/>
        </w:rPr>
        <w:t>Plus de 80% de la population guinéenne dépend directement ou indirectement de la campagne de commercialisation de noix de cajou, qui représente également une contribution de 11% aux recettes de l'État et 95% des recettes d’exportation totales du pays.</w:t>
      </w:r>
    </w:p>
    <w:p w:rsidR="00337D92" w:rsidRPr="00861C29" w:rsidRDefault="00337D92" w:rsidP="00D47C37">
      <w:pPr>
        <w:spacing w:before="120" w:after="120"/>
        <w:jc w:val="both"/>
      </w:pPr>
      <w:r w:rsidRPr="00861C29">
        <w:t xml:space="preserve">Elle est essentielle à la sécurité alimentaire du pays car : </w:t>
      </w:r>
    </w:p>
    <w:p w:rsidR="00337D92" w:rsidRPr="00861C29" w:rsidRDefault="00337D92" w:rsidP="00D47C37">
      <w:pPr>
        <w:pStyle w:val="PargrafodaLista"/>
        <w:numPr>
          <w:ilvl w:val="0"/>
          <w:numId w:val="28"/>
        </w:numPr>
        <w:spacing w:before="120" w:after="120" w:line="240" w:lineRule="auto"/>
        <w:ind w:left="425" w:hanging="425"/>
        <w:jc w:val="both"/>
        <w:rPr>
          <w:rFonts w:ascii="Times New Roman" w:hAnsi="Times New Roman"/>
          <w:sz w:val="24"/>
          <w:szCs w:val="24"/>
        </w:rPr>
      </w:pPr>
      <w:r w:rsidRPr="00861C29">
        <w:rPr>
          <w:rFonts w:ascii="Times New Roman" w:hAnsi="Times New Roman"/>
          <w:sz w:val="24"/>
          <w:szCs w:val="24"/>
        </w:rPr>
        <w:t xml:space="preserve">une pluralité d'agriculteurs utilisent les revenus de la noix de cajou pour financer la production d'aliments de base destinés au marché intérieur; </w:t>
      </w:r>
    </w:p>
    <w:p w:rsidR="00337D92" w:rsidRPr="00861C29" w:rsidRDefault="00337D92" w:rsidP="00D47C37">
      <w:pPr>
        <w:pStyle w:val="PargrafodaLista"/>
        <w:numPr>
          <w:ilvl w:val="0"/>
          <w:numId w:val="28"/>
        </w:numPr>
        <w:spacing w:before="120" w:after="120" w:line="240" w:lineRule="auto"/>
        <w:ind w:left="425" w:hanging="425"/>
        <w:jc w:val="both"/>
        <w:rPr>
          <w:rFonts w:ascii="Times New Roman" w:hAnsi="Times New Roman"/>
          <w:spacing w:val="-2"/>
          <w:sz w:val="24"/>
          <w:szCs w:val="24"/>
        </w:rPr>
      </w:pPr>
      <w:r w:rsidRPr="00861C29">
        <w:rPr>
          <w:rFonts w:ascii="Times New Roman" w:hAnsi="Times New Roman"/>
          <w:sz w:val="24"/>
          <w:szCs w:val="24"/>
        </w:rPr>
        <w:t>de nombreux agriculteurs qui, pour plusieurs raisons, ne sont pas en mesure de satisfaire leurs besoins alimentaires à partir de leur propre production, dépendent des revenus de la noix de cajou pour accéder à la nourriture sur les marchés et ;</w:t>
      </w:r>
    </w:p>
    <w:p w:rsidR="00337D92" w:rsidRPr="00861C29" w:rsidRDefault="00337D92" w:rsidP="00D47C37">
      <w:pPr>
        <w:pStyle w:val="PargrafodaLista"/>
        <w:numPr>
          <w:ilvl w:val="0"/>
          <w:numId w:val="28"/>
        </w:numPr>
        <w:spacing w:before="120" w:after="120" w:line="240" w:lineRule="auto"/>
        <w:ind w:left="425" w:hanging="425"/>
        <w:jc w:val="both"/>
        <w:rPr>
          <w:rFonts w:ascii="Times New Roman" w:hAnsi="Times New Roman"/>
          <w:spacing w:val="-2"/>
          <w:sz w:val="24"/>
          <w:szCs w:val="24"/>
        </w:rPr>
      </w:pPr>
      <w:r w:rsidRPr="00861C29">
        <w:rPr>
          <w:rFonts w:ascii="Times New Roman" w:hAnsi="Times New Roman"/>
          <w:sz w:val="24"/>
          <w:szCs w:val="24"/>
        </w:rPr>
        <w:t>Certains agriculteurs, troquent les noix de cajou brutes contre du riz.</w:t>
      </w:r>
    </w:p>
    <w:p w:rsidR="00337D92" w:rsidRPr="00861C29" w:rsidRDefault="00337D92" w:rsidP="00D47C37">
      <w:pPr>
        <w:pStyle w:val="NormalWeb"/>
        <w:shd w:val="clear" w:color="auto" w:fill="FFFFFF"/>
        <w:spacing w:after="120"/>
        <w:jc w:val="both"/>
        <w:rPr>
          <w:color w:val="040404"/>
        </w:rPr>
      </w:pPr>
      <w:r w:rsidRPr="00861C29">
        <w:rPr>
          <w:spacing w:val="-2"/>
        </w:rPr>
        <w:t>Ainsi, avec la pandémie qui sévit depuis mars et avril 2020 coïncidant avec le démarrage de la campagne de commercialisation de la noix de cajou ainsi que la</w:t>
      </w:r>
      <w:r w:rsidRPr="00861C29">
        <w:rPr>
          <w:color w:val="040404"/>
        </w:rPr>
        <w:t xml:space="preserve"> faible demande sur le marché international de noix brutes (Inde et Vietnam), les opérateurs nationaux sont obligés de continuer les achats des noix encore disponibles auprès des producteurs nationaux et sous régionaux qui disposent toujours d'importants stocks à exporter.</w:t>
      </w:r>
    </w:p>
    <w:p w:rsidR="00337D92" w:rsidRPr="00861C29" w:rsidRDefault="00337D92" w:rsidP="00D47C37">
      <w:pPr>
        <w:spacing w:after="120"/>
        <w:jc w:val="both"/>
        <w:rPr>
          <w:rFonts w:eastAsia="Times New Roman"/>
          <w:color w:val="040404"/>
          <w:shd w:val="clear" w:color="auto" w:fill="FFFFFF"/>
        </w:rPr>
      </w:pPr>
      <w:r w:rsidRPr="00861C29">
        <w:rPr>
          <w:rFonts w:eastAsia="Times New Roman"/>
          <w:color w:val="040404"/>
          <w:shd w:val="clear" w:color="auto" w:fill="FFFFFF"/>
        </w:rPr>
        <w:t>Pour relancer l'économie et lutter contre l’insécurité alimentaire, le gouvernement guinéen a récemment présenté un programme de développement urgent, budgétisé à environ 263 millions d'euros, qui a besoin de l’appui de partenaires internationaux.</w:t>
      </w:r>
    </w:p>
    <w:p w:rsidR="00337D92" w:rsidRPr="00861C29" w:rsidRDefault="00337D92" w:rsidP="00D47C37">
      <w:pPr>
        <w:spacing w:after="120"/>
        <w:jc w:val="both"/>
        <w:rPr>
          <w:rFonts w:eastAsia="Times New Roman"/>
          <w:color w:val="040404"/>
          <w:shd w:val="clear" w:color="auto" w:fill="FFFFFF"/>
        </w:rPr>
      </w:pPr>
      <w:r w:rsidRPr="00861C29">
        <w:rPr>
          <w:rFonts w:eastAsia="Times New Roman"/>
          <w:color w:val="040404"/>
          <w:shd w:val="clear" w:color="auto" w:fill="FFFFFF"/>
        </w:rPr>
        <w:t xml:space="preserve">C’est dans ce contexte que la Banque mondiale (promoteur) a mis en place un projet de Sécurité Alimentaire d'Urgence en Guinée Bissau avec un financement de 15 millions de dollars dont l’Organisation des Nations Unies pour l’Alimentation et l’Agriculture (FAO) est l’agence d’implémentation du projet. Ceci dans le but d’aider le gouvernement de la Guinée-Bissau à atténuer de manière proactive les problèmes d’insécurité alimentaire à court et </w:t>
      </w:r>
      <w:r w:rsidRPr="00861C29">
        <w:rPr>
          <w:rFonts w:eastAsia="Times New Roman"/>
          <w:color w:val="040404"/>
          <w:shd w:val="clear" w:color="auto" w:fill="FFFFFF"/>
        </w:rPr>
        <w:lastRenderedPageBreak/>
        <w:t xml:space="preserve">moyen terme auxquels le pays est confronté dus aux effets de la Covid-19 sur la production et la commercialisation de la noix de cajou et sur la production et les prix des denrées alimentaires. </w:t>
      </w:r>
    </w:p>
    <w:p w:rsidR="00337D92" w:rsidRPr="00861C29" w:rsidRDefault="00337D92" w:rsidP="0087656B">
      <w:pPr>
        <w:spacing w:before="120" w:after="120"/>
        <w:jc w:val="both"/>
        <w:rPr>
          <w:spacing w:val="-2"/>
        </w:rPr>
      </w:pPr>
      <w:r w:rsidRPr="00861C29">
        <w:rPr>
          <w:spacing w:val="-2"/>
        </w:rPr>
        <w:t xml:space="preserve">Le </w:t>
      </w:r>
      <w:r w:rsidRPr="00861C29">
        <w:rPr>
          <w:rFonts w:eastAsia="Times New Roman"/>
          <w:color w:val="040404"/>
          <w:shd w:val="clear" w:color="auto" w:fill="FFFFFF"/>
        </w:rPr>
        <w:t>projet</w:t>
      </w:r>
      <w:r w:rsidRPr="00861C29">
        <w:rPr>
          <w:bCs/>
          <w:iCs/>
        </w:rPr>
        <w:t xml:space="preserve"> de Sécurité Alimentaire d'Urgence</w:t>
      </w:r>
      <w:r w:rsidRPr="00861C29">
        <w:rPr>
          <w:spacing w:val="-2"/>
        </w:rPr>
        <w:t xml:space="preserve"> PUSA est susceptible d’engendrer directement ou indirectement des risques et effets (positifs et négatifs) sur le milieu environnemental ou social. En effet, il sera encadré par un Cadre de Gestion Environnementale et Social (CGES), conformément aux directives et politiques de la Banque mondiale en matière environnementale et conformément au cadre législatif et réglementaire en vigueur en Guinée Bissau.</w:t>
      </w:r>
    </w:p>
    <w:p w:rsidR="00337D92" w:rsidRPr="00861C29" w:rsidRDefault="00337D92" w:rsidP="00621EFA">
      <w:pPr>
        <w:pStyle w:val="PargrafodaLista"/>
        <w:numPr>
          <w:ilvl w:val="0"/>
          <w:numId w:val="246"/>
        </w:numPr>
        <w:tabs>
          <w:tab w:val="left" w:pos="1418"/>
          <w:tab w:val="left" w:pos="1843"/>
        </w:tabs>
        <w:spacing w:after="0" w:line="240" w:lineRule="auto"/>
        <w:ind w:left="567"/>
        <w:contextualSpacing w:val="0"/>
        <w:rPr>
          <w:rFonts w:ascii="Times New Roman" w:hAnsi="Times New Roman"/>
          <w:b/>
          <w:bCs/>
          <w:i/>
          <w:sz w:val="24"/>
          <w:szCs w:val="24"/>
        </w:rPr>
      </w:pPr>
      <w:r w:rsidRPr="00861C29">
        <w:rPr>
          <w:rFonts w:ascii="Times New Roman" w:hAnsi="Times New Roman"/>
          <w:b/>
          <w:bCs/>
          <w:i/>
          <w:sz w:val="24"/>
          <w:szCs w:val="24"/>
        </w:rPr>
        <w:t>METHODOLOGIE</w:t>
      </w:r>
    </w:p>
    <w:p w:rsidR="001C6919" w:rsidRPr="00861C29" w:rsidRDefault="00337D92" w:rsidP="00D47C37">
      <w:pPr>
        <w:autoSpaceDE w:val="0"/>
        <w:autoSpaceDN w:val="0"/>
        <w:adjustRightInd w:val="0"/>
        <w:jc w:val="both"/>
        <w:rPr>
          <w:spacing w:val="-2"/>
        </w:rPr>
      </w:pPr>
      <w:r w:rsidRPr="00861C29">
        <w:t>La méthodologie de l’étude</w:t>
      </w:r>
      <w:r w:rsidR="0086141A">
        <w:t xml:space="preserve"> </w:t>
      </w:r>
      <w:r w:rsidR="00F85558" w:rsidRPr="00861C29">
        <w:t>suit</w:t>
      </w:r>
      <w:r w:rsidRPr="00861C29">
        <w:t xml:space="preserve"> des dispositions réglementaires en matière Cadre Environnemental et Social (CES) </w:t>
      </w:r>
      <w:r w:rsidR="00F85558" w:rsidRPr="00861C29">
        <w:t>de la Banque mondiale</w:t>
      </w:r>
      <w:r w:rsidR="001C6919" w:rsidRPr="00861C29">
        <w:t>.</w:t>
      </w:r>
      <w:r w:rsidR="001C6919" w:rsidRPr="00861C29">
        <w:rPr>
          <w:spacing w:val="-2"/>
        </w:rPr>
        <w:t xml:space="preserve"> </w:t>
      </w:r>
      <w:r w:rsidR="001C6919" w:rsidRPr="00861C29">
        <w:rPr>
          <w:lang w:eastAsia="en-US"/>
        </w:rPr>
        <w:t>Le CGES</w:t>
      </w:r>
      <w:r w:rsidR="001C6919" w:rsidRPr="00861C29">
        <w:rPr>
          <w:i/>
          <w:iCs/>
          <w:lang w:eastAsia="en-US"/>
        </w:rPr>
        <w:t xml:space="preserve"> </w:t>
      </w:r>
      <w:r w:rsidR="001C6919" w:rsidRPr="00861C29">
        <w:rPr>
          <w:lang w:eastAsia="en-US"/>
        </w:rPr>
        <w:t>est un instrument d’évaluation environnementale et sociale qui examine les risques et effets lorsqu’un projet se compose d’un programme et/ou d’une série de sous-projets, et que ces risques et effets ne peuvent être déterminés tant que les détails du programme ou du sous-projet n’ont pas été identifiés. Le CGES définit les principes, les règles, les directives et les procédures permettant d’évaluer les risques et effets environnementaux et sociaux. Il contient des mesures et des plans visant à réduire, atténuer et/ou compenser les risques et les impacts négatifs, des dispositions permettant d’estimer et de budgétiser le coût de ces mesures, et des informations sur l’agence ou les agences chargées de la gestion des risques et des impacts du projet, y compris leurs capacités correspondantes. Il fournit des informations pertinentes sur la zone dans laquelle les sous-projets devraient être réalisés, ainsi que les vulnérabilités éventuelles de cette zone du point de vue environnemental et social ; et sur les effets qui pourraient se produire et les mesures d’atténuation que l’on pourrait s’attendre à voir appliquer.</w:t>
      </w:r>
    </w:p>
    <w:p w:rsidR="00337D92" w:rsidRPr="00861C29" w:rsidRDefault="00337D92" w:rsidP="00D47C37">
      <w:pPr>
        <w:pStyle w:val="PargrafodaLista"/>
        <w:autoSpaceDE w:val="0"/>
        <w:autoSpaceDN w:val="0"/>
        <w:adjustRightInd w:val="0"/>
        <w:spacing w:after="0" w:line="240" w:lineRule="auto"/>
        <w:ind w:left="0"/>
        <w:jc w:val="both"/>
        <w:rPr>
          <w:rFonts w:ascii="Times New Roman" w:hAnsi="Times New Roman"/>
          <w:sz w:val="24"/>
          <w:szCs w:val="24"/>
        </w:rPr>
      </w:pPr>
    </w:p>
    <w:p w:rsidR="00337D92" w:rsidRPr="00861C29" w:rsidRDefault="00337D92" w:rsidP="00621EFA">
      <w:pPr>
        <w:pStyle w:val="PargrafodaLista"/>
        <w:numPr>
          <w:ilvl w:val="0"/>
          <w:numId w:val="246"/>
        </w:numPr>
        <w:tabs>
          <w:tab w:val="left" w:pos="1418"/>
          <w:tab w:val="left" w:pos="1843"/>
        </w:tabs>
        <w:spacing w:after="0" w:line="240" w:lineRule="auto"/>
        <w:ind w:left="567"/>
        <w:contextualSpacing w:val="0"/>
        <w:rPr>
          <w:rFonts w:ascii="Times New Roman" w:hAnsi="Times New Roman"/>
          <w:b/>
          <w:bCs/>
          <w:i/>
          <w:sz w:val="24"/>
          <w:szCs w:val="24"/>
        </w:rPr>
      </w:pPr>
      <w:r w:rsidRPr="00861C29">
        <w:rPr>
          <w:rFonts w:ascii="Times New Roman" w:hAnsi="Times New Roman"/>
          <w:b/>
          <w:bCs/>
          <w:i/>
          <w:sz w:val="24"/>
          <w:szCs w:val="24"/>
        </w:rPr>
        <w:t>PRESENTATION DU PROJET</w:t>
      </w:r>
    </w:p>
    <w:p w:rsidR="00337D92" w:rsidRPr="00861C29" w:rsidRDefault="00337D92" w:rsidP="00D47C37">
      <w:pPr>
        <w:autoSpaceDE w:val="0"/>
        <w:autoSpaceDN w:val="0"/>
        <w:adjustRightInd w:val="0"/>
        <w:jc w:val="both"/>
      </w:pPr>
      <w:r w:rsidRPr="00861C29">
        <w:t>Le Projet d’urgence de Sécurité Alimentaire en Guinée Bissau vise principalement à atténuer l’impact de la pandémie de COVID-19 sur la sécurité alimentaire et nutritionnelle de la Guinée-Bissau. De plus, il vise à minimiser les risques liés à la commercialisation des noix de cajou. De manière générale, le projet contribue donc à la réalisation des objectifs de développement durable (SDG) sur l’élimination de la faim, la sécurité alimentaire et l’amélioration de la nutrition (SDG2) et SDG1 sur l’élimination de la pauvreté sous toutes ses formes. Tous les objectifs du projet sont conformes à l’objectif stratégique de la Banque mondiale visant ainsi à mettre fin à l’extrême pauvreté.</w:t>
      </w:r>
    </w:p>
    <w:p w:rsidR="00337D92" w:rsidRPr="00861C29" w:rsidRDefault="00337D92" w:rsidP="00D47C37">
      <w:pPr>
        <w:tabs>
          <w:tab w:val="right" w:leader="dot" w:pos="10348"/>
        </w:tabs>
        <w:rPr>
          <w:bCs/>
        </w:rPr>
      </w:pPr>
    </w:p>
    <w:p w:rsidR="00337D92" w:rsidRPr="00861C29" w:rsidRDefault="00337D92" w:rsidP="00621EFA">
      <w:pPr>
        <w:pStyle w:val="PargrafodaLista"/>
        <w:numPr>
          <w:ilvl w:val="0"/>
          <w:numId w:val="246"/>
        </w:numPr>
        <w:tabs>
          <w:tab w:val="left" w:pos="1418"/>
          <w:tab w:val="left" w:pos="1843"/>
        </w:tabs>
        <w:spacing w:after="0" w:line="240" w:lineRule="auto"/>
        <w:ind w:left="567"/>
        <w:contextualSpacing w:val="0"/>
        <w:rPr>
          <w:rFonts w:ascii="Times New Roman" w:hAnsi="Times New Roman"/>
          <w:b/>
          <w:bCs/>
          <w:i/>
          <w:sz w:val="24"/>
          <w:szCs w:val="24"/>
        </w:rPr>
      </w:pPr>
      <w:r w:rsidRPr="00861C29">
        <w:rPr>
          <w:rFonts w:ascii="Times New Roman" w:hAnsi="Times New Roman"/>
          <w:b/>
          <w:bCs/>
          <w:i/>
          <w:sz w:val="24"/>
          <w:szCs w:val="24"/>
        </w:rPr>
        <w:t xml:space="preserve"> COMPOSANTES DU PROJET</w:t>
      </w:r>
    </w:p>
    <w:p w:rsidR="00337D92" w:rsidRPr="00861C29" w:rsidRDefault="00337D92" w:rsidP="0087656B">
      <w:pPr>
        <w:pStyle w:val="PargrafodaLista"/>
        <w:tabs>
          <w:tab w:val="left" w:pos="547"/>
          <w:tab w:val="left" w:pos="720"/>
        </w:tabs>
        <w:spacing w:after="0" w:line="240" w:lineRule="auto"/>
        <w:ind w:left="0"/>
        <w:contextualSpacing w:val="0"/>
        <w:jc w:val="both"/>
        <w:rPr>
          <w:rFonts w:ascii="Times New Roman" w:hAnsi="Times New Roman"/>
          <w:sz w:val="24"/>
          <w:szCs w:val="24"/>
        </w:rPr>
      </w:pPr>
      <w:r w:rsidRPr="00861C29">
        <w:rPr>
          <w:rFonts w:ascii="Times New Roman" w:hAnsi="Times New Roman"/>
          <w:sz w:val="24"/>
          <w:szCs w:val="24"/>
        </w:rPr>
        <w:t>Le projet sera organisé autour de trois composantes principales décrites ci-dessous.</w:t>
      </w:r>
    </w:p>
    <w:p w:rsidR="00264F95" w:rsidRPr="00861C29" w:rsidRDefault="00264F95" w:rsidP="00D47C37">
      <w:pPr>
        <w:pStyle w:val="PargrafodaLista"/>
        <w:tabs>
          <w:tab w:val="left" w:pos="547"/>
          <w:tab w:val="left" w:pos="720"/>
        </w:tabs>
        <w:spacing w:after="0" w:line="240" w:lineRule="auto"/>
        <w:ind w:left="0"/>
        <w:contextualSpacing w:val="0"/>
        <w:jc w:val="both"/>
        <w:rPr>
          <w:rFonts w:ascii="Times New Roman" w:hAnsi="Times New Roman"/>
          <w:sz w:val="24"/>
          <w:szCs w:val="24"/>
        </w:rPr>
      </w:pPr>
    </w:p>
    <w:p w:rsidR="00337D92" w:rsidRPr="00861C29" w:rsidRDefault="00337D92" w:rsidP="00D47C37">
      <w:pPr>
        <w:pStyle w:val="PargrafodaLista"/>
        <w:tabs>
          <w:tab w:val="left" w:pos="547"/>
        </w:tabs>
        <w:spacing w:before="480" w:after="0" w:line="240" w:lineRule="auto"/>
        <w:ind w:left="0"/>
        <w:jc w:val="both"/>
        <w:outlineLvl w:val="0"/>
        <w:rPr>
          <w:rFonts w:ascii="Times New Roman" w:hAnsi="Times New Roman"/>
          <w:b/>
          <w:sz w:val="24"/>
          <w:szCs w:val="24"/>
          <w:u w:val="single"/>
        </w:rPr>
      </w:pPr>
      <w:bookmarkStart w:id="26" w:name="_Toc75432213"/>
      <w:r w:rsidRPr="00861C29">
        <w:rPr>
          <w:rFonts w:ascii="Times New Roman" w:hAnsi="Times New Roman"/>
          <w:b/>
          <w:sz w:val="24"/>
          <w:szCs w:val="24"/>
          <w:u w:val="single"/>
        </w:rPr>
        <w:t>Composante 1 : Soutien à la production agricole (10 millions de dollars US)</w:t>
      </w:r>
      <w:bookmarkEnd w:id="26"/>
    </w:p>
    <w:p w:rsidR="00337D92" w:rsidRPr="00861C29" w:rsidRDefault="00337D92" w:rsidP="00D47C37">
      <w:pPr>
        <w:spacing w:before="120"/>
        <w:jc w:val="both"/>
      </w:pPr>
      <w:r w:rsidRPr="00861C29">
        <w:t xml:space="preserve">La valeur ajoutée comparativement plus élevée du travail agricole investi dans la production de noix de cajou par rapport aux cultures vivrières a, au fil du temps, favorisé un système dans lequel la plupart des agriculteurs se concentrent sur la production de noix de cajou. Ces agriculteurs utilisent le produit de la noix de cajou pour financer les intrants, la main-d’œuvre et la location d’équipements nécessaires à la production de cultures vivrières. En limitant la production et la commercialisation des noix de cajou, la pandémie de Covid-19 a essentiellement déstabilisé cet équilibre. Les agriculteurs doivent maintenant faire face à des difficultés pour supporter les coûts de production des cultures vivrières. </w:t>
      </w:r>
    </w:p>
    <w:p w:rsidR="00337D92" w:rsidRPr="00861C29" w:rsidRDefault="00337D92" w:rsidP="00D47C37">
      <w:pPr>
        <w:spacing w:before="120"/>
        <w:jc w:val="both"/>
      </w:pPr>
      <w:r w:rsidRPr="00861C29">
        <w:t xml:space="preserve">L’objectif de cette composante est de soutenir une réponse accélérée de l’offre axée sur la préservation/restauration de la capacité de production des agriculteurs éligibles, afin de leur </w:t>
      </w:r>
      <w:r w:rsidRPr="00861C29">
        <w:lastRenderedPageBreak/>
        <w:t xml:space="preserve">permettre de s’engager efficacement dans la production continue et élargie de denrées alimentaires de base essentielles à court - ou moyen - terme (6-24 mois).  </w:t>
      </w:r>
    </w:p>
    <w:p w:rsidR="00337D92" w:rsidRPr="00861C29" w:rsidRDefault="00337D92" w:rsidP="0087656B">
      <w:pPr>
        <w:pStyle w:val="PargrafodaLista"/>
        <w:tabs>
          <w:tab w:val="left" w:pos="547"/>
          <w:tab w:val="left" w:pos="720"/>
        </w:tabs>
        <w:spacing w:after="0" w:line="240" w:lineRule="auto"/>
        <w:ind w:left="0"/>
        <w:contextualSpacing w:val="0"/>
        <w:jc w:val="both"/>
        <w:rPr>
          <w:rFonts w:ascii="Times New Roman" w:hAnsi="Times New Roman"/>
          <w:b/>
          <w:sz w:val="24"/>
          <w:szCs w:val="24"/>
          <w:u w:val="single"/>
        </w:rPr>
      </w:pPr>
      <w:r w:rsidRPr="00861C29">
        <w:rPr>
          <w:rFonts w:ascii="Times New Roman" w:hAnsi="Times New Roman"/>
          <w:b/>
          <w:sz w:val="24"/>
          <w:szCs w:val="24"/>
          <w:u w:val="single"/>
        </w:rPr>
        <w:t xml:space="preserve">Le projet financera : </w:t>
      </w:r>
    </w:p>
    <w:p w:rsidR="00BD7A69" w:rsidRPr="00861C29" w:rsidRDefault="00BD7A69" w:rsidP="00D47C37">
      <w:pPr>
        <w:pStyle w:val="PargrafodaLista"/>
        <w:tabs>
          <w:tab w:val="left" w:pos="547"/>
          <w:tab w:val="left" w:pos="720"/>
        </w:tabs>
        <w:spacing w:after="0" w:line="240" w:lineRule="auto"/>
        <w:ind w:left="0"/>
        <w:contextualSpacing w:val="0"/>
        <w:jc w:val="both"/>
        <w:rPr>
          <w:rFonts w:ascii="Times New Roman" w:hAnsi="Times New Roman"/>
          <w:b/>
          <w:sz w:val="24"/>
          <w:szCs w:val="24"/>
          <w:u w:val="single"/>
        </w:rPr>
      </w:pPr>
    </w:p>
    <w:p w:rsidR="00BD7A69" w:rsidRPr="00861C29" w:rsidRDefault="00337D92" w:rsidP="00BD7A69">
      <w:pPr>
        <w:pStyle w:val="PargrafodaLista"/>
        <w:numPr>
          <w:ilvl w:val="0"/>
          <w:numId w:val="271"/>
        </w:numPr>
        <w:rPr>
          <w:rFonts w:ascii="Times New Roman" w:hAnsi="Times New Roman"/>
          <w:sz w:val="24"/>
          <w:szCs w:val="24"/>
        </w:rPr>
      </w:pPr>
      <w:r w:rsidRPr="00861C29">
        <w:rPr>
          <w:rFonts w:ascii="Times New Roman" w:hAnsi="Times New Roman"/>
          <w:sz w:val="24"/>
          <w:szCs w:val="24"/>
        </w:rPr>
        <w:t xml:space="preserve">l’achat et la distribution de semences et de matériel de plantation améliorés, en mettant l’accent sur les cultures et les légumes essentiels à la sécurité alimentaire ; </w:t>
      </w:r>
    </w:p>
    <w:p w:rsidR="00BD7A69" w:rsidRPr="00861C29" w:rsidRDefault="00337D92" w:rsidP="00D47C37">
      <w:pPr>
        <w:pStyle w:val="PargrafodaLista"/>
        <w:numPr>
          <w:ilvl w:val="0"/>
          <w:numId w:val="271"/>
        </w:numPr>
        <w:rPr>
          <w:rFonts w:ascii="Times New Roman" w:hAnsi="Times New Roman"/>
          <w:sz w:val="24"/>
          <w:szCs w:val="24"/>
        </w:rPr>
      </w:pPr>
      <w:r w:rsidRPr="00861C29">
        <w:rPr>
          <w:rFonts w:ascii="Times New Roman" w:hAnsi="Times New Roman"/>
          <w:sz w:val="24"/>
          <w:szCs w:val="24"/>
        </w:rPr>
        <w:t xml:space="preserve">l’accès au matériel et à la main-d’œuvre agricoles nécessaires ; et </w:t>
      </w:r>
    </w:p>
    <w:p w:rsidR="00BD7A69" w:rsidRPr="00AC77D0" w:rsidRDefault="00337D92" w:rsidP="00BD7A69">
      <w:pPr>
        <w:pStyle w:val="PargrafodaLista"/>
        <w:numPr>
          <w:ilvl w:val="0"/>
          <w:numId w:val="271"/>
        </w:numPr>
        <w:spacing w:before="120"/>
        <w:jc w:val="both"/>
        <w:rPr>
          <w:rFonts w:ascii="Times New Roman" w:hAnsi="Times New Roman"/>
          <w:sz w:val="24"/>
          <w:szCs w:val="24"/>
        </w:rPr>
      </w:pPr>
      <w:r w:rsidRPr="00AC77D0">
        <w:rPr>
          <w:rFonts w:ascii="Times New Roman" w:hAnsi="Times New Roman"/>
          <w:sz w:val="24"/>
          <w:szCs w:val="24"/>
        </w:rPr>
        <w:t xml:space="preserve">la fourniture des services de conseil requis pour soutenir l’amélioration de la production, de la </w:t>
      </w:r>
      <w:r w:rsidR="00BD7A69" w:rsidRPr="00AC77D0">
        <w:rPr>
          <w:rFonts w:ascii="Times New Roman" w:hAnsi="Times New Roman"/>
          <w:sz w:val="24"/>
          <w:szCs w:val="24"/>
        </w:rPr>
        <w:t>p</w:t>
      </w:r>
      <w:r w:rsidRPr="00AC77D0">
        <w:rPr>
          <w:rFonts w:ascii="Times New Roman" w:hAnsi="Times New Roman"/>
          <w:sz w:val="24"/>
          <w:szCs w:val="24"/>
        </w:rPr>
        <w:t xml:space="preserve">roductivité et de la résilience des systèmes de production au changement climatique. </w:t>
      </w:r>
    </w:p>
    <w:p w:rsidR="00F36255" w:rsidRDefault="00337D92" w:rsidP="00D47C37">
      <w:pPr>
        <w:spacing w:before="120"/>
        <w:jc w:val="both"/>
      </w:pPr>
      <w:r w:rsidRPr="00861C29">
        <w:t>Les activités relevant de ce volet seront mises en œuvre en partenariat avec la FAO et soutenues au cours de deux campagnes agricoles, en commençant par la campagne agricole actuelle.</w:t>
      </w:r>
    </w:p>
    <w:p w:rsidR="0086141A" w:rsidRPr="00861C29" w:rsidRDefault="0086141A" w:rsidP="00D47C37">
      <w:pPr>
        <w:spacing w:before="120"/>
        <w:jc w:val="both"/>
      </w:pPr>
    </w:p>
    <w:p w:rsidR="00337D92" w:rsidRPr="00861C29" w:rsidRDefault="00337D92" w:rsidP="00D47C37">
      <w:pPr>
        <w:pStyle w:val="PargrafodaLista"/>
        <w:tabs>
          <w:tab w:val="left" w:pos="547"/>
          <w:tab w:val="left" w:pos="720"/>
        </w:tabs>
        <w:spacing w:after="0" w:line="240" w:lineRule="auto"/>
        <w:ind w:left="0"/>
        <w:contextualSpacing w:val="0"/>
        <w:jc w:val="both"/>
        <w:outlineLvl w:val="0"/>
        <w:rPr>
          <w:rFonts w:ascii="Times New Roman" w:hAnsi="Times New Roman"/>
          <w:b/>
          <w:sz w:val="24"/>
          <w:szCs w:val="24"/>
          <w:u w:val="single"/>
        </w:rPr>
      </w:pPr>
      <w:bookmarkStart w:id="27" w:name="_Toc75432214"/>
      <w:r w:rsidRPr="00861C29">
        <w:rPr>
          <w:rFonts w:ascii="Times New Roman" w:hAnsi="Times New Roman"/>
          <w:b/>
          <w:sz w:val="24"/>
          <w:szCs w:val="24"/>
          <w:u w:val="single"/>
        </w:rPr>
        <w:t>Composante 2 : Soutien aux Filets de Sécurité communautaires (2,5 millions de dollars US)</w:t>
      </w:r>
      <w:bookmarkEnd w:id="27"/>
    </w:p>
    <w:p w:rsidR="00337D92" w:rsidRPr="00861C29" w:rsidRDefault="00337D92" w:rsidP="00D47C37">
      <w:pPr>
        <w:spacing w:before="120"/>
        <w:jc w:val="both"/>
      </w:pPr>
      <w:r w:rsidRPr="00861C29">
        <w:t>Les investissements réalisés dans le cadre de cette composante visent à assurer la sécurité alimentaire des ménages pour les parties des communautés touchées par les pertes d’emploi, en atténuant les déficits de revenus qui sont attendus grâce à un soutien aux travaux publics. L’accent sera mis sur la création d’actifs publics qui contribueront à l’impact de l’aide fournie au titre de la Composante 1 ou l’amélioreront. Ces actifs pourraient inclure un soutien à la distribution d’intrants, la réhabilitation des structures de stockage, l’ouverture de routes d’accès aux zones de production agricole, la construction de marchés locaux, etc. Les salaires journaliers pour les activités « argent contre travail » seront inférieurs à ceux de la main-d’œuvre non qualifiée au niveau local, ce qui constituera un mécanisme « intégré » d’autosuffisance pour les transferts d’argent, qui garantira également que les travaux publics ne concurrenceront pas l’agriculture pour le travail saisonnier</w:t>
      </w:r>
    </w:p>
    <w:p w:rsidR="00264F95" w:rsidRPr="00861C29" w:rsidRDefault="00337D92" w:rsidP="0087656B">
      <w:pPr>
        <w:spacing w:before="120"/>
        <w:jc w:val="both"/>
      </w:pPr>
      <w:r w:rsidRPr="00861C29">
        <w:t xml:space="preserve">Cette composante, qui sera mise en œuvre par la FAO en partenariat avec le Ministère de l’Agriculture et du Développement rural (MARD), financera principalement les salaires (en espèces ou en nature), les outils et les équipements, ainsi que d’autres coûts non salariaux, qui seraient nécessaires pour des travaux publics spécifiques. </w:t>
      </w:r>
    </w:p>
    <w:p w:rsidR="005D4386" w:rsidRPr="00861C29" w:rsidRDefault="005D4386" w:rsidP="005D4386"/>
    <w:p w:rsidR="00337D92" w:rsidRPr="00861C29" w:rsidRDefault="00337D92" w:rsidP="00D47C37">
      <w:pPr>
        <w:pStyle w:val="PargrafodaLista"/>
        <w:tabs>
          <w:tab w:val="left" w:pos="547"/>
          <w:tab w:val="left" w:pos="720"/>
        </w:tabs>
        <w:spacing w:after="0" w:line="240" w:lineRule="auto"/>
        <w:ind w:left="0"/>
        <w:contextualSpacing w:val="0"/>
        <w:jc w:val="both"/>
        <w:outlineLvl w:val="0"/>
        <w:rPr>
          <w:rFonts w:ascii="Times New Roman" w:hAnsi="Times New Roman"/>
          <w:b/>
          <w:sz w:val="24"/>
          <w:szCs w:val="24"/>
          <w:u w:val="single"/>
        </w:rPr>
      </w:pPr>
      <w:bookmarkStart w:id="28" w:name="_Toc75432215"/>
      <w:r w:rsidRPr="00861C29">
        <w:rPr>
          <w:rFonts w:ascii="Times New Roman" w:hAnsi="Times New Roman"/>
          <w:b/>
          <w:sz w:val="24"/>
          <w:szCs w:val="24"/>
          <w:u w:val="single"/>
        </w:rPr>
        <w:t>Composante 3 : Soutien à l’atténuation des risques (1,5 million de dollars)</w:t>
      </w:r>
      <w:bookmarkEnd w:id="28"/>
    </w:p>
    <w:p w:rsidR="00337D92" w:rsidRPr="00861C29" w:rsidRDefault="00337D92" w:rsidP="00D47C37">
      <w:pPr>
        <w:spacing w:before="120"/>
        <w:jc w:val="both"/>
      </w:pPr>
      <w:r w:rsidRPr="00861C29">
        <w:t xml:space="preserve">La pandémie de la Covid-19 a mis en évidence la grande vulnérabilité de l’économie bissau-guinéenne aux chocs, due à sa forte dépendance à une </w:t>
      </w:r>
      <w:r w:rsidR="0032107B" w:rsidRPr="00861C29">
        <w:t>quasi-monoculture</w:t>
      </w:r>
      <w:r w:rsidRPr="00861C29">
        <w:t xml:space="preserve">. Bien que la diversification soit la panacée ultime à cette vulnérabilité, un certain nombre de mesures de gestion des risques exacte (par exemple, contrats à terme, assurance, couverture, amélioration du stockage, etc.) ainsi que des instruments de gestion des risques ex post (par exemple, financement des risques éventuels) peuvent réduire les vulnérabilités spécifiques du secteur de la noix de cajou aux risques du marché. La proposition consiste à explorer la faisabilité, puis à piloter la mise en œuvre de mesures de gestion des risques de marché appropriées au niveau local pour le secteur de la noix de cajou. Ces mesures permettraient de renforcer la résilience du secteur aux risques du marché auxquels il est de plus en plus exposé (par exemple, une chute des prix en 2018, les perturbations actuelles des chaînes d’approvisionnement mondiales) et jetteraient les bases d’une reprise durable. </w:t>
      </w:r>
    </w:p>
    <w:p w:rsidR="00264F95" w:rsidRDefault="00264F95" w:rsidP="00264F95">
      <w:pPr>
        <w:pStyle w:val="PargrafodaLista"/>
        <w:tabs>
          <w:tab w:val="left" w:pos="547"/>
          <w:tab w:val="left" w:pos="720"/>
        </w:tabs>
        <w:spacing w:after="0" w:line="240" w:lineRule="auto"/>
        <w:ind w:left="0"/>
        <w:contextualSpacing w:val="0"/>
        <w:jc w:val="both"/>
        <w:rPr>
          <w:rFonts w:ascii="Times New Roman" w:hAnsi="Times New Roman"/>
          <w:b/>
          <w:sz w:val="24"/>
          <w:szCs w:val="24"/>
          <w:u w:val="single"/>
        </w:rPr>
      </w:pPr>
    </w:p>
    <w:p w:rsidR="00F36255" w:rsidRDefault="00F36255" w:rsidP="00264F95">
      <w:pPr>
        <w:pStyle w:val="PargrafodaLista"/>
        <w:tabs>
          <w:tab w:val="left" w:pos="547"/>
          <w:tab w:val="left" w:pos="720"/>
        </w:tabs>
        <w:spacing w:after="0" w:line="240" w:lineRule="auto"/>
        <w:ind w:left="0"/>
        <w:contextualSpacing w:val="0"/>
        <w:jc w:val="both"/>
        <w:rPr>
          <w:rFonts w:ascii="Times New Roman" w:hAnsi="Times New Roman"/>
          <w:b/>
          <w:sz w:val="24"/>
          <w:szCs w:val="24"/>
          <w:u w:val="single"/>
        </w:rPr>
      </w:pPr>
    </w:p>
    <w:p w:rsidR="00F36255" w:rsidRPr="00861C29" w:rsidRDefault="00F36255" w:rsidP="00264F95">
      <w:pPr>
        <w:pStyle w:val="PargrafodaLista"/>
        <w:tabs>
          <w:tab w:val="left" w:pos="547"/>
          <w:tab w:val="left" w:pos="720"/>
        </w:tabs>
        <w:spacing w:after="0" w:line="240" w:lineRule="auto"/>
        <w:ind w:left="0"/>
        <w:contextualSpacing w:val="0"/>
        <w:jc w:val="both"/>
        <w:rPr>
          <w:rFonts w:ascii="Times New Roman" w:hAnsi="Times New Roman"/>
          <w:b/>
          <w:sz w:val="24"/>
          <w:szCs w:val="24"/>
          <w:u w:val="single"/>
        </w:rPr>
      </w:pPr>
    </w:p>
    <w:p w:rsidR="00337D92" w:rsidRPr="00861C29" w:rsidRDefault="00337D92" w:rsidP="00D47C37">
      <w:pPr>
        <w:pStyle w:val="PargrafodaLista"/>
        <w:tabs>
          <w:tab w:val="left" w:pos="547"/>
          <w:tab w:val="left" w:pos="720"/>
        </w:tabs>
        <w:spacing w:after="0" w:line="240" w:lineRule="auto"/>
        <w:ind w:left="0"/>
        <w:contextualSpacing w:val="0"/>
        <w:jc w:val="both"/>
        <w:rPr>
          <w:rFonts w:ascii="Times New Roman" w:hAnsi="Times New Roman"/>
          <w:b/>
          <w:sz w:val="24"/>
          <w:szCs w:val="24"/>
          <w:u w:val="single"/>
        </w:rPr>
      </w:pPr>
      <w:r w:rsidRPr="00861C29">
        <w:rPr>
          <w:rFonts w:ascii="Times New Roman" w:hAnsi="Times New Roman"/>
          <w:b/>
          <w:sz w:val="24"/>
          <w:szCs w:val="24"/>
          <w:u w:val="single"/>
        </w:rPr>
        <w:t>Composante 4 : Gestion du projet (1,0 million de dollars US).</w:t>
      </w:r>
    </w:p>
    <w:p w:rsidR="00337D92" w:rsidRPr="00861C29" w:rsidRDefault="00337D92" w:rsidP="00D47C37">
      <w:pPr>
        <w:spacing w:before="120"/>
        <w:jc w:val="both"/>
      </w:pPr>
      <w:r w:rsidRPr="00861C29">
        <w:t xml:space="preserve">L’objectif de cette composante est de faciliter la mise en œuvre effective des activités du projet et le suivi des résultats. Cette composante financera les activités liées à la coordination et à la gestion du projet, y compris l’élaboration de plans de travail et de budgets annuels, la gestion financière (GF) et la passation de marchés, le respect des garanties, le suivi et l’évaluation (S&amp;E), l’engagement des citoyens ainsi qu’un mécanisme de règlement des plaintes (MRP).   </w:t>
      </w:r>
    </w:p>
    <w:p w:rsidR="00337D92" w:rsidRPr="00861C29" w:rsidRDefault="00337D92" w:rsidP="00D47C37">
      <w:pPr>
        <w:pStyle w:val="Default"/>
        <w:tabs>
          <w:tab w:val="left" w:pos="547"/>
          <w:tab w:val="left" w:pos="720"/>
        </w:tabs>
        <w:autoSpaceDE/>
        <w:autoSpaceDN/>
        <w:adjustRightInd/>
        <w:spacing w:before="120"/>
        <w:jc w:val="both"/>
        <w:rPr>
          <w:rFonts w:ascii="Times New Roman" w:hAnsi="Times New Roman" w:cs="Times New Roman"/>
          <w:b/>
          <w:color w:val="172D5F"/>
          <w:u w:val="single"/>
        </w:rPr>
      </w:pPr>
      <w:r w:rsidRPr="00861C29">
        <w:rPr>
          <w:rFonts w:ascii="Times New Roman" w:hAnsi="Times New Roman" w:cs="Times New Roman"/>
          <w:b/>
          <w:noProof/>
          <w:u w:val="single"/>
        </w:rPr>
        <w:t>Composante 5 : Intervention d’urgence contingente (0 million de dollars US)</w:t>
      </w:r>
    </w:p>
    <w:p w:rsidR="00337D92" w:rsidRPr="00861C29" w:rsidRDefault="00337D92" w:rsidP="00D47C37">
      <w:pPr>
        <w:spacing w:before="120"/>
        <w:jc w:val="both"/>
      </w:pPr>
      <w:r w:rsidRPr="00861C29">
        <w:t>Cette composante d’intervention d’urgence contingente à coût zéro (CERC) financera les dépenses admissibles en cas de crises naturelles ou d’origine humaine, de catastrophes, de chocs économiques graves ou d’autres crises et situations d’urgence en Guinée-Bissau. La mise en œuvre de cette composante suivra un plan de mise en œuvre de la réponse d’urgence contingente (CERIP) détaillée et satisfaisante pour la Banque mondiale qui sera préparée pour chaque crise éligible.</w:t>
      </w:r>
    </w:p>
    <w:p w:rsidR="00337D92" w:rsidRPr="00861C29" w:rsidRDefault="00337D92" w:rsidP="00D47C37">
      <w:pPr>
        <w:tabs>
          <w:tab w:val="right" w:leader="dot" w:pos="10348"/>
        </w:tabs>
        <w:rPr>
          <w:bCs/>
        </w:rPr>
      </w:pPr>
    </w:p>
    <w:p w:rsidR="00337D92" w:rsidRPr="00861C29" w:rsidRDefault="00337D92" w:rsidP="00621EFA">
      <w:pPr>
        <w:pStyle w:val="PargrafodaLista"/>
        <w:numPr>
          <w:ilvl w:val="0"/>
          <w:numId w:val="246"/>
        </w:numPr>
        <w:tabs>
          <w:tab w:val="left" w:pos="1418"/>
          <w:tab w:val="left" w:pos="1843"/>
        </w:tabs>
        <w:spacing w:after="0" w:line="240" w:lineRule="auto"/>
        <w:ind w:left="567"/>
        <w:contextualSpacing w:val="0"/>
        <w:rPr>
          <w:rFonts w:ascii="Times New Roman" w:hAnsi="Times New Roman"/>
          <w:b/>
          <w:bCs/>
          <w:i/>
          <w:sz w:val="24"/>
          <w:szCs w:val="24"/>
        </w:rPr>
      </w:pPr>
      <w:r w:rsidRPr="00861C29">
        <w:rPr>
          <w:rFonts w:ascii="Times New Roman" w:hAnsi="Times New Roman"/>
          <w:b/>
          <w:bCs/>
          <w:i/>
          <w:sz w:val="24"/>
          <w:szCs w:val="24"/>
        </w:rPr>
        <w:t>CIBLAGE DES DIFFERENTES BENEFICIAIRE DU PROJET</w:t>
      </w:r>
    </w:p>
    <w:p w:rsidR="00337D92" w:rsidRPr="00861C29" w:rsidRDefault="00337D92" w:rsidP="00D47C37">
      <w:pPr>
        <w:spacing w:before="120"/>
        <w:jc w:val="both"/>
      </w:pPr>
      <w:r w:rsidRPr="00861C29">
        <w:t xml:space="preserve">Les bénéficiaires directs des projets sont notamment : </w:t>
      </w:r>
    </w:p>
    <w:p w:rsidR="00337D92" w:rsidRPr="00861C29" w:rsidRDefault="00337D92" w:rsidP="00D47C37">
      <w:pPr>
        <w:pStyle w:val="PargrafodaLista"/>
        <w:numPr>
          <w:ilvl w:val="0"/>
          <w:numId w:val="29"/>
        </w:numPr>
        <w:tabs>
          <w:tab w:val="left" w:pos="547"/>
          <w:tab w:val="left" w:pos="720"/>
        </w:tabs>
        <w:spacing w:after="0" w:line="240" w:lineRule="auto"/>
        <w:ind w:left="720"/>
        <w:contextualSpacing w:val="0"/>
        <w:jc w:val="both"/>
        <w:rPr>
          <w:rFonts w:ascii="Times New Roman" w:hAnsi="Times New Roman"/>
          <w:sz w:val="24"/>
          <w:szCs w:val="24"/>
        </w:rPr>
      </w:pPr>
      <w:r w:rsidRPr="00861C29">
        <w:rPr>
          <w:rFonts w:ascii="Times New Roman" w:hAnsi="Times New Roman"/>
          <w:sz w:val="24"/>
          <w:szCs w:val="24"/>
        </w:rPr>
        <w:t xml:space="preserve">Les petits exploitants agricoles, pour lesquels la production de noix de cajou fait partie intégrante de la sécurité alimentaire ; </w:t>
      </w:r>
    </w:p>
    <w:p w:rsidR="00337D92" w:rsidRPr="00861C29" w:rsidRDefault="00337D92" w:rsidP="00D47C37">
      <w:pPr>
        <w:pStyle w:val="PargrafodaLista"/>
        <w:numPr>
          <w:ilvl w:val="0"/>
          <w:numId w:val="29"/>
        </w:numPr>
        <w:tabs>
          <w:tab w:val="left" w:pos="547"/>
          <w:tab w:val="left" w:pos="720"/>
        </w:tabs>
        <w:spacing w:after="0" w:line="240" w:lineRule="auto"/>
        <w:ind w:left="720"/>
        <w:contextualSpacing w:val="0"/>
        <w:jc w:val="both"/>
        <w:rPr>
          <w:rFonts w:ascii="Times New Roman" w:hAnsi="Times New Roman"/>
          <w:sz w:val="24"/>
          <w:szCs w:val="24"/>
        </w:rPr>
      </w:pPr>
      <w:r w:rsidRPr="00861C29">
        <w:rPr>
          <w:rFonts w:ascii="Times New Roman" w:hAnsi="Times New Roman"/>
          <w:sz w:val="24"/>
          <w:szCs w:val="24"/>
        </w:rPr>
        <w:t xml:space="preserve">les ménages en situation d’insécurité alimentaire qui dépendent du travail saisonnier ou du salaire journalier pour leur sécurité alimentaire ; </w:t>
      </w:r>
    </w:p>
    <w:p w:rsidR="00337D92" w:rsidRPr="00861C29" w:rsidRDefault="00337D92" w:rsidP="00D47C37">
      <w:pPr>
        <w:pStyle w:val="PargrafodaLista"/>
        <w:numPr>
          <w:ilvl w:val="0"/>
          <w:numId w:val="29"/>
        </w:numPr>
        <w:tabs>
          <w:tab w:val="left" w:pos="547"/>
          <w:tab w:val="left" w:pos="720"/>
        </w:tabs>
        <w:spacing w:after="0" w:line="240" w:lineRule="auto"/>
        <w:ind w:left="720"/>
        <w:contextualSpacing w:val="0"/>
        <w:jc w:val="both"/>
        <w:rPr>
          <w:rFonts w:ascii="Times New Roman" w:hAnsi="Times New Roman"/>
          <w:sz w:val="24"/>
          <w:szCs w:val="24"/>
        </w:rPr>
      </w:pPr>
      <w:r w:rsidRPr="00861C29">
        <w:rPr>
          <w:rFonts w:ascii="Times New Roman" w:hAnsi="Times New Roman"/>
          <w:sz w:val="24"/>
          <w:szCs w:val="24"/>
        </w:rPr>
        <w:t xml:space="preserve"> les maraîchers. </w:t>
      </w:r>
    </w:p>
    <w:p w:rsidR="00337D92" w:rsidRPr="00861C29" w:rsidRDefault="00337D92" w:rsidP="00D47C37">
      <w:pPr>
        <w:spacing w:before="120"/>
        <w:jc w:val="both"/>
      </w:pPr>
      <w:r w:rsidRPr="00861C29">
        <w:t xml:space="preserve">Au moins 50 000 ménages bénéficieront d’un soutien en matière d’intrants et 10 000 autres ménages des activités « argent contre travail ». En se fondant sur la taille moyenne des ménages en Guinée-Bissau, cela représente environ 378 000 personnes. </w:t>
      </w:r>
    </w:p>
    <w:p w:rsidR="00337D92" w:rsidRPr="00861C29" w:rsidRDefault="00337D92" w:rsidP="00D47C37">
      <w:pPr>
        <w:spacing w:before="120"/>
        <w:jc w:val="both"/>
      </w:pPr>
      <w:r w:rsidRPr="00861C29">
        <w:t xml:space="preserve">Les bénéficiaires indirects comprennent les travailleurs, les consommateurs qui auront accès à la nourriture provenant de la production excédentaire et les fournisseurs d’intrants. </w:t>
      </w:r>
    </w:p>
    <w:p w:rsidR="00337D92" w:rsidRPr="00861C29" w:rsidRDefault="00337D92" w:rsidP="00D47C37">
      <w:pPr>
        <w:spacing w:before="120"/>
        <w:jc w:val="both"/>
      </w:pPr>
      <w:r w:rsidRPr="00861C29">
        <w:t xml:space="preserve">Compte tenu de la fluidité de la situation, le projet aurait également une couverture nationale, bien que le ciblage permette de se concentrer sur les régions les plus touchées par l’insécurité alimentaire, tout en évitant une duplication de l’aide fournie par d’autres agences et par le biais de financements gouvernementaux. </w:t>
      </w:r>
    </w:p>
    <w:p w:rsidR="00337D92" w:rsidRPr="00861C29" w:rsidRDefault="00337D92" w:rsidP="00D47C37">
      <w:pPr>
        <w:spacing w:before="120"/>
        <w:jc w:val="both"/>
      </w:pPr>
      <w:r w:rsidRPr="00861C29">
        <w:t xml:space="preserve">Ce projet analysera dans une perspective de genre pour améliorer la sensibilité de cet aspect. L’analyse permettra également d’assurer des garanties adéquates en vue de réduire les risques de violence basée sur le genre (VBG), y compris d’exploitation et d’abus sexuels (EAS), ainsi que de harcèlement sexuel (HS). </w:t>
      </w:r>
    </w:p>
    <w:p w:rsidR="00337D92" w:rsidRPr="00861C29" w:rsidRDefault="00337D92" w:rsidP="00D47C37">
      <w:pPr>
        <w:tabs>
          <w:tab w:val="right" w:leader="dot" w:pos="10348"/>
        </w:tabs>
        <w:rPr>
          <w:bCs/>
        </w:rPr>
      </w:pPr>
    </w:p>
    <w:p w:rsidR="00337D92" w:rsidRPr="00861C29" w:rsidRDefault="00337D92" w:rsidP="00C61D68">
      <w:pPr>
        <w:pStyle w:val="PargrafodaLista"/>
        <w:numPr>
          <w:ilvl w:val="0"/>
          <w:numId w:val="246"/>
        </w:numPr>
        <w:tabs>
          <w:tab w:val="left" w:pos="1418"/>
          <w:tab w:val="left" w:pos="1843"/>
        </w:tabs>
        <w:spacing w:after="0" w:line="240" w:lineRule="auto"/>
        <w:ind w:left="567"/>
        <w:contextualSpacing w:val="0"/>
        <w:rPr>
          <w:rFonts w:ascii="Times New Roman" w:hAnsi="Times New Roman"/>
          <w:b/>
          <w:bCs/>
          <w:i/>
          <w:sz w:val="24"/>
          <w:szCs w:val="24"/>
        </w:rPr>
      </w:pPr>
      <w:r w:rsidRPr="00861C29">
        <w:rPr>
          <w:rFonts w:ascii="Times New Roman" w:hAnsi="Times New Roman"/>
          <w:b/>
          <w:bCs/>
          <w:i/>
          <w:sz w:val="24"/>
          <w:szCs w:val="24"/>
        </w:rPr>
        <w:t>ENJEUX ENVIRONNEMENTAUX ET SOCIAUX</w:t>
      </w:r>
    </w:p>
    <w:p w:rsidR="00337D92" w:rsidRPr="00861C29" w:rsidRDefault="00337D92" w:rsidP="00D47C37">
      <w:pPr>
        <w:jc w:val="both"/>
      </w:pPr>
      <w:r w:rsidRPr="00861C29">
        <w:t>Sous des formes diverses, les activités prévues dans la mise en œuvre du projet PUSA pourraient se confronter à des enjeux sur l’environnement et les activités socio-économiques. On peut citer notamment des effets tels que le risque de bouleversement des activités agricoles, le risque de dégradation avancée des terres agricoles, les enjeux au niveau de la commercialisation des noix de cajou et des produits vivrière avec la pandémie, les pertes des ressources forestières considérables, les pratiques culturales inadaptées avec utilisation des pesticides, les phénomènes d’érosion hydrique, la gestion durable des ressources en eau, la disponibilité en qualité et en quantité des semences, les manques de moins des agriculteurs, la production de déchets (solides et liquides), les effets de chargement climatique, etc.</w:t>
      </w:r>
    </w:p>
    <w:p w:rsidR="00337D92" w:rsidRPr="00861C29" w:rsidRDefault="00337D92" w:rsidP="00D47C37">
      <w:pPr>
        <w:pStyle w:val="PargrafodaLista"/>
        <w:spacing w:after="0" w:line="240" w:lineRule="auto"/>
        <w:ind w:left="0" w:right="-993"/>
        <w:rPr>
          <w:rFonts w:ascii="Times New Roman" w:hAnsi="Times New Roman"/>
          <w:sz w:val="24"/>
          <w:szCs w:val="24"/>
        </w:rPr>
      </w:pPr>
    </w:p>
    <w:p w:rsidR="00337D92" w:rsidRPr="00861C29" w:rsidRDefault="00337D92" w:rsidP="00C61D68">
      <w:pPr>
        <w:pStyle w:val="PargrafodaLista"/>
        <w:numPr>
          <w:ilvl w:val="0"/>
          <w:numId w:val="246"/>
        </w:numPr>
        <w:tabs>
          <w:tab w:val="left" w:pos="1418"/>
          <w:tab w:val="left" w:pos="1843"/>
        </w:tabs>
        <w:spacing w:after="0" w:line="240" w:lineRule="auto"/>
        <w:ind w:left="567"/>
        <w:contextualSpacing w:val="0"/>
        <w:rPr>
          <w:rFonts w:ascii="Times New Roman" w:hAnsi="Times New Roman"/>
          <w:b/>
          <w:bCs/>
          <w:i/>
          <w:sz w:val="24"/>
          <w:szCs w:val="24"/>
        </w:rPr>
      </w:pPr>
      <w:r w:rsidRPr="00861C29">
        <w:rPr>
          <w:rFonts w:ascii="Times New Roman" w:hAnsi="Times New Roman"/>
          <w:b/>
          <w:bCs/>
          <w:i/>
          <w:sz w:val="24"/>
          <w:szCs w:val="24"/>
        </w:rPr>
        <w:t>L’ANALYSE DES IMPACTS PREVISIONNELS ET LES MESURES ATTENUATIONS ET/OU EVITEMENTS</w:t>
      </w:r>
    </w:p>
    <w:p w:rsidR="00337D92" w:rsidRPr="00861C29" w:rsidRDefault="00337D92" w:rsidP="005D4386">
      <w:pPr>
        <w:jc w:val="both"/>
      </w:pPr>
      <w:r w:rsidRPr="00861C29">
        <w:t>Dans le cadre de cette étude, l’analyse des impacts du projet PUSA à travers ses principales composantes est faite selon une approche globale car ce sont des objectifs globaux qu’on cherche à atteindre à travers cette évaluation environnementale stratégique.</w:t>
      </w:r>
    </w:p>
    <w:p w:rsidR="00337D92" w:rsidRPr="00861C29" w:rsidRDefault="00337D92" w:rsidP="006552F3">
      <w:pPr>
        <w:tabs>
          <w:tab w:val="right" w:leader="dot" w:pos="10348"/>
        </w:tabs>
        <w:ind w:right="-993"/>
        <w:rPr>
          <w:bCs/>
        </w:rPr>
      </w:pPr>
    </w:p>
    <w:p w:rsidR="00337D92" w:rsidRPr="00861C29" w:rsidRDefault="00337D92" w:rsidP="00D47C37">
      <w:pPr>
        <w:pStyle w:val="Primeiroavanodecorpodetexto2"/>
        <w:spacing w:after="0" w:line="240" w:lineRule="auto"/>
        <w:ind w:left="0" w:right="-993"/>
        <w:jc w:val="center"/>
        <w:rPr>
          <w:rFonts w:ascii="Times New Roman" w:hAnsi="Times New Roman"/>
          <w:b/>
          <w:sz w:val="24"/>
          <w:szCs w:val="24"/>
        </w:rPr>
      </w:pPr>
      <w:r w:rsidRPr="00861C29">
        <w:rPr>
          <w:rFonts w:ascii="Times New Roman" w:hAnsi="Times New Roman"/>
          <w:b/>
          <w:sz w:val="24"/>
          <w:szCs w:val="24"/>
        </w:rPr>
        <w:t>Synthèse des impacts positifs potentiels de la mise en œuvre des activités du projet</w:t>
      </w:r>
    </w:p>
    <w:tbl>
      <w:tblPr>
        <w:tblStyle w:val="TableauGrille2-Accentuation61"/>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7889"/>
      </w:tblGrid>
      <w:tr w:rsidR="00337D92" w:rsidRPr="00861C29" w:rsidTr="009B22F3">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shd w:val="clear" w:color="auto" w:fill="EDEDED" w:themeFill="accent3" w:themeFillTint="33"/>
            <w:vAlign w:val="center"/>
          </w:tcPr>
          <w:p w:rsidR="00337D92" w:rsidRPr="00861C29" w:rsidRDefault="00337D92" w:rsidP="006552F3">
            <w:pPr>
              <w:autoSpaceDE w:val="0"/>
              <w:autoSpaceDN w:val="0"/>
              <w:adjustRightInd w:val="0"/>
              <w:jc w:val="center"/>
              <w:rPr>
                <w:rFonts w:eastAsia="Calibri"/>
                <w:color w:val="000000"/>
              </w:rPr>
            </w:pPr>
            <w:r w:rsidRPr="00861C29">
              <w:rPr>
                <w:rFonts w:eastAsia="Calibri"/>
                <w:color w:val="000000"/>
              </w:rPr>
              <w:t>Activités</w:t>
            </w:r>
          </w:p>
        </w:tc>
        <w:tc>
          <w:tcPr>
            <w:tcW w:w="8648" w:type="dxa"/>
            <w:tcBorders>
              <w:top w:val="single" w:sz="4" w:space="0" w:color="auto"/>
            </w:tcBorders>
            <w:shd w:val="clear" w:color="auto" w:fill="EDEDED" w:themeFill="accent3" w:themeFillTint="33"/>
          </w:tcPr>
          <w:p w:rsidR="00337D92" w:rsidRPr="00861C29" w:rsidRDefault="00337D92" w:rsidP="00264F9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olor w:val="000000"/>
              </w:rPr>
            </w:pPr>
            <w:r w:rsidRPr="00861C29">
              <w:rPr>
                <w:rFonts w:eastAsia="Calibri"/>
                <w:color w:val="000000"/>
              </w:rPr>
              <w:t>Impacts positifs majeurs du projet</w:t>
            </w:r>
          </w:p>
        </w:tc>
      </w:tr>
      <w:tr w:rsidR="00337D92" w:rsidRPr="00861C29" w:rsidTr="009B2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FFFFFF"/>
            <w:vAlign w:val="center"/>
          </w:tcPr>
          <w:p w:rsidR="00337D92" w:rsidRPr="00861C29" w:rsidRDefault="00337D92" w:rsidP="006552F3">
            <w:pPr>
              <w:spacing w:before="60" w:after="60"/>
              <w:jc w:val="center"/>
            </w:pPr>
            <w:r w:rsidRPr="00861C29">
              <w:rPr>
                <w:u w:val="single"/>
              </w:rPr>
              <w:t>Soutien à la production agricole</w:t>
            </w:r>
          </w:p>
          <w:p w:rsidR="00337D92" w:rsidRPr="00861C29" w:rsidRDefault="00337D92" w:rsidP="00264F95">
            <w:pPr>
              <w:jc w:val="center"/>
              <w:rPr>
                <w:rFonts w:eastAsia="Calibri"/>
                <w:color w:val="000000"/>
              </w:rPr>
            </w:pPr>
          </w:p>
        </w:tc>
        <w:tc>
          <w:tcPr>
            <w:tcW w:w="8648" w:type="dxa"/>
            <w:shd w:val="clear" w:color="auto" w:fill="DEEAF6" w:themeFill="accent1" w:themeFillTint="33"/>
          </w:tcPr>
          <w:p w:rsidR="00337D92" w:rsidRPr="00861C29" w:rsidRDefault="00337D92" w:rsidP="006A05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861C29">
              <w:rPr>
                <w:rFonts w:eastAsia="Calibri"/>
                <w:b/>
              </w:rPr>
              <w:t>Phase d’exploitation</w:t>
            </w:r>
          </w:p>
        </w:tc>
      </w:tr>
      <w:tr w:rsidR="00337D92" w:rsidRPr="00861C29" w:rsidTr="009B22F3">
        <w:trPr>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vAlign w:val="center"/>
          </w:tcPr>
          <w:p w:rsidR="00337D92" w:rsidRPr="00861C29" w:rsidRDefault="00337D92">
            <w:pPr>
              <w:rPr>
                <w:rFonts w:eastAsia="Calibri"/>
                <w:color w:val="000000"/>
              </w:rPr>
            </w:pPr>
          </w:p>
        </w:tc>
        <w:tc>
          <w:tcPr>
            <w:tcW w:w="8648" w:type="dxa"/>
          </w:tcPr>
          <w:p w:rsidR="00337D92" w:rsidRPr="00861C29" w:rsidRDefault="00337D92" w:rsidP="005D4386">
            <w:pPr>
              <w:jc w:val="both"/>
              <w:cnfStyle w:val="000000000000" w:firstRow="0" w:lastRow="0" w:firstColumn="0" w:lastColumn="0" w:oddVBand="0" w:evenVBand="0" w:oddHBand="0" w:evenHBand="0" w:firstRowFirstColumn="0" w:firstRowLastColumn="0" w:lastRowFirstColumn="0" w:lastRowLastColumn="0"/>
            </w:pPr>
            <w:r w:rsidRPr="00861C29">
              <w:rPr>
                <w:b/>
              </w:rPr>
              <w:t>L’augmentation de la vulgarisation des techniques agricoles nouvelles</w:t>
            </w:r>
            <w:r w:rsidRPr="00861C29">
              <w:t xml:space="preserve"> contribuera à l’optimisation des rendements sans un accroissement des terres de culture en défaveur des pâturages.</w:t>
            </w:r>
          </w:p>
          <w:p w:rsidR="00337D92" w:rsidRPr="00861C29" w:rsidRDefault="00337D92" w:rsidP="005D4386">
            <w:pPr>
              <w:jc w:val="both"/>
              <w:cnfStyle w:val="000000000000" w:firstRow="0" w:lastRow="0" w:firstColumn="0" w:lastColumn="0" w:oddVBand="0" w:evenVBand="0" w:oddHBand="0" w:evenHBand="0" w:firstRowFirstColumn="0" w:firstRowLastColumn="0" w:lastRowFirstColumn="0" w:lastRowLastColumn="0"/>
              <w:rPr>
                <w:b/>
              </w:rPr>
            </w:pPr>
            <w:r w:rsidRPr="00861C29">
              <w:t xml:space="preserve"> </w:t>
            </w:r>
            <w:r w:rsidRPr="00861C29">
              <w:rPr>
                <w:b/>
              </w:rPr>
              <w:t>Valorisation et Organisation dans le secteur agricole</w:t>
            </w:r>
            <w:r w:rsidR="005D4386" w:rsidRPr="00861C29">
              <w:rPr>
                <w:b/>
              </w:rPr>
              <w:t> :</w:t>
            </w:r>
          </w:p>
          <w:p w:rsidR="00337D92" w:rsidRPr="00861C29" w:rsidRDefault="00337D92" w:rsidP="005D4386">
            <w:pPr>
              <w:pStyle w:val="PargrafodaLista"/>
              <w:numPr>
                <w:ilvl w:val="0"/>
                <w:numId w:val="279"/>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Une meilleure organisation du segment de la production et de la commercialisation des noix de cajou et des produits céréalière permettra une meilleure valorisation de ces produits.</w:t>
            </w:r>
          </w:p>
          <w:p w:rsidR="00337D92" w:rsidRPr="00861C29" w:rsidRDefault="00337D92" w:rsidP="005D4386">
            <w:pPr>
              <w:pStyle w:val="PargrafodaLista"/>
              <w:numPr>
                <w:ilvl w:val="0"/>
                <w:numId w:val="279"/>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 xml:space="preserve">Le projet permettra de lever certaines contraintes majeures par rapport à la commercialisation des noix de cajou et de booster les cultures vivrières. </w:t>
            </w:r>
          </w:p>
          <w:p w:rsidR="00337D92" w:rsidRPr="00861C29" w:rsidRDefault="00337D92" w:rsidP="005D4386">
            <w:pPr>
              <w:pStyle w:val="PargrafodaLista"/>
              <w:numPr>
                <w:ilvl w:val="0"/>
                <w:numId w:val="279"/>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 xml:space="preserve">La réduction des spéculateurs dans les marchés locaux, </w:t>
            </w:r>
          </w:p>
          <w:p w:rsidR="00337D92" w:rsidRPr="00861C29" w:rsidRDefault="00337D92" w:rsidP="005D4386">
            <w:pPr>
              <w:pStyle w:val="PargrafodaLista"/>
              <w:numPr>
                <w:ilvl w:val="0"/>
                <w:numId w:val="279"/>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 xml:space="preserve">La restauration de la confiance des producteurs aux opérateurs à travers des mécanismes de contractualisation plus adaptés. </w:t>
            </w:r>
          </w:p>
          <w:p w:rsidR="00337D92" w:rsidRPr="00861C29" w:rsidRDefault="00337D92" w:rsidP="005D4386">
            <w:pPr>
              <w:pStyle w:val="PargrafodaLista"/>
              <w:numPr>
                <w:ilvl w:val="0"/>
                <w:numId w:val="279"/>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 xml:space="preserve">L’intensification de la riziculture va consacrer la diversification de la production agricole permettant non seulement une autosuffisance alimentaire, mais aussi un enrichissement des zones de culture par les rotations culturales. </w:t>
            </w:r>
          </w:p>
          <w:p w:rsidR="00337D92" w:rsidRPr="00861C29" w:rsidRDefault="00337D92" w:rsidP="005D4386">
            <w:pPr>
              <w:pStyle w:val="Pargrafoda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37D92" w:rsidRPr="00861C29" w:rsidRDefault="00337D92" w:rsidP="005D4386">
            <w:pPr>
              <w:jc w:val="both"/>
              <w:cnfStyle w:val="000000000000" w:firstRow="0" w:lastRow="0" w:firstColumn="0" w:lastColumn="0" w:oddVBand="0" w:evenVBand="0" w:oddHBand="0" w:evenHBand="0" w:firstRowFirstColumn="0" w:firstRowLastColumn="0" w:lastRowFirstColumn="0" w:lastRowLastColumn="0"/>
              <w:rPr>
                <w:b/>
              </w:rPr>
            </w:pPr>
            <w:r w:rsidRPr="00861C29">
              <w:rPr>
                <w:b/>
              </w:rPr>
              <w:t>La fourniture de semences et d’engrais va permettre de doper le système de production agricole dans une perspective d’autosuffisance alimentaire ;</w:t>
            </w:r>
          </w:p>
          <w:p w:rsidR="00337D92" w:rsidRPr="00861C29" w:rsidRDefault="00337D92" w:rsidP="005D4386">
            <w:pPr>
              <w:jc w:val="both"/>
              <w:cnfStyle w:val="000000000000" w:firstRow="0" w:lastRow="0" w:firstColumn="0" w:lastColumn="0" w:oddVBand="0" w:evenVBand="0" w:oddHBand="0" w:evenHBand="0" w:firstRowFirstColumn="0" w:firstRowLastColumn="0" w:lastRowFirstColumn="0" w:lastRowLastColumn="0"/>
              <w:rPr>
                <w:b/>
              </w:rPr>
            </w:pPr>
            <w:r w:rsidRPr="00861C29">
              <w:rPr>
                <w:b/>
              </w:rPr>
              <w:t>Les infrastructures et équipement de production comme les motoculteurs sont un important vecteur de développement des capacités, d’amélioration de la productivité, de gain de compétitivité et finalement de développement économique et d’amélioration des conditions de vie et de revenus des producteurs ;</w:t>
            </w:r>
          </w:p>
          <w:p w:rsidR="00337D92" w:rsidRPr="00861C29" w:rsidRDefault="00337D92" w:rsidP="005D4386">
            <w:pPr>
              <w:jc w:val="both"/>
              <w:cnfStyle w:val="000000000000" w:firstRow="0" w:lastRow="0" w:firstColumn="0" w:lastColumn="0" w:oddVBand="0" w:evenVBand="0" w:oddHBand="0" w:evenHBand="0" w:firstRowFirstColumn="0" w:firstRowLastColumn="0" w:lastRowFirstColumn="0" w:lastRowLastColumn="0"/>
              <w:rPr>
                <w:b/>
              </w:rPr>
            </w:pPr>
            <w:r w:rsidRPr="00861C29">
              <w:rPr>
                <w:b/>
                <w:color w:val="000000"/>
                <w:lang w:eastAsia="en-US"/>
              </w:rPr>
              <w:t>Les services de conseils pour les producteurs vont consacrer une meilleure maîtrise de la production et de la productivité des périmètres rizicoles en permettant non seulement une autosuffisance alimentaire ;</w:t>
            </w:r>
          </w:p>
          <w:p w:rsidR="00337D92" w:rsidRPr="00861C29" w:rsidRDefault="00337D92" w:rsidP="005D4386">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b/>
              </w:rPr>
            </w:pPr>
            <w:r w:rsidRPr="00861C29">
              <w:rPr>
                <w:rFonts w:eastAsia="Calibri"/>
                <w:b/>
              </w:rPr>
              <w:t>Amélioration des conditions de vie de la population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la réduction de la pauvreté au niveau des populations vulnérables exposées à l’insécurité alimentaire</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l’amélioration des conditions de vie des agriculteurs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la sédentarisation des populations à la recherche de terre appro</w:t>
            </w:r>
            <w:r w:rsidR="005D4386" w:rsidRPr="00861C29">
              <w:rPr>
                <w:rFonts w:ascii="Times New Roman" w:hAnsi="Times New Roman"/>
                <w:sz w:val="24"/>
                <w:szCs w:val="24"/>
              </w:rPr>
              <w:t xml:space="preserve">priées à leur choix de culture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l’amélioration de la santé des populations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la réduction des conflits d’usages et d’exploitation entre les éleveurs, les agriculteurs et les transhumants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 xml:space="preserve">Au renforcement des capacités financières des bénéficiaires pour mieux lutter contre la pauvreté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lastRenderedPageBreak/>
              <w:t>À l’amélioration de la situation nutritionnelle des populations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l’amélioration des revenues financières des femmes.</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Au renforcement des capacités et des formations pour les femmes dans les activités de transformation des produits agricoles ;</w:t>
            </w:r>
          </w:p>
          <w:p w:rsidR="00337D92" w:rsidRPr="00861C29" w:rsidRDefault="00337D92" w:rsidP="005D4386">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b/>
              </w:rPr>
            </w:pPr>
            <w:r w:rsidRPr="00861C29">
              <w:rPr>
                <w:rFonts w:eastAsia="Calibri"/>
                <w:b/>
              </w:rPr>
              <w:t>Appui à la mise en valeur et renforcement des capacités permettra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assurer une production suffisante et permanente des produits agricoles (produit vivrière)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assurer l’accès à une ligne de crédit aux petits producteurs et aux GIE ou fédération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l’amélioration des connaissances concernant les techniques de transformation et de conservation des filières prioritaires pour atteindre la sécurité alimentaire dans le pays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A l’augmentation d’une bonne prise en compte des effets néfastes des changements climatiques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A l’Intensification de la production et optimisation des rendements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À encourager la volonté d’entreprenariat chez les jeunes et les femmes (leadership des femmes et des jeunes) dans les activités de développement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 xml:space="preserve">À avoir une meilleure maîtrise de la production et de la productivité des périmètres rizicoles et d’anacardiers en permettant non seulement une autosuffisance alimentaire, mais aussi une préservation des zones de culture par l’intégration de mesures environnementales de protection des milieux sensibles.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A La vulgarisation de techniques agricoles nouvelles contribuera à l’optimisation des rendements ;</w:t>
            </w:r>
          </w:p>
          <w:p w:rsidR="00337D92" w:rsidRPr="00861C29" w:rsidRDefault="00337D92" w:rsidP="005D4386">
            <w:pPr>
              <w:spacing w:before="120" w:after="120"/>
              <w:jc w:val="both"/>
              <w:cnfStyle w:val="000000000000" w:firstRow="0" w:lastRow="0" w:firstColumn="0" w:lastColumn="0" w:oddVBand="0" w:evenVBand="0" w:oddHBand="0" w:evenHBand="0" w:firstRowFirstColumn="0" w:firstRowLastColumn="0" w:lastRowFirstColumn="0" w:lastRowLastColumn="0"/>
            </w:pPr>
            <w:r w:rsidRPr="00861C29">
              <w:rPr>
                <w:rFonts w:eastAsia="Calibri"/>
                <w:b/>
              </w:rPr>
              <w:t>Le projet va favoriser la prise en compte des aspects du genre et du processus d’intégration des notions d’équité dans l’exécution des activités</w:t>
            </w:r>
            <w:r w:rsidRPr="00861C29" w:rsidDel="00D5504E">
              <w:t xml:space="preserve"> </w:t>
            </w:r>
          </w:p>
        </w:tc>
      </w:tr>
      <w:tr w:rsidR="00337D92" w:rsidRPr="00861C29" w:rsidTr="009B2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FFFFFF"/>
            <w:vAlign w:val="center"/>
          </w:tcPr>
          <w:p w:rsidR="00337D92" w:rsidRPr="00861C29" w:rsidRDefault="00337D92" w:rsidP="006552F3">
            <w:pPr>
              <w:widowControl w:val="0"/>
              <w:autoSpaceDE w:val="0"/>
              <w:autoSpaceDN w:val="0"/>
              <w:adjustRightInd w:val="0"/>
              <w:spacing w:after="240"/>
              <w:jc w:val="center"/>
              <w:rPr>
                <w:rFonts w:eastAsia="Calibri"/>
                <w:color w:val="000000"/>
              </w:rPr>
            </w:pPr>
            <w:r w:rsidRPr="00861C29">
              <w:rPr>
                <w:u w:val="single"/>
              </w:rPr>
              <w:lastRenderedPageBreak/>
              <w:t>Soutien aux Filets de Sécurité communautaires (</w:t>
            </w:r>
            <w:r w:rsidRPr="00861C29">
              <w:t>la réhabilitation des structures de stockage, l’ouverture de routes d’accès aux zones de production agricole, la construction de marchés locaux, etc.)</w:t>
            </w:r>
          </w:p>
        </w:tc>
        <w:tc>
          <w:tcPr>
            <w:tcW w:w="8648" w:type="dxa"/>
            <w:shd w:val="clear" w:color="auto" w:fill="DEEAF6" w:themeFill="accent1" w:themeFillTint="33"/>
          </w:tcPr>
          <w:p w:rsidR="00337D92" w:rsidRPr="00861C29" w:rsidRDefault="00337D92" w:rsidP="00264F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861C29">
              <w:rPr>
                <w:rFonts w:eastAsia="Calibri"/>
                <w:b/>
              </w:rPr>
              <w:t>Phase de mise en œuvre du projet</w:t>
            </w:r>
          </w:p>
        </w:tc>
      </w:tr>
      <w:tr w:rsidR="00337D92" w:rsidRPr="00861C29" w:rsidTr="009B22F3">
        <w:trPr>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vAlign w:val="center"/>
          </w:tcPr>
          <w:p w:rsidR="00337D92" w:rsidRPr="00861C29" w:rsidRDefault="00337D92">
            <w:pPr>
              <w:widowControl w:val="0"/>
              <w:autoSpaceDE w:val="0"/>
              <w:autoSpaceDN w:val="0"/>
              <w:adjustRightInd w:val="0"/>
              <w:spacing w:after="240"/>
              <w:rPr>
                <w:b w:val="0"/>
                <w:u w:val="single"/>
              </w:rPr>
            </w:pPr>
          </w:p>
        </w:tc>
        <w:tc>
          <w:tcPr>
            <w:tcW w:w="8648" w:type="dxa"/>
            <w:shd w:val="clear" w:color="auto" w:fill="auto"/>
          </w:tcPr>
          <w:p w:rsidR="00337D92" w:rsidRPr="00861C29" w:rsidRDefault="00337D92" w:rsidP="00D47C37">
            <w:pPr>
              <w:numPr>
                <w:ilvl w:val="0"/>
                <w:numId w:val="59"/>
              </w:numPr>
              <w:ind w:left="0" w:right="432"/>
              <w:jc w:val="both"/>
              <w:cnfStyle w:val="000000000000" w:firstRow="0" w:lastRow="0" w:firstColumn="0" w:lastColumn="0" w:oddVBand="0" w:evenVBand="0" w:oddHBand="0" w:evenHBand="0" w:firstRowFirstColumn="0" w:firstRowLastColumn="0" w:lastRowFirstColumn="0" w:lastRowLastColumn="0"/>
              <w:rPr>
                <w:b/>
                <w:bCs/>
                <w:i/>
                <w:iCs/>
              </w:rPr>
            </w:pPr>
            <w:r w:rsidRPr="00861C29">
              <w:rPr>
                <w:rFonts w:eastAsia="Calibri"/>
              </w:rPr>
              <w:t>Opportunités d’affaires pour des opérateurs économiques privés</w:t>
            </w:r>
          </w:p>
          <w:p w:rsidR="00337D92" w:rsidRPr="00861C29" w:rsidRDefault="00337D92" w:rsidP="00D47C37">
            <w:pPr>
              <w:numPr>
                <w:ilvl w:val="0"/>
                <w:numId w:val="59"/>
              </w:numPr>
              <w:ind w:left="0" w:right="432"/>
              <w:jc w:val="both"/>
              <w:cnfStyle w:val="000000000000" w:firstRow="0" w:lastRow="0" w:firstColumn="0" w:lastColumn="0" w:oddVBand="0" w:evenVBand="0" w:oddHBand="0" w:evenHBand="0" w:firstRowFirstColumn="0" w:firstRowLastColumn="0" w:lastRowFirstColumn="0" w:lastRowLastColumn="0"/>
              <w:rPr>
                <w:bCs/>
                <w:iCs/>
              </w:rPr>
            </w:pPr>
            <w:r w:rsidRPr="00861C29">
              <w:rPr>
                <w:bCs/>
                <w:iCs/>
              </w:rPr>
              <w:t xml:space="preserve">Le programme « travail contre nourriture » ou « vivres contre travail » favorisera la réalisation de travaux communautaires et permet aux volontaires d’avoir un emploi temporaire. </w:t>
            </w:r>
          </w:p>
        </w:tc>
      </w:tr>
      <w:tr w:rsidR="00337D92" w:rsidRPr="00861C29" w:rsidTr="009B2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vAlign w:val="center"/>
          </w:tcPr>
          <w:p w:rsidR="00337D92" w:rsidRPr="00861C29" w:rsidRDefault="00337D92">
            <w:pPr>
              <w:widowControl w:val="0"/>
              <w:autoSpaceDE w:val="0"/>
              <w:autoSpaceDN w:val="0"/>
              <w:adjustRightInd w:val="0"/>
              <w:spacing w:after="240"/>
              <w:rPr>
                <w:b w:val="0"/>
                <w:u w:val="single"/>
              </w:rPr>
            </w:pPr>
          </w:p>
        </w:tc>
        <w:tc>
          <w:tcPr>
            <w:tcW w:w="8648" w:type="dxa"/>
            <w:shd w:val="clear" w:color="auto" w:fill="DEEAF6" w:themeFill="accent1" w:themeFillTint="33"/>
          </w:tcPr>
          <w:p w:rsidR="00337D92" w:rsidRPr="00861C29" w:rsidRDefault="00337D92" w:rsidP="00D47C37">
            <w:pPr>
              <w:autoSpaceDE w:val="0"/>
              <w:autoSpaceDN w:val="0"/>
              <w:adjustRightInd w:val="0"/>
              <w:ind w:right="432"/>
              <w:jc w:val="center"/>
              <w:cnfStyle w:val="000000100000" w:firstRow="0" w:lastRow="0" w:firstColumn="0" w:lastColumn="0" w:oddVBand="0" w:evenVBand="0" w:oddHBand="1" w:evenHBand="0" w:firstRowFirstColumn="0" w:firstRowLastColumn="0" w:lastRowFirstColumn="0" w:lastRowLastColumn="0"/>
              <w:rPr>
                <w:rFonts w:eastAsia="Calibri"/>
                <w:b/>
              </w:rPr>
            </w:pPr>
            <w:r w:rsidRPr="00861C29">
              <w:rPr>
                <w:rFonts w:eastAsia="Calibri"/>
                <w:b/>
              </w:rPr>
              <w:t>Phase d’exploitation</w:t>
            </w:r>
          </w:p>
        </w:tc>
      </w:tr>
      <w:tr w:rsidR="00337D92" w:rsidRPr="00861C29" w:rsidTr="009B22F3">
        <w:trPr>
          <w:trHeight w:val="390"/>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vAlign w:val="center"/>
          </w:tcPr>
          <w:p w:rsidR="00337D92" w:rsidRPr="00861C29" w:rsidRDefault="00337D92">
            <w:pPr>
              <w:rPr>
                <w:rFonts w:eastAsia="Calibri"/>
                <w:color w:val="000000"/>
              </w:rPr>
            </w:pPr>
          </w:p>
        </w:tc>
        <w:tc>
          <w:tcPr>
            <w:tcW w:w="8648" w:type="dxa"/>
            <w:shd w:val="clear" w:color="auto" w:fill="FFFFFF"/>
          </w:tcPr>
          <w:p w:rsidR="00337D92" w:rsidRPr="00861C29" w:rsidRDefault="00337D92" w:rsidP="005D4386">
            <w:pPr>
              <w:numPr>
                <w:ilvl w:val="0"/>
                <w:numId w:val="59"/>
              </w:numPr>
              <w:ind w:left="0"/>
              <w:jc w:val="both"/>
              <w:cnfStyle w:val="000000000000" w:firstRow="0" w:lastRow="0" w:firstColumn="0" w:lastColumn="0" w:oddVBand="0" w:evenVBand="0" w:oddHBand="0" w:evenHBand="0" w:firstRowFirstColumn="0" w:firstRowLastColumn="0" w:lastRowFirstColumn="0" w:lastRowLastColumn="0"/>
              <w:rPr>
                <w:rFonts w:eastAsia="Calibri"/>
                <w:b/>
              </w:rPr>
            </w:pPr>
            <w:r w:rsidRPr="00861C29">
              <w:rPr>
                <w:rFonts w:eastAsia="Calibri"/>
                <w:b/>
              </w:rPr>
              <w:t xml:space="preserve">Opportunités d’emplois </w:t>
            </w:r>
          </w:p>
          <w:p w:rsidR="00337D92" w:rsidRPr="00861C29" w:rsidRDefault="00337D92" w:rsidP="005D4386">
            <w:pPr>
              <w:numPr>
                <w:ilvl w:val="0"/>
                <w:numId w:val="59"/>
              </w:numPr>
              <w:ind w:left="0"/>
              <w:jc w:val="both"/>
              <w:cnfStyle w:val="000000000000" w:firstRow="0" w:lastRow="0" w:firstColumn="0" w:lastColumn="0" w:oddVBand="0" w:evenVBand="0" w:oddHBand="0" w:evenHBand="0" w:firstRowFirstColumn="0" w:firstRowLastColumn="0" w:lastRowFirstColumn="0" w:lastRowLastColumn="0"/>
              <w:rPr>
                <w:rFonts w:eastAsia="Calibri"/>
                <w:b/>
              </w:rPr>
            </w:pPr>
            <w:r w:rsidRPr="00861C29">
              <w:rPr>
                <w:rFonts w:eastAsia="Calibri"/>
                <w:b/>
              </w:rPr>
              <w:t>Amélioration des conditions socio-économiques</w:t>
            </w:r>
            <w:r w:rsidR="005D4386" w:rsidRPr="00861C29">
              <w:rPr>
                <w:rFonts w:eastAsia="Calibri"/>
                <w:b/>
              </w:rPr>
              <w:t>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L’impulser un développement quantitatif et qualitatif de la gestion des affaires ;</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Intensification de la production et optimisation des rendements</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Les marchés locaux permettront la sécurisation des ventes et l’augmentation des revenus des producteurs.</w:t>
            </w:r>
          </w:p>
          <w:p w:rsidR="00337D92" w:rsidRPr="00861C29" w:rsidRDefault="00337D92" w:rsidP="005D4386">
            <w:pPr>
              <w:pStyle w:val="PargrafodaLista"/>
              <w:numPr>
                <w:ilvl w:val="0"/>
                <w:numId w:val="280"/>
              </w:numPr>
              <w:spacing w:after="0" w:line="240" w:lineRule="auto"/>
              <w:ind w:left="234" w:hanging="2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 xml:space="preserve">Les routes d’accès vont améliorer positivement la qualité et la gestion des productions.  </w:t>
            </w:r>
          </w:p>
          <w:p w:rsidR="00337D92" w:rsidRPr="00861C29" w:rsidRDefault="00337D92" w:rsidP="005D4386">
            <w:pPr>
              <w:numPr>
                <w:ilvl w:val="0"/>
                <w:numId w:val="59"/>
              </w:numPr>
              <w:ind w:left="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861C29">
              <w:rPr>
                <w:b/>
              </w:rPr>
              <w:t xml:space="preserve">Le développement de l’élevage garce à la réduction des difficultés des éleveurs par rapport à la santé des animaux, l’amélioration de la qualité des services offerts aux transhumants notamment la sécurité alimentaire, des conditions d'accès aux infrastructures sociales, au développement de l'entreprenariat rural dans le domaine de l'élevage (embouche ovine et </w:t>
            </w:r>
            <w:r w:rsidRPr="00861C29">
              <w:rPr>
                <w:b/>
              </w:rPr>
              <w:lastRenderedPageBreak/>
              <w:t>caprine &amp; avicole), à l'amélioration de la qualité nutritionnelle de la famille ;</w:t>
            </w:r>
          </w:p>
        </w:tc>
      </w:tr>
    </w:tbl>
    <w:p w:rsidR="0032107B" w:rsidRPr="00861C29" w:rsidRDefault="0032107B" w:rsidP="005D4386"/>
    <w:p w:rsidR="00337D92" w:rsidRPr="00861C29" w:rsidRDefault="00BD7A69" w:rsidP="00955A05">
      <w:pPr>
        <w:pStyle w:val="PargrafodaLista"/>
        <w:spacing w:after="0" w:line="240" w:lineRule="auto"/>
        <w:ind w:left="0"/>
        <w:outlineLvl w:val="1"/>
        <w:rPr>
          <w:rFonts w:ascii="Times New Roman" w:hAnsi="Times New Roman"/>
          <w:b/>
          <w:bCs/>
          <w:sz w:val="24"/>
          <w:szCs w:val="24"/>
        </w:rPr>
      </w:pPr>
      <w:bookmarkStart w:id="29" w:name="_Toc75432216"/>
      <w:r w:rsidRPr="00861C29">
        <w:rPr>
          <w:rFonts w:ascii="Times New Roman" w:hAnsi="Times New Roman"/>
          <w:b/>
          <w:bCs/>
          <w:sz w:val="24"/>
          <w:szCs w:val="24"/>
        </w:rPr>
        <w:t>Synthèse des impacts</w:t>
      </w:r>
      <w:r w:rsidRPr="00861C29">
        <w:rPr>
          <w:rFonts w:ascii="Times New Roman" w:hAnsi="Times New Roman"/>
          <w:b/>
          <w:sz w:val="24"/>
          <w:szCs w:val="24"/>
        </w:rPr>
        <w:t xml:space="preserve"> </w:t>
      </w:r>
      <w:r w:rsidR="00337D92" w:rsidRPr="00861C29">
        <w:rPr>
          <w:rFonts w:ascii="Times New Roman" w:hAnsi="Times New Roman"/>
          <w:b/>
          <w:bCs/>
          <w:sz w:val="24"/>
          <w:szCs w:val="24"/>
        </w:rPr>
        <w:t>négatifs et les mesures d’atténuation et/ou évitement des impacts négatifs du projet</w:t>
      </w:r>
      <w:bookmarkEnd w:id="29"/>
    </w:p>
    <w:p w:rsidR="00E41711" w:rsidRPr="00861C29" w:rsidRDefault="00E41711" w:rsidP="00955A05">
      <w:pPr>
        <w:pStyle w:val="Cabealho6"/>
        <w:numPr>
          <w:ilvl w:val="5"/>
          <w:numId w:val="109"/>
        </w:numPr>
        <w:spacing w:line="240" w:lineRule="auto"/>
        <w:ind w:left="993"/>
        <w:jc w:val="both"/>
        <w:rPr>
          <w:rFonts w:ascii="Times New Roman" w:hAnsi="Times New Roman"/>
          <w:b/>
          <w:i w:val="0"/>
          <w:iCs w:val="0"/>
          <w:sz w:val="24"/>
          <w:szCs w:val="24"/>
        </w:rPr>
      </w:pPr>
      <w:r w:rsidRPr="00861C29">
        <w:rPr>
          <w:rFonts w:ascii="Times New Roman" w:hAnsi="Times New Roman"/>
          <w:b/>
          <w:i w:val="0"/>
          <w:iCs w:val="0"/>
          <w:color w:val="auto"/>
          <w:sz w:val="24"/>
          <w:szCs w:val="24"/>
        </w:rPr>
        <w:t>Soutien à la production agricole</w:t>
      </w:r>
    </w:p>
    <w:p w:rsidR="00E41711" w:rsidRPr="00861C29" w:rsidRDefault="00E41711" w:rsidP="00955A05">
      <w:pPr>
        <w:jc w:val="both"/>
      </w:pPr>
      <w:r w:rsidRPr="00861C29">
        <w:t>Pour atteindre les objectifs de la composante 1, ces mesures ci-dessous ont été proposées pour atténuer les différents impacts lister ci-dessous :</w:t>
      </w:r>
    </w:p>
    <w:p w:rsidR="00E41711" w:rsidRPr="00861C29" w:rsidRDefault="00E41711" w:rsidP="005D4386"/>
    <w:tbl>
      <w:tblPr>
        <w:tblStyle w:val="TableauGrille1Clair-Accentuation61"/>
        <w:tblW w:w="9919" w:type="dxa"/>
        <w:jc w:val="center"/>
        <w:tblLayout w:type="fixed"/>
        <w:tblLook w:val="04A0" w:firstRow="1" w:lastRow="0" w:firstColumn="1" w:lastColumn="0" w:noHBand="0" w:noVBand="1"/>
      </w:tblPr>
      <w:tblGrid>
        <w:gridCol w:w="1276"/>
        <w:gridCol w:w="3969"/>
        <w:gridCol w:w="4674"/>
      </w:tblGrid>
      <w:tr w:rsidR="00337D92" w:rsidRPr="00861C29" w:rsidTr="00955A05">
        <w:trPr>
          <w:cnfStyle w:val="100000000000" w:firstRow="1" w:lastRow="0" w:firstColumn="0" w:lastColumn="0" w:oddVBand="0" w:evenVBand="0" w:oddHBand="0"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E2EFD9" w:themeFill="accent6" w:themeFillTint="33"/>
            <w:vAlign w:val="center"/>
          </w:tcPr>
          <w:p w:rsidR="00337D92" w:rsidRPr="00861C29" w:rsidRDefault="00337D92" w:rsidP="006552F3">
            <w:pPr>
              <w:autoSpaceDE w:val="0"/>
              <w:autoSpaceDN w:val="0"/>
              <w:adjustRightInd w:val="0"/>
              <w:jc w:val="center"/>
              <w:rPr>
                <w:color w:val="000000" w:themeColor="text1"/>
              </w:rPr>
            </w:pPr>
            <w:r w:rsidRPr="00861C29">
              <w:rPr>
                <w:color w:val="000000" w:themeColor="text1"/>
              </w:rPr>
              <w:t>Activités</w:t>
            </w:r>
          </w:p>
        </w:tc>
        <w:tc>
          <w:tcPr>
            <w:tcW w:w="3969" w:type="dxa"/>
            <w:shd w:val="clear" w:color="auto" w:fill="E2EFD9" w:themeFill="accent6" w:themeFillTint="33"/>
            <w:vAlign w:val="center"/>
          </w:tcPr>
          <w:p w:rsidR="00337D92" w:rsidRPr="00861C29" w:rsidRDefault="00337D92" w:rsidP="00264F9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61C29">
              <w:rPr>
                <w:color w:val="000000" w:themeColor="text1"/>
              </w:rPr>
              <w:t xml:space="preserve">Impacts négatifs potentiels </w:t>
            </w:r>
          </w:p>
        </w:tc>
        <w:tc>
          <w:tcPr>
            <w:tcW w:w="4674" w:type="dxa"/>
            <w:shd w:val="clear" w:color="auto" w:fill="E2EFD9" w:themeFill="accent6" w:themeFillTint="33"/>
            <w:vAlign w:val="center"/>
          </w:tcPr>
          <w:p w:rsidR="00337D92" w:rsidRPr="00861C29" w:rsidRDefault="00337D92" w:rsidP="006A05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61C29">
              <w:rPr>
                <w:color w:val="000000" w:themeColor="text1"/>
              </w:rPr>
              <w:t>Atténuation et/ou évitement</w:t>
            </w:r>
          </w:p>
        </w:tc>
      </w:tr>
      <w:tr w:rsidR="00337D92" w:rsidRPr="00861C29" w:rsidTr="00955A05">
        <w:trPr>
          <w:trHeight w:val="53"/>
          <w:jc w:val="center"/>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vAlign w:val="center"/>
          </w:tcPr>
          <w:p w:rsidR="00337D92" w:rsidRPr="00861C29" w:rsidRDefault="00337D92" w:rsidP="006552F3">
            <w:pPr>
              <w:pStyle w:val="Cabealho6"/>
              <w:numPr>
                <w:ilvl w:val="0"/>
                <w:numId w:val="0"/>
              </w:numPr>
              <w:spacing w:line="240" w:lineRule="auto"/>
              <w:ind w:right="217"/>
              <w:jc w:val="both"/>
              <w:outlineLvl w:val="5"/>
              <w:rPr>
                <w:rFonts w:ascii="Times New Roman" w:hAnsi="Times New Roman"/>
                <w:i w:val="0"/>
                <w:iCs w:val="0"/>
                <w:sz w:val="24"/>
                <w:szCs w:val="24"/>
              </w:rPr>
            </w:pPr>
            <w:r w:rsidRPr="00861C29">
              <w:rPr>
                <w:rFonts w:ascii="Times New Roman" w:hAnsi="Times New Roman"/>
                <w:i w:val="0"/>
                <w:iCs w:val="0"/>
                <w:color w:val="auto"/>
                <w:sz w:val="24"/>
                <w:szCs w:val="24"/>
              </w:rPr>
              <w:t>Soutien à la production agricole</w:t>
            </w:r>
          </w:p>
          <w:p w:rsidR="00337D92" w:rsidRPr="00861C29" w:rsidRDefault="00337D92" w:rsidP="00264F95">
            <w:pPr>
              <w:spacing w:before="60" w:after="60"/>
              <w:jc w:val="center"/>
              <w:rPr>
                <w:color w:val="000000" w:themeColor="text1"/>
              </w:rPr>
            </w:pPr>
          </w:p>
        </w:tc>
        <w:tc>
          <w:tcPr>
            <w:tcW w:w="8643" w:type="dxa"/>
            <w:gridSpan w:val="2"/>
            <w:shd w:val="clear" w:color="auto" w:fill="DEEAF6" w:themeFill="accent1" w:themeFillTint="33"/>
            <w:vAlign w:val="center"/>
          </w:tcPr>
          <w:p w:rsidR="00337D92" w:rsidRPr="00861C29" w:rsidRDefault="00337D92" w:rsidP="006A05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61C29">
              <w:rPr>
                <w:b/>
                <w:color w:val="000000" w:themeColor="text1"/>
              </w:rPr>
              <w:t>En phase travaux</w:t>
            </w:r>
          </w:p>
        </w:tc>
      </w:tr>
      <w:tr w:rsidR="00337D92" w:rsidRPr="00861C29" w:rsidTr="00955A05">
        <w:trPr>
          <w:trHeight w:val="96"/>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pPr>
              <w:spacing w:before="60" w:after="60"/>
              <w:jc w:val="center"/>
            </w:pPr>
          </w:p>
        </w:tc>
        <w:tc>
          <w:tcPr>
            <w:tcW w:w="3969" w:type="dxa"/>
            <w:shd w:val="clear" w:color="auto" w:fill="auto"/>
          </w:tcPr>
          <w:p w:rsidR="00337D92" w:rsidRPr="00861C29" w:rsidRDefault="00337D92" w:rsidP="00D47C37">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mauvais ciblages des acteurs concernés par ce projet ;</w:t>
            </w:r>
          </w:p>
        </w:tc>
        <w:tc>
          <w:tcPr>
            <w:tcW w:w="4674" w:type="dxa"/>
            <w:vMerge w:val="restart"/>
          </w:tcPr>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Impliquer les acteurs concernés (Services techniques, autorités, chefs de village, associations) par le projet PUSA dans les processus de ciblages des bénéficiers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 xml:space="preserve">Éviter de politiser les activités du projet au niveau de l’État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Mettre en place et respecter les critères de ciblages et de proposer des mesures de vérification transparente du respect des critères</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Organiser des journées d’information et de sensibilisation des acteurs surtout au niveau local,</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Procéder à une meilleure cible des zones et des populations les plus vulnérables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Impliquer les femmes dans les procédures de cibles,</w:t>
            </w:r>
          </w:p>
        </w:tc>
      </w:tr>
      <w:tr w:rsidR="00337D92" w:rsidRPr="00861C29" w:rsidTr="00955A05">
        <w:trPr>
          <w:trHeight w:val="1256"/>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pPr>
              <w:spacing w:before="60" w:after="60"/>
              <w:jc w:val="center"/>
            </w:pPr>
          </w:p>
        </w:tc>
        <w:tc>
          <w:tcPr>
            <w:tcW w:w="3969" w:type="dxa"/>
            <w:shd w:val="clear" w:color="auto" w:fill="auto"/>
          </w:tcPr>
          <w:p w:rsidR="00337D92" w:rsidRPr="00861C29" w:rsidRDefault="00337D92" w:rsidP="00D47C37">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Le risque d’absence d’équité et de transparence, ainsi que la discrimination dans la procédure d’allocation et d’appui aux bénéficiaires pourraient entraîner des conflits sociaux pouvant compromettre l’atteinte des résultats escomptés par le projet </w:t>
            </w:r>
          </w:p>
        </w:tc>
        <w:tc>
          <w:tcPr>
            <w:tcW w:w="4674" w:type="dxa"/>
            <w:vMerge/>
          </w:tcPr>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r>
      <w:tr w:rsidR="00337D92" w:rsidRPr="00861C29" w:rsidTr="00955A05">
        <w:trPr>
          <w:trHeight w:val="514"/>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pPr>
              <w:spacing w:before="60" w:after="60"/>
              <w:jc w:val="center"/>
            </w:pPr>
          </w:p>
        </w:tc>
        <w:tc>
          <w:tcPr>
            <w:tcW w:w="3969" w:type="dxa"/>
            <w:shd w:val="clear" w:color="auto" w:fill="auto"/>
          </w:tcPr>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conflit entre les différents acteurs concernés par les soutiens du projet ;</w:t>
            </w:r>
          </w:p>
        </w:tc>
        <w:tc>
          <w:tcPr>
            <w:tcW w:w="4674" w:type="dxa"/>
          </w:tcPr>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Veiller à une bonne gestion du projet en impliquant l’ensembles des acteurs concernés sans discrimination et de favoriser la transmission des informations entre eux</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Éviter autant que possible les phénomènes de frustration au niveau des bénéficiaires en impliquant l’ensembles des autorités au niveau locale et de tenir informer les bénéficiaires ;</w:t>
            </w:r>
          </w:p>
        </w:tc>
      </w:tr>
      <w:tr w:rsidR="00337D92" w:rsidRPr="00861C29" w:rsidTr="00955A05">
        <w:trPr>
          <w:trHeight w:val="1201"/>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pPr>
              <w:spacing w:before="60" w:after="60"/>
              <w:jc w:val="center"/>
            </w:pPr>
          </w:p>
        </w:tc>
        <w:tc>
          <w:tcPr>
            <w:tcW w:w="3969" w:type="dxa"/>
            <w:shd w:val="clear" w:color="auto" w:fill="auto"/>
          </w:tcPr>
          <w:p w:rsidR="00337D92" w:rsidRPr="00861C29" w:rsidRDefault="00337D92" w:rsidP="00D47C37">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distribution de mauvais semence ou d’engrais ou de matériel ;</w:t>
            </w:r>
          </w:p>
          <w:p w:rsidR="00337D92" w:rsidRPr="00861C29" w:rsidRDefault="00337D92" w:rsidP="00D47C37">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retard de la mise en œuvre des distributions des semence et d’engrais ;</w:t>
            </w:r>
          </w:p>
        </w:tc>
        <w:tc>
          <w:tcPr>
            <w:tcW w:w="4674" w:type="dxa"/>
          </w:tcPr>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Veiller à la qualité des semences certifiés de même que les pesticides et engrais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Impliquer les services de l’agriculture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Distribuer des semences adapter à la zone d’intervention du projet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Veiller à la qualité des matériels à distribuer;</w:t>
            </w:r>
          </w:p>
        </w:tc>
      </w:tr>
      <w:tr w:rsidR="00337D92" w:rsidRPr="00861C29" w:rsidTr="00955A05">
        <w:trPr>
          <w:trHeight w:val="715"/>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pPr>
              <w:spacing w:before="60" w:after="60"/>
              <w:jc w:val="center"/>
            </w:pPr>
          </w:p>
        </w:tc>
        <w:tc>
          <w:tcPr>
            <w:tcW w:w="3969" w:type="dxa"/>
            <w:shd w:val="clear" w:color="auto" w:fill="auto"/>
          </w:tcPr>
          <w:p w:rsidR="00337D92" w:rsidRPr="00861C29" w:rsidRDefault="00337D92" w:rsidP="00D47C37">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détournement des objectifs du projet ;</w:t>
            </w:r>
          </w:p>
          <w:p w:rsidR="00337D92" w:rsidRPr="00861C29" w:rsidRDefault="00337D92" w:rsidP="00D47C37">
            <w:pPr>
              <w:pStyle w:val="PargrafodaLista"/>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c>
          <w:tcPr>
            <w:tcW w:w="4674" w:type="dxa"/>
          </w:tcPr>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 xml:space="preserve">Veiller à la revalorisation du secteur de production, et de la commercialisation de la noix de cajou surtout en se période de la pandémie de la Covid 19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lastRenderedPageBreak/>
              <w:t>Organiser des journées d’information et de sensibilisation des acteurs surtout au niveau local,</w:t>
            </w:r>
          </w:p>
        </w:tc>
      </w:tr>
      <w:tr w:rsidR="00337D92" w:rsidRPr="00861C29" w:rsidTr="00955A05">
        <w:trPr>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pPr>
              <w:spacing w:before="60" w:after="60"/>
              <w:jc w:val="center"/>
            </w:pPr>
          </w:p>
        </w:tc>
        <w:tc>
          <w:tcPr>
            <w:tcW w:w="3969" w:type="dxa"/>
            <w:shd w:val="clear" w:color="auto" w:fill="auto"/>
          </w:tcPr>
          <w:p w:rsidR="00337D92" w:rsidRPr="00861C29" w:rsidRDefault="00337D92" w:rsidP="00D47C37">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 xml:space="preserve">Risque d’abandon des cultures vivrières en faveur l’exploitation de l’anacardier ; </w:t>
            </w:r>
          </w:p>
          <w:p w:rsidR="00337D92" w:rsidRPr="00861C29" w:rsidRDefault="00337D92" w:rsidP="00D47C37">
            <w:pPr>
              <w:pStyle w:val="PargrafodaLista"/>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c>
          <w:tcPr>
            <w:tcW w:w="4674" w:type="dxa"/>
          </w:tcPr>
          <w:p w:rsidR="00337D92" w:rsidRPr="00861C29" w:rsidRDefault="00337D92" w:rsidP="009B22F3">
            <w:pPr>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861C29">
              <w:rPr>
                <w:color w:val="000000" w:themeColor="text1"/>
                <w:lang w:val="fr-CA"/>
              </w:rPr>
              <w:t>- Booster la production des produits céréaliers dans les zones à forte taux d’insécurité alimentaire et/ou cette vulnérabilité,</w:t>
            </w:r>
          </w:p>
          <w:p w:rsidR="00337D92" w:rsidRPr="00861C29" w:rsidRDefault="00337D92" w:rsidP="009B22F3">
            <w:pPr>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861C29">
              <w:rPr>
                <w:color w:val="000000" w:themeColor="text1"/>
                <w:lang w:val="fr-CA"/>
              </w:rPr>
              <w:t>-Revaloriser les cultures vivrières à l’aider des renforcements et d’appuis en matériel et d’aménagement hydro agricole ;</w:t>
            </w:r>
          </w:p>
        </w:tc>
      </w:tr>
      <w:tr w:rsidR="00337D92" w:rsidRPr="00861C29" w:rsidTr="00955A05">
        <w:trPr>
          <w:trHeight w:val="1039"/>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pPr>
              <w:spacing w:before="60" w:after="60"/>
              <w:jc w:val="center"/>
            </w:pPr>
          </w:p>
        </w:tc>
        <w:tc>
          <w:tcPr>
            <w:tcW w:w="3969" w:type="dxa"/>
            <w:shd w:val="clear" w:color="auto" w:fill="auto"/>
          </w:tcPr>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propagation de la pandémie de la Covid-19 ;</w:t>
            </w:r>
          </w:p>
          <w:p w:rsidR="00337D92" w:rsidRPr="00861C29" w:rsidRDefault="00337D92" w:rsidP="00D47C37">
            <w:pPr>
              <w:pStyle w:val="Pargrafoda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c>
          <w:tcPr>
            <w:tcW w:w="4674" w:type="dxa"/>
          </w:tcPr>
          <w:p w:rsidR="00337D92" w:rsidRPr="00861C29" w:rsidRDefault="00337D92" w:rsidP="009B22F3">
            <w:pPr>
              <w:spacing w:line="271" w:lineRule="auto"/>
              <w:cnfStyle w:val="000000000000" w:firstRow="0" w:lastRow="0" w:firstColumn="0" w:lastColumn="0" w:oddVBand="0" w:evenVBand="0" w:oddHBand="0" w:evenHBand="0" w:firstRowFirstColumn="0" w:firstRowLastColumn="0" w:lastRowFirstColumn="0" w:lastRowLastColumn="0"/>
            </w:pPr>
            <w:r w:rsidRPr="00861C29">
              <w:t>- Organiser des campagnes de sensibilisation contre la COVID 19 ;</w:t>
            </w:r>
          </w:p>
          <w:p w:rsidR="00337D92" w:rsidRPr="00861C29" w:rsidRDefault="00337D92" w:rsidP="009B22F3">
            <w:pPr>
              <w:spacing w:line="271" w:lineRule="auto"/>
              <w:cnfStyle w:val="000000000000" w:firstRow="0" w:lastRow="0" w:firstColumn="0" w:lastColumn="0" w:oddVBand="0" w:evenVBand="0" w:oddHBand="0" w:evenHBand="0" w:firstRowFirstColumn="0" w:firstRowLastColumn="0" w:lastRowFirstColumn="0" w:lastRowLastColumn="0"/>
            </w:pPr>
            <w:r w:rsidRPr="00861C29">
              <w:t>- Exiger le port de masque obligatoire ;</w:t>
            </w:r>
          </w:p>
          <w:p w:rsidR="00337D92" w:rsidRPr="00861C29" w:rsidRDefault="00337D92" w:rsidP="009B22F3">
            <w:pPr>
              <w:spacing w:line="271" w:lineRule="auto"/>
              <w:cnfStyle w:val="000000000000" w:firstRow="0" w:lastRow="0" w:firstColumn="0" w:lastColumn="0" w:oddVBand="0" w:evenVBand="0" w:oddHBand="0" w:evenHBand="0" w:firstRowFirstColumn="0" w:firstRowLastColumn="0" w:lastRowFirstColumn="0" w:lastRowLastColumn="0"/>
            </w:pPr>
            <w:r w:rsidRPr="00861C29">
              <w:t>- Distribuer des masques de protection et des gels antiseptiques ;</w:t>
            </w:r>
          </w:p>
          <w:p w:rsidR="00337D92" w:rsidRPr="00861C29" w:rsidRDefault="00337D92" w:rsidP="009B22F3">
            <w:pPr>
              <w:spacing w:line="271" w:lineRule="auto"/>
              <w:cnfStyle w:val="000000000000" w:firstRow="0" w:lastRow="0" w:firstColumn="0" w:lastColumn="0" w:oddVBand="0" w:evenVBand="0" w:oddHBand="0" w:evenHBand="0" w:firstRowFirstColumn="0" w:firstRowLastColumn="0" w:lastRowFirstColumn="0" w:lastRowLastColumn="0"/>
            </w:pPr>
            <w:r w:rsidRPr="00861C29">
              <w:t>-Mettre en place des pictogrammes de sensibilisation contre la Covid 19 ;</w:t>
            </w:r>
          </w:p>
        </w:tc>
      </w:tr>
      <w:tr w:rsidR="00337D92" w:rsidRPr="00861C29" w:rsidTr="00955A05">
        <w:trPr>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rsidP="00D47C37">
            <w:pPr>
              <w:pStyle w:val="PargrafodaLista"/>
              <w:spacing w:line="240" w:lineRule="auto"/>
              <w:ind w:left="0"/>
              <w:jc w:val="center"/>
              <w:rPr>
                <w:rFonts w:ascii="Times New Roman" w:hAnsi="Times New Roman"/>
                <w:color w:val="000000" w:themeColor="text1"/>
                <w:sz w:val="24"/>
                <w:szCs w:val="24"/>
              </w:rPr>
            </w:pPr>
          </w:p>
        </w:tc>
        <w:tc>
          <w:tcPr>
            <w:tcW w:w="8643" w:type="dxa"/>
            <w:gridSpan w:val="2"/>
            <w:shd w:val="clear" w:color="auto" w:fill="DEEAF6" w:themeFill="accent1" w:themeFillTint="33"/>
          </w:tcPr>
          <w:p w:rsidR="00337D92" w:rsidRPr="00861C29" w:rsidRDefault="00337D92" w:rsidP="009B22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61C29">
              <w:rPr>
                <w:b/>
                <w:color w:val="000000" w:themeColor="text1"/>
              </w:rPr>
              <w:t xml:space="preserve">En phase d’exploitation </w:t>
            </w:r>
          </w:p>
        </w:tc>
      </w:tr>
      <w:tr w:rsidR="00337D92" w:rsidRPr="00861C29" w:rsidTr="00955A05">
        <w:trPr>
          <w:trHeight w:val="200"/>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rsidP="00D47C37">
            <w:pPr>
              <w:pStyle w:val="PargrafodaLista"/>
              <w:spacing w:line="240" w:lineRule="auto"/>
              <w:ind w:left="0"/>
              <w:jc w:val="center"/>
              <w:rPr>
                <w:rFonts w:ascii="Times New Roman" w:hAnsi="Times New Roman"/>
                <w:color w:val="000000" w:themeColor="text1"/>
                <w:sz w:val="24"/>
                <w:szCs w:val="24"/>
              </w:rPr>
            </w:pPr>
          </w:p>
        </w:tc>
        <w:tc>
          <w:tcPr>
            <w:tcW w:w="3969" w:type="dxa"/>
            <w:shd w:val="clear" w:color="auto" w:fill="FFFFFF" w:themeFill="background1"/>
          </w:tcPr>
          <w:p w:rsidR="00337D92" w:rsidRPr="00861C29" w:rsidRDefault="00337D92" w:rsidP="00D47C37">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rPr>
              <w:t>Risque de pollution des eaux dans les zones d’intervention du projet pourrait être noter à cause des utilisations irrationnelle d’engrais et pesticides.</w:t>
            </w:r>
          </w:p>
        </w:tc>
        <w:tc>
          <w:tcPr>
            <w:tcW w:w="4674" w:type="dxa"/>
            <w:vMerge w:val="restart"/>
            <w:shd w:val="clear" w:color="auto" w:fill="FFFFFF" w:themeFill="background1"/>
            <w:vAlign w:val="center"/>
          </w:tcPr>
          <w:p w:rsidR="00337D92" w:rsidRPr="00861C29" w:rsidRDefault="00337D92" w:rsidP="009B22F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rPr>
            </w:pPr>
            <w:r w:rsidRPr="00861C29">
              <w:rPr>
                <w:color w:val="000000" w:themeColor="text1"/>
              </w:rPr>
              <w:t>- Sensibiliser les populations sur les risques d'accidents et les risques sanitaires due à l’utilisation des pesticides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Mettre en place un plan de gestion intégrée des nuisibles</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 Elimination des pesticides obsolètes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Organiser des journées de sensibilisation contre les risques ou danger avec l’utilisation des pesticides et des engrais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Formation en gestion intégrée des pesticides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Respecter des doses de pesticides prescrites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Promotion de l’usage de la fumure organique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Mettre en place un bon système de drainage des eaux au niveau des rizières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Renforcer en EPI aux agricultures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Veiller à la santé des agricultures dans les zones concernées par le projet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Veiller à l’utilisation des pesticides et d’engrais certifiés et homologué ;</w:t>
            </w:r>
          </w:p>
        </w:tc>
      </w:tr>
      <w:tr w:rsidR="00337D92" w:rsidRPr="00861C29" w:rsidTr="00955A05">
        <w:trPr>
          <w:trHeight w:val="96"/>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rsidP="00D47C37">
            <w:pPr>
              <w:pStyle w:val="PargrafodaLista"/>
              <w:spacing w:line="240" w:lineRule="auto"/>
              <w:ind w:left="0"/>
              <w:jc w:val="center"/>
              <w:rPr>
                <w:rFonts w:ascii="Times New Roman" w:hAnsi="Times New Roman"/>
                <w:color w:val="000000" w:themeColor="text1"/>
                <w:sz w:val="24"/>
                <w:szCs w:val="24"/>
              </w:rPr>
            </w:pPr>
          </w:p>
        </w:tc>
        <w:tc>
          <w:tcPr>
            <w:tcW w:w="3969" w:type="dxa"/>
            <w:shd w:val="clear" w:color="auto" w:fill="FFFFFF" w:themeFill="background1"/>
          </w:tcPr>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Ces utilisations des engrais et pesticides pourraient engendrer des dégâts sur l’environnement (</w:t>
            </w:r>
            <w:r w:rsidRPr="00861C29">
              <w:rPr>
                <w:rFonts w:ascii="Times New Roman" w:hAnsi="Times New Roman"/>
                <w:color w:val="000000" w:themeColor="text1"/>
                <w:sz w:val="24"/>
                <w:szCs w:val="24"/>
              </w:rPr>
              <w:t xml:space="preserve">dégradation de la fertilité des sols) </w:t>
            </w:r>
            <w:r w:rsidRPr="00861C29">
              <w:rPr>
                <w:rFonts w:ascii="Times New Roman" w:hAnsi="Times New Roman"/>
                <w:color w:val="000000" w:themeColor="text1"/>
                <w:sz w:val="24"/>
                <w:szCs w:val="24"/>
                <w:lang w:val="fr-CA"/>
              </w:rPr>
              <w:t xml:space="preserve">et la santé des populations. </w:t>
            </w:r>
          </w:p>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rPr>
              <w:t xml:space="preserve">Intensification culturale pourrait entraîner une augmentation de l’utilisation des pesticides d’où le </w:t>
            </w:r>
            <w:r w:rsidRPr="00861C29">
              <w:rPr>
                <w:rFonts w:ascii="Times New Roman" w:hAnsi="Times New Roman"/>
                <w:color w:val="000000" w:themeColor="text1"/>
                <w:sz w:val="24"/>
                <w:szCs w:val="24"/>
                <w:lang w:val="fr-CA"/>
              </w:rPr>
              <w:t>risque de développement de maladies liées à l’eau (Paludisme, Bilharziose, maladies diarrhéiques, dermatoses, etc.) ;</w:t>
            </w:r>
          </w:p>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lang w:val="fr-CA"/>
              </w:rPr>
              <w:t xml:space="preserve">Risque d’apparition et/ou prolifération de plantes aquatiques envahissantes (typhas, riz sauvage, etc.) modifiant l’hydraulicité des cours d’eau </w:t>
            </w:r>
            <w:r w:rsidRPr="00861C29">
              <w:rPr>
                <w:rFonts w:ascii="Times New Roman" w:hAnsi="Times New Roman"/>
                <w:color w:val="000000" w:themeColor="text1"/>
                <w:sz w:val="24"/>
                <w:szCs w:val="24"/>
              </w:rPr>
              <w:t>à cause des utilisations irrationnelle d’engrais et pesticides.</w:t>
            </w:r>
          </w:p>
          <w:p w:rsidR="00337D92" w:rsidRPr="00861C29" w:rsidRDefault="00337D92" w:rsidP="00D47C37">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pollution du sol, des eaux de surface et de la nappe phréatique par les pestes et pesticides ;</w:t>
            </w:r>
          </w:p>
        </w:tc>
        <w:tc>
          <w:tcPr>
            <w:tcW w:w="4674" w:type="dxa"/>
            <w:vMerge/>
            <w:shd w:val="clear" w:color="auto" w:fill="FFFFFF" w:themeFill="background1"/>
            <w:vAlign w:val="center"/>
          </w:tcPr>
          <w:p w:rsidR="00337D92" w:rsidRPr="00861C29" w:rsidRDefault="00337D92" w:rsidP="009B22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337D92" w:rsidRPr="00861C29" w:rsidTr="00955A05">
        <w:trPr>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rsidP="00D47C37">
            <w:pPr>
              <w:pStyle w:val="PargrafodaLista"/>
              <w:spacing w:line="240" w:lineRule="auto"/>
              <w:ind w:left="0"/>
              <w:jc w:val="center"/>
              <w:rPr>
                <w:rFonts w:ascii="Times New Roman" w:hAnsi="Times New Roman"/>
                <w:color w:val="000000" w:themeColor="text1"/>
                <w:sz w:val="24"/>
                <w:szCs w:val="24"/>
              </w:rPr>
            </w:pPr>
          </w:p>
        </w:tc>
        <w:tc>
          <w:tcPr>
            <w:tcW w:w="3969" w:type="dxa"/>
            <w:shd w:val="clear" w:color="auto" w:fill="FFFFFF" w:themeFill="background1"/>
          </w:tcPr>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lang w:val="fr-CA"/>
              </w:rPr>
              <w:t>Les risques d’abattage des arbres lors des travaux d’aménagement des périmètres (agricoles ou des rizières)</w:t>
            </w:r>
            <w:r w:rsidRPr="00861C29">
              <w:rPr>
                <w:rFonts w:ascii="Times New Roman" w:hAnsi="Times New Roman"/>
                <w:color w:val="000000" w:themeColor="text1"/>
                <w:sz w:val="24"/>
                <w:szCs w:val="24"/>
              </w:rPr>
              <w:t xml:space="preserve"> pourraient réduire les ressources forestières. </w:t>
            </w:r>
          </w:p>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L’intensification des cultures (comme </w:t>
            </w:r>
            <w:r w:rsidRPr="00861C29">
              <w:rPr>
                <w:rFonts w:ascii="Times New Roman" w:hAnsi="Times New Roman"/>
                <w:color w:val="000000" w:themeColor="text1"/>
                <w:sz w:val="24"/>
                <w:szCs w:val="24"/>
              </w:rPr>
              <w:lastRenderedPageBreak/>
              <w:t>l’anacardier) pourrait accélère ce phénomène de déboisement dans les zones d’intervention du projet ;</w:t>
            </w:r>
          </w:p>
          <w:p w:rsidR="00337D92" w:rsidRPr="00861C29" w:rsidRDefault="00337D92" w:rsidP="00D47C37">
            <w:pPr>
              <w:pStyle w:val="PargrafodaLista"/>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4674" w:type="dxa"/>
            <w:shd w:val="clear" w:color="auto" w:fill="FFFFFF" w:themeFill="background1"/>
            <w:vAlign w:val="center"/>
          </w:tcPr>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lastRenderedPageBreak/>
              <w:t>Déboiser uniquement les zones à aménager pour extension de la riziculture dans les zones d’interventions du PUSA</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 Maintenir l'équilibre des écosystèmes dans les zones rizicoles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Eviter autant que possible de couper des </w:t>
            </w:r>
            <w:r w:rsidRPr="00861C29">
              <w:rPr>
                <w:rFonts w:ascii="Times New Roman" w:hAnsi="Times New Roman"/>
                <w:color w:val="000000" w:themeColor="text1"/>
                <w:sz w:val="24"/>
                <w:szCs w:val="24"/>
              </w:rPr>
              <w:lastRenderedPageBreak/>
              <w:t>arbres sans autorisation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-Effectuer une demande d’autorisations spéciales auprès des Services des Eaux et Forêts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Etablir un protocole d’accord pour le reboisement compensatoire ;</w:t>
            </w:r>
          </w:p>
        </w:tc>
      </w:tr>
      <w:tr w:rsidR="00337D92" w:rsidRPr="00861C29" w:rsidTr="00955A05">
        <w:trPr>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rsidP="00D47C37">
            <w:pPr>
              <w:pStyle w:val="PargrafodaLista"/>
              <w:spacing w:line="240" w:lineRule="auto"/>
              <w:ind w:left="0"/>
              <w:jc w:val="center"/>
              <w:rPr>
                <w:rFonts w:ascii="Times New Roman" w:hAnsi="Times New Roman"/>
                <w:color w:val="000000" w:themeColor="text1"/>
                <w:sz w:val="24"/>
                <w:szCs w:val="24"/>
              </w:rPr>
            </w:pPr>
          </w:p>
        </w:tc>
        <w:tc>
          <w:tcPr>
            <w:tcW w:w="3969" w:type="dxa"/>
            <w:shd w:val="clear" w:color="auto" w:fill="FFFFFF" w:themeFill="background1"/>
          </w:tcPr>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rPr>
              <w:t>L'aménagement des périmètres agricoles pourrait entraîner également la perte des pâturages et cela peut être à l'origine des conflits entre les éleveurs et les agriculteurs.</w:t>
            </w:r>
          </w:p>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rPr>
              <w:t>Risque de dégradation des couloirs de pâturages</w:t>
            </w:r>
          </w:p>
        </w:tc>
        <w:tc>
          <w:tcPr>
            <w:tcW w:w="4674" w:type="dxa"/>
            <w:shd w:val="clear" w:color="auto" w:fill="FFFFFF" w:themeFill="background1"/>
            <w:vAlign w:val="center"/>
          </w:tcPr>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Organiser des journées d’information et de sensibilisation par rapport à la nécessite de ces aménagements mais aussi orienter les éleveurs dans les autres zones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Permet aux électeurs d’accéder au périmètre agricole après les récoltes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Si possible mettre en place des fermes agro pastorale ;</w:t>
            </w:r>
          </w:p>
        </w:tc>
      </w:tr>
      <w:tr w:rsidR="00337D92" w:rsidRPr="00861C29" w:rsidTr="00955A05">
        <w:trPr>
          <w:trHeight w:val="600"/>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rsidP="00D47C37">
            <w:pPr>
              <w:pStyle w:val="PargrafodaLista"/>
              <w:spacing w:line="240" w:lineRule="auto"/>
              <w:ind w:left="0"/>
              <w:jc w:val="center"/>
              <w:rPr>
                <w:rFonts w:ascii="Times New Roman" w:hAnsi="Times New Roman"/>
                <w:color w:val="000000" w:themeColor="text1"/>
                <w:sz w:val="24"/>
                <w:szCs w:val="24"/>
              </w:rPr>
            </w:pPr>
          </w:p>
        </w:tc>
        <w:tc>
          <w:tcPr>
            <w:tcW w:w="3969" w:type="dxa"/>
            <w:shd w:val="clear" w:color="auto" w:fill="FFFFFF" w:themeFill="background1"/>
          </w:tcPr>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pollution et eutrophisation des eaux (cours d’eau) et du sol par les eaux de drainage, entraînant aussi une détérioration des conditions de vie des poissons et autres espèces aquatiques ;</w:t>
            </w:r>
          </w:p>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d’inondation des périmètres agricoles ;</w:t>
            </w:r>
          </w:p>
        </w:tc>
        <w:tc>
          <w:tcPr>
            <w:tcW w:w="4674" w:type="dxa"/>
            <w:shd w:val="clear" w:color="auto" w:fill="FFFFFF" w:themeFill="background1"/>
            <w:vAlign w:val="center"/>
          </w:tcPr>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Mettre en place un bon dispositif de drainage favoriser une transparence hydrologique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Sensibilisation des acteurs</w:t>
            </w:r>
            <w:r w:rsidRPr="00861C29">
              <w:rPr>
                <w:rFonts w:ascii="Times New Roman" w:eastAsia="MS Mincho" w:hAnsi="Times New Roman"/>
                <w:color w:val="000000" w:themeColor="text1"/>
                <w:sz w:val="24"/>
                <w:szCs w:val="24"/>
              </w:rPr>
              <w:t xml:space="preserve"> </w:t>
            </w:r>
            <w:r w:rsidRPr="00861C29">
              <w:rPr>
                <w:rFonts w:ascii="Times New Roman" w:hAnsi="Times New Roman"/>
                <w:color w:val="000000" w:themeColor="text1"/>
                <w:sz w:val="24"/>
                <w:szCs w:val="24"/>
              </w:rPr>
              <w:t xml:space="preserve">Protection des points d'eau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rPr>
              <w:t>Mettre des digues de rétention d’eau au niveau des vallées,</w:t>
            </w:r>
            <w:r w:rsidRPr="00861C29">
              <w:rPr>
                <w:rFonts w:ascii="Times New Roman" w:hAnsi="Times New Roman"/>
                <w:color w:val="000000" w:themeColor="text1"/>
                <w:sz w:val="24"/>
                <w:szCs w:val="24"/>
                <w:lang w:val="fr-CA"/>
              </w:rPr>
              <w:t xml:space="preserve">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Veiller à l’aménagement des rizières pour éviter les phénomènes d’inondation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Eviter autant que possible que les eaux chargées de polluant se retrouve dans les cours d’eau ou fleuve ;</w:t>
            </w:r>
          </w:p>
        </w:tc>
      </w:tr>
      <w:tr w:rsidR="00337D92" w:rsidRPr="00861C29" w:rsidTr="00955A05">
        <w:trPr>
          <w:trHeight w:val="454"/>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rsidP="00D47C37">
            <w:pPr>
              <w:pStyle w:val="PargrafodaLista"/>
              <w:spacing w:line="240" w:lineRule="auto"/>
              <w:ind w:left="0"/>
              <w:jc w:val="center"/>
              <w:rPr>
                <w:rFonts w:ascii="Times New Roman" w:hAnsi="Times New Roman"/>
                <w:color w:val="000000" w:themeColor="text1"/>
                <w:sz w:val="24"/>
                <w:szCs w:val="24"/>
              </w:rPr>
            </w:pPr>
          </w:p>
        </w:tc>
        <w:tc>
          <w:tcPr>
            <w:tcW w:w="3969" w:type="dxa"/>
            <w:shd w:val="clear" w:color="auto" w:fill="FFFFFF" w:themeFill="background1"/>
          </w:tcPr>
          <w:p w:rsidR="00337D92" w:rsidRPr="00861C29" w:rsidRDefault="00337D92" w:rsidP="00D47C37">
            <w:pPr>
              <w:numPr>
                <w:ilvl w:val="0"/>
                <w:numId w:val="60"/>
              </w:numPr>
              <w:ind w:left="0" w:hanging="142"/>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861C29">
              <w:rPr>
                <w:color w:val="000000" w:themeColor="text1"/>
                <w:lang w:val="fr-CA"/>
              </w:rPr>
              <w:t>Risque de prolifération des IST/VIH SIDA et à la propagation de la Covid 19 à cause de l’</w:t>
            </w:r>
            <w:r w:rsidRPr="00861C29">
              <w:rPr>
                <w:rFonts w:eastAsia="Calibri"/>
                <w:color w:val="000000" w:themeColor="text1"/>
              </w:rPr>
              <w:t>attraction des populations étrangères ;</w:t>
            </w:r>
          </w:p>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c>
          <w:tcPr>
            <w:tcW w:w="4674" w:type="dxa"/>
            <w:shd w:val="clear" w:color="auto" w:fill="FFFFFF" w:themeFill="background1"/>
            <w:vAlign w:val="center"/>
          </w:tcPr>
          <w:p w:rsidR="00337D92" w:rsidRPr="00861C29" w:rsidRDefault="00337D92" w:rsidP="009B22F3">
            <w:pPr>
              <w:pStyle w:val="PargrafodaLista"/>
              <w:numPr>
                <w:ilvl w:val="0"/>
                <w:numId w:val="60"/>
              </w:numPr>
              <w:spacing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Organiser des campagnes de sensibilisation contre le SIDA ;</w:t>
            </w:r>
          </w:p>
          <w:p w:rsidR="00337D92" w:rsidRPr="00861C29" w:rsidRDefault="00337D92" w:rsidP="009B22F3">
            <w:pPr>
              <w:pStyle w:val="PargrafodaLista"/>
              <w:numPr>
                <w:ilvl w:val="0"/>
                <w:numId w:val="60"/>
              </w:numPr>
              <w:spacing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Organiser des campagnes de sensibilisation contre la COVID 19 </w:t>
            </w:r>
          </w:p>
          <w:p w:rsidR="00337D92" w:rsidRPr="00861C29" w:rsidRDefault="00337D92" w:rsidP="009B22F3">
            <w:pPr>
              <w:pStyle w:val="PargrafodaLista"/>
              <w:numPr>
                <w:ilvl w:val="0"/>
                <w:numId w:val="60"/>
              </w:numPr>
              <w:spacing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 Exiger le port de masque obligatoire ;</w:t>
            </w:r>
          </w:p>
          <w:p w:rsidR="00337D92" w:rsidRPr="00861C29" w:rsidRDefault="00337D92" w:rsidP="009B22F3">
            <w:pPr>
              <w:pStyle w:val="PargrafodaLista"/>
              <w:numPr>
                <w:ilvl w:val="0"/>
                <w:numId w:val="60"/>
              </w:numPr>
              <w:spacing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Distribuer des préservatifs ;</w:t>
            </w:r>
          </w:p>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Distribuer des masques de protection et des gels antiseptiques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Mettre des pictogrammes pour rappeler les mesures barrières ; </w:t>
            </w:r>
          </w:p>
        </w:tc>
      </w:tr>
      <w:tr w:rsidR="00337D92" w:rsidRPr="00861C29" w:rsidTr="00955A05">
        <w:trPr>
          <w:trHeight w:val="228"/>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vAlign w:val="center"/>
          </w:tcPr>
          <w:p w:rsidR="00337D92" w:rsidRPr="00861C29" w:rsidRDefault="00337D92" w:rsidP="00D47C37">
            <w:pPr>
              <w:pStyle w:val="PargrafodaLista"/>
              <w:spacing w:line="240" w:lineRule="auto"/>
              <w:ind w:left="0"/>
              <w:jc w:val="center"/>
              <w:rPr>
                <w:rFonts w:ascii="Times New Roman" w:hAnsi="Times New Roman"/>
                <w:color w:val="000000" w:themeColor="text1"/>
                <w:sz w:val="24"/>
                <w:szCs w:val="24"/>
              </w:rPr>
            </w:pPr>
          </w:p>
        </w:tc>
        <w:tc>
          <w:tcPr>
            <w:tcW w:w="3969" w:type="dxa"/>
            <w:shd w:val="clear" w:color="auto" w:fill="FFFFFF" w:themeFill="background1"/>
          </w:tcPr>
          <w:p w:rsidR="00337D92" w:rsidRPr="00861C29" w:rsidRDefault="00337D92" w:rsidP="00D47C37">
            <w:pPr>
              <w:numPr>
                <w:ilvl w:val="0"/>
                <w:numId w:val="60"/>
              </w:numPr>
              <w:ind w:left="0" w:hanging="142"/>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861C29">
              <w:t>Risques d'EAS / HS</w:t>
            </w:r>
          </w:p>
        </w:tc>
        <w:tc>
          <w:tcPr>
            <w:tcW w:w="4674" w:type="dxa"/>
            <w:shd w:val="clear" w:color="auto" w:fill="FFFFFF" w:themeFill="background1"/>
            <w:vAlign w:val="center"/>
          </w:tcPr>
          <w:p w:rsidR="00337D92" w:rsidRPr="00861C29" w:rsidRDefault="00337D92" w:rsidP="009B22F3">
            <w:pPr>
              <w:pStyle w:val="PargrafodaLista"/>
              <w:numPr>
                <w:ilvl w:val="0"/>
                <w:numId w:val="60"/>
              </w:numPr>
              <w:spacing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Appuyer les programmes intégrant la mobilisation communautaire sur la VBG ; </w:t>
            </w:r>
          </w:p>
          <w:p w:rsidR="00337D92" w:rsidRPr="00861C29" w:rsidRDefault="00337D92" w:rsidP="009B22F3">
            <w:pPr>
              <w:pStyle w:val="PargrafodaLista"/>
              <w:numPr>
                <w:ilvl w:val="0"/>
                <w:numId w:val="60"/>
              </w:numPr>
              <w:spacing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Appuyer les activités ayant une large représentation de la communauté de base ; </w:t>
            </w:r>
          </w:p>
          <w:p w:rsidR="00337D92" w:rsidRPr="00861C29" w:rsidRDefault="00337D92" w:rsidP="009B22F3">
            <w:pPr>
              <w:pStyle w:val="PargrafodaLista"/>
              <w:numPr>
                <w:ilvl w:val="0"/>
                <w:numId w:val="60"/>
              </w:numPr>
              <w:spacing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Lutter contre tous types de discrimination envers les femmes ou personnes handicapés ;</w:t>
            </w:r>
          </w:p>
          <w:p w:rsidR="00337D92" w:rsidRPr="00861C29" w:rsidRDefault="00337D92" w:rsidP="009B22F3">
            <w:pPr>
              <w:pStyle w:val="PargrafodaLista"/>
              <w:numPr>
                <w:ilvl w:val="0"/>
                <w:numId w:val="60"/>
              </w:numPr>
              <w:spacing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Organiser des journées de sensibilisation et d’information </w:t>
            </w:r>
          </w:p>
          <w:p w:rsidR="00337D92" w:rsidRPr="00861C29" w:rsidRDefault="00337D92" w:rsidP="009B22F3">
            <w:pPr>
              <w:pStyle w:val="PargrafodaLista"/>
              <w:numPr>
                <w:ilvl w:val="0"/>
                <w:numId w:val="60"/>
              </w:numPr>
              <w:spacing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sz w:val="24"/>
                <w:szCs w:val="24"/>
              </w:rPr>
              <w:t xml:space="preserve">Sensibilisation des travailleurs et de la communauté en matière de risques de VBG, y compris EAS/HS et leurs conséquences, ainsi que les comportements interdits par les travailleurs vers la communauté, et les </w:t>
            </w:r>
            <w:r w:rsidRPr="00861C29">
              <w:rPr>
                <w:rFonts w:ascii="Times New Roman" w:hAnsi="Times New Roman"/>
                <w:sz w:val="24"/>
                <w:szCs w:val="24"/>
              </w:rPr>
              <w:lastRenderedPageBreak/>
              <w:t>mécanismes de gestion de plaintes sensible à l’EAS/HS</w:t>
            </w:r>
          </w:p>
          <w:p w:rsidR="00337D92" w:rsidRPr="00861C29" w:rsidRDefault="00337D92" w:rsidP="009B22F3">
            <w:pPr>
              <w:pStyle w:val="PargrafodaLista"/>
              <w:numPr>
                <w:ilvl w:val="0"/>
                <w:numId w:val="60"/>
              </w:numPr>
              <w:spacing w:after="0" w:line="240" w:lineRule="auto"/>
              <w:ind w:left="0" w:hanging="1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C29">
              <w:rPr>
                <w:rFonts w:ascii="Times New Roman" w:hAnsi="Times New Roman"/>
                <w:sz w:val="24"/>
                <w:szCs w:val="24"/>
              </w:rPr>
              <w:t>Les mesures d'atténuation comme le code de conduite interdisant l'EAS / HS (avec sanctions) pour le personnel associé au projet, y compris le personnel de l’UGP la sensibilisation, les MGP sensibles à l'EAS / HS mis à disposition par le projet. Ainsi que les services de prise en charge pour les potentielles survivantes dans le cas échéant dans les zones d’intervention du projet.</w:t>
            </w:r>
          </w:p>
        </w:tc>
      </w:tr>
      <w:tr w:rsidR="00337D92" w:rsidRPr="00861C29" w:rsidTr="00955A05">
        <w:trPr>
          <w:trHeight w:val="552"/>
          <w:jc w:val="center"/>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00337D92" w:rsidRPr="00861C29" w:rsidRDefault="00337D92" w:rsidP="00D47C37">
            <w:pPr>
              <w:pStyle w:val="PargrafodaLista"/>
              <w:spacing w:line="240" w:lineRule="auto"/>
              <w:ind w:left="0"/>
              <w:jc w:val="center"/>
              <w:rPr>
                <w:rFonts w:ascii="Times New Roman" w:hAnsi="Times New Roman"/>
                <w:i/>
                <w:color w:val="000000" w:themeColor="text1"/>
                <w:sz w:val="24"/>
                <w:szCs w:val="24"/>
                <w:lang w:eastAsia="en-US"/>
              </w:rPr>
            </w:pPr>
          </w:p>
        </w:tc>
        <w:tc>
          <w:tcPr>
            <w:tcW w:w="3969" w:type="dxa"/>
          </w:tcPr>
          <w:p w:rsidR="00337D92" w:rsidRPr="00861C29" w:rsidRDefault="00337D92" w:rsidP="00D47C37">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u w:val="single"/>
                <w:lang w:val="fr-CA"/>
              </w:rPr>
            </w:pPr>
            <w:r w:rsidRPr="00861C29">
              <w:rPr>
                <w:rFonts w:ascii="Times New Roman" w:hAnsi="Times New Roman"/>
                <w:color w:val="000000" w:themeColor="text1"/>
                <w:sz w:val="24"/>
                <w:szCs w:val="24"/>
                <w:lang w:val="fr-CA"/>
              </w:rPr>
              <w:t>Risque d’augmentation des problèmes de commercialisation des produits agricoles au niveau des marchés locaux;</w:t>
            </w:r>
          </w:p>
        </w:tc>
        <w:tc>
          <w:tcPr>
            <w:tcW w:w="4674" w:type="dxa"/>
          </w:tcPr>
          <w:p w:rsidR="00337D92" w:rsidRPr="00861C29" w:rsidRDefault="00337D92" w:rsidP="009B22F3">
            <w:pPr>
              <w:pStyle w:val="PargrafodaLista"/>
              <w:numPr>
                <w:ilvl w:val="0"/>
                <w:numId w:val="60"/>
              </w:numPr>
              <w:spacing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Sensibilisation et formation des producteurs (de riz, de maïs, de noix de cajou, de manioc, etc.)  à la transformation ces produits pour faciliter son écoulement ;</w:t>
            </w:r>
          </w:p>
          <w:p w:rsidR="00337D92" w:rsidRPr="00861C29" w:rsidRDefault="00337D92" w:rsidP="009B22F3">
            <w:pPr>
              <w:pStyle w:val="PargrafodaLista"/>
              <w:numPr>
                <w:ilvl w:val="0"/>
                <w:numId w:val="60"/>
              </w:numPr>
              <w:spacing w:after="0" w:line="240" w:lineRule="auto"/>
              <w:ind w:left="0"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r-CA"/>
              </w:rPr>
            </w:pPr>
            <w:r w:rsidRPr="00861C29">
              <w:rPr>
                <w:rFonts w:ascii="Times New Roman" w:hAnsi="Times New Roman"/>
                <w:sz w:val="24"/>
                <w:szCs w:val="24"/>
                <w:lang w:val="fr-CA"/>
              </w:rPr>
              <w:t>Discuter avec l’ensemble des acteurs intervenant dans la commercialisation des produits agricoles pour mettre en place des mécanismes de valorisation de ces produits pour mieux facilité écoulement.</w:t>
            </w:r>
          </w:p>
        </w:tc>
      </w:tr>
    </w:tbl>
    <w:p w:rsidR="00727384" w:rsidRPr="00861C29" w:rsidRDefault="00727384" w:rsidP="009B22F3"/>
    <w:p w:rsidR="00ED78E2" w:rsidRPr="00861C29" w:rsidRDefault="00ED78E2" w:rsidP="00FF2D9F">
      <w:pPr>
        <w:pStyle w:val="Cabealho6"/>
        <w:numPr>
          <w:ilvl w:val="5"/>
          <w:numId w:val="284"/>
        </w:numPr>
        <w:spacing w:line="240" w:lineRule="auto"/>
        <w:ind w:left="709"/>
        <w:jc w:val="both"/>
        <w:rPr>
          <w:rFonts w:ascii="Times New Roman" w:hAnsi="Times New Roman"/>
          <w:b/>
          <w:i w:val="0"/>
          <w:iCs w:val="0"/>
          <w:color w:val="auto"/>
          <w:sz w:val="24"/>
          <w:szCs w:val="24"/>
        </w:rPr>
      </w:pPr>
      <w:r w:rsidRPr="00861C29">
        <w:rPr>
          <w:rFonts w:ascii="Times New Roman" w:hAnsi="Times New Roman"/>
          <w:b/>
          <w:i w:val="0"/>
          <w:iCs w:val="0"/>
          <w:color w:val="auto"/>
          <w:sz w:val="24"/>
          <w:szCs w:val="24"/>
        </w:rPr>
        <w:t>b) Soutien aux Filets de Sécurité communautaires (la création d’emploi, la réhabilitation des structures de stockage, l’ouverture de routes d’accès aux zones de production agricole, la construction de marchés locaux, etc.)</w:t>
      </w:r>
    </w:p>
    <w:p w:rsidR="00ED78E2" w:rsidRPr="00861C29" w:rsidRDefault="00ED78E2" w:rsidP="00ED78E2"/>
    <w:p w:rsidR="00ED78E2" w:rsidRPr="00861C29" w:rsidRDefault="00ED78E2" w:rsidP="00FF2D9F">
      <w:pPr>
        <w:ind w:left="709"/>
        <w:jc w:val="both"/>
      </w:pPr>
      <w:r w:rsidRPr="00861C29">
        <w:t>Ce composante 2 du projet PUSA, pourrait engendre plusieurs impacts lors de sa mise en œuvre et mise en services des différentes infrastructures. Ainsi, pour atténuer ces impacts négatifs ou même les éviter, ces mesures ci-dessous ont été proposés dans le tableau ci-dessous </w:t>
      </w:r>
    </w:p>
    <w:p w:rsidR="00ED78E2" w:rsidRPr="00861C29" w:rsidRDefault="00ED78E2" w:rsidP="009B22F3">
      <w:r w:rsidRPr="00861C29">
        <w:t>`</w:t>
      </w:r>
    </w:p>
    <w:tbl>
      <w:tblPr>
        <w:tblpPr w:leftFromText="141" w:rightFromText="141" w:vertAnchor="text" w:horzAnchor="margin" w:tblpXSpec="center" w:tblpY="327"/>
        <w:tblOverlap w:val="neve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58"/>
        <w:gridCol w:w="3820"/>
        <w:gridCol w:w="4815"/>
      </w:tblGrid>
      <w:tr w:rsidR="00C170EE" w:rsidRPr="00861C29" w:rsidTr="00EF7120">
        <w:trPr>
          <w:trHeight w:val="326"/>
          <w:tblHeader/>
        </w:trPr>
        <w:tc>
          <w:tcPr>
            <w:tcW w:w="1558" w:type="dxa"/>
            <w:tcBorders>
              <w:top w:val="single" w:sz="4" w:space="0" w:color="auto"/>
            </w:tcBorders>
            <w:shd w:val="clear" w:color="auto" w:fill="E2EFD9" w:themeFill="accent6" w:themeFillTint="33"/>
            <w:vAlign w:val="center"/>
          </w:tcPr>
          <w:p w:rsidR="00727384" w:rsidRPr="00861C29" w:rsidRDefault="00727384" w:rsidP="00727384">
            <w:pPr>
              <w:jc w:val="center"/>
              <w:rPr>
                <w:rFonts w:eastAsia="Calibri"/>
                <w:b/>
                <w:bCs/>
              </w:rPr>
            </w:pPr>
            <w:r w:rsidRPr="00861C29">
              <w:rPr>
                <w:rFonts w:eastAsia="Calibri"/>
                <w:b/>
                <w:bCs/>
                <w:color w:val="000000"/>
              </w:rPr>
              <w:t>Activités</w:t>
            </w:r>
          </w:p>
        </w:tc>
        <w:tc>
          <w:tcPr>
            <w:tcW w:w="3820" w:type="dxa"/>
            <w:tcBorders>
              <w:top w:val="single" w:sz="4" w:space="0" w:color="auto"/>
            </w:tcBorders>
            <w:shd w:val="clear" w:color="auto" w:fill="E2EFD9" w:themeFill="accent6" w:themeFillTint="33"/>
            <w:vAlign w:val="center"/>
          </w:tcPr>
          <w:p w:rsidR="00727384" w:rsidRPr="00861C29" w:rsidRDefault="00727384" w:rsidP="00727384">
            <w:pPr>
              <w:jc w:val="center"/>
              <w:rPr>
                <w:rFonts w:eastAsia="Calibri"/>
                <w:b/>
                <w:bCs/>
              </w:rPr>
            </w:pPr>
            <w:r w:rsidRPr="00861C29">
              <w:rPr>
                <w:b/>
                <w:color w:val="000000" w:themeColor="text1"/>
              </w:rPr>
              <w:t xml:space="preserve">Impacts négatifs potentiels </w:t>
            </w:r>
          </w:p>
        </w:tc>
        <w:tc>
          <w:tcPr>
            <w:tcW w:w="4815" w:type="dxa"/>
            <w:tcBorders>
              <w:top w:val="single" w:sz="4" w:space="0" w:color="auto"/>
            </w:tcBorders>
            <w:shd w:val="clear" w:color="auto" w:fill="E2EFD9" w:themeFill="accent6" w:themeFillTint="33"/>
            <w:vAlign w:val="center"/>
          </w:tcPr>
          <w:p w:rsidR="00727384" w:rsidRPr="00861C29" w:rsidRDefault="00727384" w:rsidP="00727384">
            <w:pPr>
              <w:jc w:val="center"/>
              <w:rPr>
                <w:rFonts w:eastAsia="Calibri"/>
                <w:b/>
                <w:bCs/>
                <w:color w:val="000000"/>
              </w:rPr>
            </w:pPr>
            <w:r w:rsidRPr="00861C29">
              <w:rPr>
                <w:b/>
                <w:color w:val="000000" w:themeColor="text1"/>
              </w:rPr>
              <w:t>Atténuation et/ou évitement</w:t>
            </w:r>
          </w:p>
        </w:tc>
      </w:tr>
      <w:tr w:rsidR="00EF7120" w:rsidRPr="00861C29" w:rsidTr="00EF7120">
        <w:trPr>
          <w:trHeight w:val="326"/>
          <w:tblHeader/>
        </w:trPr>
        <w:tc>
          <w:tcPr>
            <w:tcW w:w="1558" w:type="dxa"/>
            <w:vMerge w:val="restart"/>
            <w:tcBorders>
              <w:top w:val="single" w:sz="4" w:space="0" w:color="auto"/>
            </w:tcBorders>
            <w:shd w:val="clear" w:color="auto" w:fill="E2EFD9" w:themeFill="accent6" w:themeFillTint="33"/>
            <w:vAlign w:val="center"/>
          </w:tcPr>
          <w:p w:rsidR="00727384" w:rsidRPr="00861C29" w:rsidRDefault="00727384" w:rsidP="00727384">
            <w:pPr>
              <w:jc w:val="center"/>
              <w:rPr>
                <w:rFonts w:eastAsia="Calibri"/>
                <w:b/>
                <w:bCs/>
                <w:color w:val="000000"/>
              </w:rPr>
            </w:pPr>
            <w:r w:rsidRPr="00861C29">
              <w:rPr>
                <w:b/>
              </w:rPr>
              <w:t xml:space="preserve">Soutien aux Filets de Sécurité communautaires  ( Communs aux différents travaux) </w:t>
            </w:r>
          </w:p>
        </w:tc>
        <w:tc>
          <w:tcPr>
            <w:tcW w:w="8635" w:type="dxa"/>
            <w:gridSpan w:val="2"/>
            <w:tcBorders>
              <w:top w:val="single" w:sz="4" w:space="0" w:color="auto"/>
            </w:tcBorders>
            <w:shd w:val="clear" w:color="auto" w:fill="DEEAF6" w:themeFill="accent1" w:themeFillTint="33"/>
            <w:vAlign w:val="center"/>
          </w:tcPr>
          <w:p w:rsidR="00727384" w:rsidRPr="00861C29" w:rsidRDefault="00727384" w:rsidP="00727384">
            <w:pPr>
              <w:jc w:val="center"/>
              <w:rPr>
                <w:b/>
                <w:color w:val="000000" w:themeColor="text1"/>
              </w:rPr>
            </w:pPr>
            <w:r w:rsidRPr="00861C29">
              <w:rPr>
                <w:b/>
                <w:color w:val="000000" w:themeColor="text1"/>
              </w:rPr>
              <w:t>En phase de travaux</w:t>
            </w:r>
          </w:p>
        </w:tc>
      </w:tr>
      <w:tr w:rsidR="00C170EE" w:rsidRPr="00861C29" w:rsidTr="00EF7120">
        <w:trPr>
          <w:trHeight w:val="879"/>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 xml:space="preserve">Risque d’émission de poussières ;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d’émissions de gaz d’échappement</w:t>
            </w:r>
          </w:p>
          <w:p w:rsidR="00727384" w:rsidRPr="00861C29" w:rsidRDefault="00727384" w:rsidP="00727384">
            <w:pPr>
              <w:pStyle w:val="PargrafodaLista"/>
              <w:spacing w:after="0" w:line="240" w:lineRule="auto"/>
              <w:ind w:left="151"/>
              <w:jc w:val="both"/>
              <w:rPr>
                <w:rFonts w:ascii="Times New Roman" w:hAnsi="Times New Roman"/>
                <w:b/>
                <w:color w:val="000000" w:themeColor="text1"/>
                <w:sz w:val="24"/>
                <w:szCs w:val="24"/>
              </w:rPr>
            </w:pP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Bâcher tous les camions de transport des matériaux (sable, carrière, etc.)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Informer et sensibiliser les usagers riverains des sites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Exiger la protection obligatoire du personnel par des EPI adéquats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Bien arroser le sol du chantier afin d’éviter l’envol de poussières ;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Faire l’entretien des véhicules et engins conformément aux normes en la matière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b/>
                <w:color w:val="000000" w:themeColor="text1"/>
                <w:sz w:val="24"/>
                <w:szCs w:val="24"/>
              </w:rPr>
            </w:pPr>
            <w:r w:rsidRPr="00861C29">
              <w:rPr>
                <w:rFonts w:ascii="Times New Roman" w:hAnsi="Times New Roman"/>
                <w:color w:val="000000" w:themeColor="text1"/>
                <w:sz w:val="24"/>
                <w:szCs w:val="24"/>
              </w:rPr>
              <w:t>Vérifier que les véhicules (camions) et les engins lourds sont en bon état pour réduire la production de gaz d’échappement</w:t>
            </w:r>
          </w:p>
        </w:tc>
      </w:tr>
      <w:tr w:rsidR="00C170EE" w:rsidRPr="00861C29" w:rsidTr="00EF7120">
        <w:trPr>
          <w:trHeight w:val="3477"/>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 xml:space="preserve">Risque de pollution des sols dû aux déversements accidentels d’huiles ou d’hydrocarbures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Risques de perturbation du système de drainage naturel des eaux</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pollution des eaux de surface liée aux déversements accidentels de produits d’hydrocarbures</w:t>
            </w:r>
          </w:p>
          <w:p w:rsidR="00727384" w:rsidRPr="00861C29" w:rsidRDefault="00727384" w:rsidP="00727384">
            <w:pPr>
              <w:pStyle w:val="PargrafodaLista"/>
              <w:spacing w:after="0" w:line="240" w:lineRule="auto"/>
              <w:ind w:left="151"/>
              <w:jc w:val="both"/>
              <w:rPr>
                <w:rFonts w:ascii="Times New Roman" w:hAnsi="Times New Roman"/>
                <w:b/>
                <w:color w:val="000000" w:themeColor="text1"/>
                <w:sz w:val="24"/>
                <w:szCs w:val="24"/>
              </w:rPr>
            </w:pP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Veiller à la collecte et l’enlèvement réguliers des gravats et des déchets issus du chantier ;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Prévoir un système d’évacuation des eaux usées et des eaux de pluies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Assurer une gestion écologique des déchets de chantier (solides et liquides)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Sensibiliser le personnel de travaux sur la gestion des déchets de chantier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Mettre en place un dallage en béton ou un bac de rétention pour stockage des huiles usées sur site. La quantité stockée ne devra pas aussi dépasser 20 litres et une durée d’une semaine au niveau du chantier.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Assainir les bases de chantier régulièrement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Stocker toutes les matières polluantes (huiles usées, peinture, etc.) dans des bacs de rétention dans un local bien étanche ;</w:t>
            </w:r>
          </w:p>
        </w:tc>
      </w:tr>
      <w:tr w:rsidR="00C170EE" w:rsidRPr="00861C29" w:rsidTr="00EF7120">
        <w:trPr>
          <w:trHeight w:val="326"/>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perte relativement faible de végétation et de la faune</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modification de l’aspect du paysage ;</w:t>
            </w: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Effectuer une demande d’autorisations spéciales auprès des Services des Eaux et Forêts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Etablir un protocole d’accord pour le reboisement compensatoire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Adopter une configuration intégrant son environnement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Clôturer les sites de chantier</w:t>
            </w:r>
          </w:p>
        </w:tc>
      </w:tr>
      <w:tr w:rsidR="00C170EE" w:rsidRPr="00861C29" w:rsidTr="00EF7120">
        <w:trPr>
          <w:trHeight w:val="177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conflits sociaux liés à des mouvements de revendication au sein de la communauté, si le choix des sites pour l’implantation des infrastructures n’est pas fait sur une base consensuelle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Risques de frustrations au niveau local (non utilisation de la main d’œuvre résidente)</w:t>
            </w:r>
          </w:p>
          <w:p w:rsidR="00727384" w:rsidRPr="00861C29" w:rsidRDefault="00727384" w:rsidP="00727384">
            <w:pPr>
              <w:ind w:left="9"/>
              <w:jc w:val="both"/>
              <w:rPr>
                <w:color w:val="000000" w:themeColor="text1"/>
                <w:lang w:val="fr-CA"/>
              </w:rPr>
            </w:pP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Impliquer et sensibiliser les autorités locales, les chefs de village sur tout le déroulement des activités.</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Respecter les avis et les recommandations des autorités locales et des populations.</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Respecter les engagements pris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Appuyer les programmes intégrant la mobilisation communautaire sur la VBG ;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Recruter en priorité les populations riveraines pour les postes temporaires.</w:t>
            </w:r>
          </w:p>
        </w:tc>
      </w:tr>
      <w:tr w:rsidR="00C170EE" w:rsidRPr="00861C29" w:rsidTr="00EF7120">
        <w:trPr>
          <w:trHeight w:val="326"/>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d’accidents dus à la circulation des véhicules et camion de chantier ;</w:t>
            </w:r>
          </w:p>
          <w:p w:rsidR="00727384" w:rsidRPr="00861C29" w:rsidRDefault="00727384" w:rsidP="00727384">
            <w:pPr>
              <w:jc w:val="both"/>
              <w:rPr>
                <w:color w:val="000000" w:themeColor="text1"/>
                <w:lang w:val="fr-CA"/>
              </w:rPr>
            </w:pP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Respecter les normes techniques en vigueur concernant l’utilisation des engins lourds et des camions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Réduire la vitesse de circulation à 30 Km/h lors de la traversée d’une agglomération ;</w:t>
            </w:r>
          </w:p>
          <w:p w:rsidR="00727384" w:rsidRPr="00861C29" w:rsidRDefault="00727384" w:rsidP="00727384">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Etablir un périmètre de stationnement au niveau des différents chantiers </w:t>
            </w:r>
          </w:p>
          <w:p w:rsidR="00727384" w:rsidRPr="00861C29" w:rsidRDefault="00727384" w:rsidP="00727384">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Installer des panneaux de circulation</w:t>
            </w:r>
          </w:p>
          <w:p w:rsidR="00727384" w:rsidRPr="00861C29" w:rsidRDefault="00727384" w:rsidP="00727384">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Eviter le stationnement prolongé des camions au bord des voies urbaines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Sensibiliser les conducteurs sur les risques d’accidents et au respect de la charge à l’essieu ;</w:t>
            </w:r>
          </w:p>
        </w:tc>
      </w:tr>
      <w:tr w:rsidR="00C170EE" w:rsidRPr="00861C29" w:rsidTr="00EF7120">
        <w:trPr>
          <w:trHeight w:val="326"/>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maladies professionnelles consécutives à des efforts physiques, des écrasements, des chocs, des gestes répétitifs, des mauvaises postures, etc.</w:t>
            </w: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Exiger le port obligatoire des EPI, etc.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Sensibiliser les Ouvriers sur les risques professionnels</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Former le personnel aux gestes de premiers secours (SST et Sécurité Incendie)</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Signer un protocole d’accord avec le centre de santé le plus proche</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numPr>
                <w:ilvl w:val="0"/>
                <w:numId w:val="60"/>
              </w:numPr>
              <w:ind w:left="151" w:hanging="142"/>
              <w:jc w:val="both"/>
              <w:rPr>
                <w:color w:val="000000" w:themeColor="text1"/>
                <w:lang w:val="fr-CA"/>
              </w:rPr>
            </w:pPr>
            <w:r w:rsidRPr="00861C29">
              <w:rPr>
                <w:color w:val="000000" w:themeColor="text1"/>
                <w:lang w:val="fr-CA"/>
              </w:rPr>
              <w:t>Risque de prolifération des IST/VIH SIDA et à la propagation de la Covid 19 à cause de l’</w:t>
            </w:r>
            <w:r w:rsidRPr="00861C29">
              <w:rPr>
                <w:rFonts w:eastAsia="Calibri"/>
                <w:color w:val="000000" w:themeColor="text1"/>
              </w:rPr>
              <w:t>attraction des populations étrangères et des déplacements des populations locaux;</w:t>
            </w: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Organiser des campagnes de sensibilisation contre le SIDA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Organiser des campagnes de sensibilisation contre la COVID 19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Exiger le port de masque obligatoire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Distribuer des préservatifs ;</w:t>
            </w:r>
          </w:p>
          <w:p w:rsidR="00727384" w:rsidRPr="00861C29" w:rsidRDefault="00727384" w:rsidP="00727384">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Distribuer des masques de protection et des gels antiseptiques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Mettre des pictogrammes pour rappeler les mesures barrières ;</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numPr>
                <w:ilvl w:val="0"/>
                <w:numId w:val="60"/>
              </w:numPr>
              <w:ind w:left="151" w:hanging="142"/>
              <w:jc w:val="both"/>
              <w:rPr>
                <w:color w:val="000000" w:themeColor="text1"/>
                <w:lang w:val="fr-CA"/>
              </w:rPr>
            </w:pPr>
            <w:r w:rsidRPr="00861C29">
              <w:rPr>
                <w:color w:val="000000" w:themeColor="text1"/>
                <w:lang w:val="fr-CA"/>
              </w:rPr>
              <w:t>Risque la violence basée sur le Genre, abus et exploitation sexuelle </w:t>
            </w:r>
            <w:r w:rsidRPr="00861C29">
              <w:t>;</w:t>
            </w: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Respecter le règlement intérieur des chantiers, ainsi que le code de conduite</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Appuyer les programmes intégrant la mobilisation communautaire sur la VBG ;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Appuyer les activités ayant une large représentation de la communauté de base ;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Lutter contre tous types de discrimination de genre ;</w:t>
            </w:r>
          </w:p>
        </w:tc>
      </w:tr>
      <w:tr w:rsidR="00C170EE" w:rsidRPr="00861C29" w:rsidTr="00EF7120">
        <w:trPr>
          <w:trHeight w:val="852"/>
          <w:tblHeader/>
        </w:trPr>
        <w:tc>
          <w:tcPr>
            <w:tcW w:w="1558" w:type="dxa"/>
            <w:vMerge w:val="restart"/>
            <w:shd w:val="clear" w:color="auto" w:fill="E2EFD9" w:themeFill="accent6" w:themeFillTint="33"/>
            <w:vAlign w:val="center"/>
          </w:tcPr>
          <w:p w:rsidR="00727384" w:rsidRPr="00861C29" w:rsidRDefault="00727384" w:rsidP="00727384">
            <w:pPr>
              <w:jc w:val="center"/>
              <w:rPr>
                <w:b/>
              </w:rPr>
            </w:pPr>
            <w:r w:rsidRPr="00861C29">
              <w:rPr>
                <w:b/>
              </w:rPr>
              <w:t>Ouverture de routes d’accès aux zones de production agricole</w:t>
            </w: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color w:val="000000" w:themeColor="text1"/>
                <w:sz w:val="24"/>
                <w:szCs w:val="24"/>
                <w:lang w:val="fr-CA"/>
              </w:rPr>
            </w:pPr>
            <w:r w:rsidRPr="00861C29">
              <w:rPr>
                <w:rFonts w:ascii="Times New Roman" w:hAnsi="Times New Roman"/>
                <w:color w:val="000000" w:themeColor="text1"/>
                <w:sz w:val="24"/>
                <w:szCs w:val="24"/>
                <w:lang w:val="fr-CA"/>
              </w:rPr>
              <w:t>Risques de gènes et de perturbations de la circulation des véhicules ;</w:t>
            </w: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Respecter les normes techniques en vigueur concernant l’utilisation des engins lourds et des camions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Réduire la vitesse de circulation à 30 Km/h lors de la traversée d’une agglomération ;</w:t>
            </w:r>
          </w:p>
          <w:p w:rsidR="00727384" w:rsidRPr="00861C29" w:rsidRDefault="00727384" w:rsidP="00727384">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Etablir un périmètre de stationnement au niveau des différents chantiers </w:t>
            </w:r>
          </w:p>
          <w:p w:rsidR="00727384" w:rsidRPr="00861C29" w:rsidRDefault="00727384" w:rsidP="00727384">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Installer des panneaux de circulation</w:t>
            </w:r>
          </w:p>
          <w:p w:rsidR="00727384" w:rsidRPr="00861C29" w:rsidRDefault="00727384" w:rsidP="00727384">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Eviter le stationnement prolongé des camions au bord des voies urbaines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Sensibiliser les conducteurs sur les risques d’accidents et au respect de la charge à l’essieu ;</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jc w:val="both"/>
              <w:rPr>
                <w:color w:val="000000" w:themeColor="text1"/>
                <w:lang w:val="fr-CA"/>
              </w:rPr>
            </w:pPr>
            <w:r w:rsidRPr="00861C29">
              <w:rPr>
                <w:color w:val="000000" w:themeColor="text1"/>
                <w:lang w:val="fr-CA"/>
              </w:rPr>
              <w:t>-Risque de perte relativement</w:t>
            </w:r>
          </w:p>
          <w:p w:rsidR="00727384" w:rsidRPr="00861C29" w:rsidRDefault="00727384" w:rsidP="00727384">
            <w:pPr>
              <w:jc w:val="both"/>
              <w:rPr>
                <w:color w:val="000000" w:themeColor="text1"/>
                <w:lang w:val="fr-CA"/>
              </w:rPr>
            </w:pPr>
            <w:r w:rsidRPr="00861C29">
              <w:rPr>
                <w:color w:val="000000" w:themeColor="text1"/>
                <w:lang w:val="fr-CA"/>
              </w:rPr>
              <w:t>-Faible de végétation et de la faune Risque de migration des espèces avifaunes.</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destruction des niches écologiques</w:t>
            </w: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Effectuer une demande d’autorisations spéciales auprès des Services des Eaux et Forêts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Etablir un protocole d’accord pour le reboisement compensatoire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Adopter une configuration intégrant son environnement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Clôturer les sites de chantier</w:t>
            </w:r>
          </w:p>
          <w:p w:rsidR="00727384" w:rsidRPr="00861C29" w:rsidRDefault="00727384" w:rsidP="00727384">
            <w:r w:rsidRPr="00861C29">
              <w:t>- Sécuriser les mares et les parcours du bétail dans la zone ;</w:t>
            </w:r>
          </w:p>
          <w:p w:rsidR="00727384" w:rsidRPr="00861C29" w:rsidRDefault="00727384" w:rsidP="00727384">
            <w:r w:rsidRPr="00861C29">
              <w:t>- Eviter et interdire autant que possible de tuer ou de détruire l’habitat naturel ;</w:t>
            </w:r>
          </w:p>
          <w:p w:rsidR="00727384" w:rsidRPr="00861C29" w:rsidRDefault="00727384" w:rsidP="00727384">
            <w:r w:rsidRPr="00861C29">
              <w:t>- Organiser des campagnes de sensibilisation avec les éleveurs pour éviter les risques d’accident de bétails ;</w:t>
            </w:r>
          </w:p>
          <w:p w:rsidR="00727384" w:rsidRPr="00861C29" w:rsidRDefault="00727384" w:rsidP="00727384">
            <w:r w:rsidRPr="00861C29">
              <w:t xml:space="preserve">- Mettre en place des panneaux de prévention contre les accidents de bétails ;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sz w:val="24"/>
                <w:szCs w:val="24"/>
              </w:rPr>
              <w:t>Informer et sensibiliser les conducteurs des camions et des engins par rapport à la présence des animaux sur l’axe</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 xml:space="preserve">Risque de pollution des sols dû aux déversements accidentels d’huiles ou d’hydrocarbures </w:t>
            </w: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Sensibiliser le personnel de travaux sur la gestion des déchets de chantier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Mettre en place un dallage en béton ou un bac de rétention pour stockage des huiles usées sur site. La quantité stockée ne devra pas aussi dépasser 20 litres et une durée d’une semaine au niveau du chantier. </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rPr>
                <w:color w:val="000000" w:themeColor="text1"/>
                <w:lang w:val="fr-CA"/>
              </w:rPr>
            </w:pPr>
            <w:r w:rsidRPr="00861C29">
              <w:rPr>
                <w:rFonts w:eastAsia="Calibri"/>
              </w:rPr>
              <w:t>-Nuisances sonores</w:t>
            </w:r>
          </w:p>
        </w:tc>
        <w:tc>
          <w:tcPr>
            <w:tcW w:w="4815" w:type="dxa"/>
            <w:tcBorders>
              <w:top w:val="single" w:sz="4" w:space="0" w:color="auto"/>
            </w:tcBorders>
            <w:shd w:val="clear" w:color="auto" w:fill="FFFFFF" w:themeFill="background1"/>
            <w:vAlign w:val="center"/>
          </w:tcPr>
          <w:p w:rsidR="00727384" w:rsidRPr="00861C29" w:rsidRDefault="00727384" w:rsidP="00727384">
            <w:r w:rsidRPr="00861C29">
              <w:t xml:space="preserve">- Respecter les seuils sonores admis par rapport au milieu </w:t>
            </w:r>
          </w:p>
          <w:p w:rsidR="00727384" w:rsidRPr="00861C29" w:rsidRDefault="00727384" w:rsidP="00727384">
            <w:r w:rsidRPr="00861C29">
              <w:t>- Respecter les heures de travail ;</w:t>
            </w:r>
          </w:p>
          <w:p w:rsidR="00727384" w:rsidRPr="00861C29" w:rsidRDefault="00727384" w:rsidP="00727384">
            <w:r w:rsidRPr="00861C29">
              <w:t>- Limiter les émissions de bruit pendant les heures de repos des populations riveraines ;</w:t>
            </w:r>
          </w:p>
          <w:p w:rsidR="00727384" w:rsidRPr="00861C29" w:rsidRDefault="00727384" w:rsidP="00727384">
            <w:r w:rsidRPr="00861C29">
              <w:t>- Doter les ouvriers de casques de protection ;</w:t>
            </w:r>
          </w:p>
          <w:p w:rsidR="00727384" w:rsidRPr="00861C29" w:rsidRDefault="00727384" w:rsidP="00727384">
            <w:r w:rsidRPr="00861C29">
              <w:t>- Mettre en place des panneaux d’indication des niveaux de bruit maximum ;</w:t>
            </w:r>
          </w:p>
          <w:p w:rsidR="00727384" w:rsidRPr="00861C29" w:rsidRDefault="00727384" w:rsidP="00727384">
            <w:pPr>
              <w:jc w:val="both"/>
              <w:rPr>
                <w:color w:val="000000" w:themeColor="text1"/>
              </w:rPr>
            </w:pPr>
            <w:r w:rsidRPr="00861C29">
              <w:t>-Sensibiliser les ouvriers sur les risques de nuisance sonore ;</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rPr>
                <w:rFonts w:eastAsia="Calibri"/>
              </w:rPr>
            </w:pPr>
            <w:r w:rsidRPr="00861C29">
              <w:rPr>
                <w:rFonts w:eastAsia="Calibri"/>
              </w:rPr>
              <w:t>-Risques de perte de terres rizicoles ou des biens des personnes</w:t>
            </w:r>
          </w:p>
        </w:tc>
        <w:tc>
          <w:tcPr>
            <w:tcW w:w="4815" w:type="dxa"/>
            <w:tcBorders>
              <w:top w:val="single" w:sz="4" w:space="0" w:color="auto"/>
            </w:tcBorders>
            <w:shd w:val="clear" w:color="auto" w:fill="FFFFFF" w:themeFill="background1"/>
            <w:vAlign w:val="center"/>
          </w:tcPr>
          <w:p w:rsidR="00727384" w:rsidRPr="00861C29" w:rsidRDefault="00727384" w:rsidP="00727384">
            <w:r w:rsidRPr="00861C29">
              <w:t>- Recenser et sensibiliser les personnes affectées par le projet ;</w:t>
            </w:r>
          </w:p>
          <w:p w:rsidR="00727384" w:rsidRPr="00861C29" w:rsidRDefault="00727384" w:rsidP="00727384">
            <w:r w:rsidRPr="00861C29">
              <w:t>- Envisager la compensation financière des pertes ;</w:t>
            </w:r>
          </w:p>
          <w:p w:rsidR="00727384" w:rsidRPr="00861C29" w:rsidRDefault="00727384" w:rsidP="00727384">
            <w:r w:rsidRPr="00861C29">
              <w:t>- Impliquer les autorités administratives et locales ;</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rPr>
                <w:rFonts w:eastAsia="Calibri"/>
              </w:rPr>
            </w:pPr>
            <w:r w:rsidRPr="00861C29">
              <w:rPr>
                <w:rFonts w:eastAsia="Calibri"/>
              </w:rPr>
              <w:t>-Risque d’incendie ou de feu de brousse ;</w:t>
            </w:r>
          </w:p>
        </w:tc>
        <w:tc>
          <w:tcPr>
            <w:tcW w:w="4815" w:type="dxa"/>
            <w:tcBorders>
              <w:top w:val="single" w:sz="4" w:space="0" w:color="auto"/>
            </w:tcBorders>
            <w:shd w:val="clear" w:color="auto" w:fill="FFFFFF" w:themeFill="background1"/>
            <w:vAlign w:val="center"/>
          </w:tcPr>
          <w:p w:rsidR="00727384" w:rsidRPr="00861C29" w:rsidRDefault="00727384" w:rsidP="00727384">
            <w:r w:rsidRPr="00861C29">
              <w:t>- Sensibiliser les personnels par rapport à l’action de risque de déclencher un feu de brousse ;</w:t>
            </w:r>
          </w:p>
          <w:p w:rsidR="00727384" w:rsidRPr="00861C29" w:rsidRDefault="00727384" w:rsidP="00727384">
            <w:r w:rsidRPr="00861C29">
              <w:t>- Mettre en place des espaces de repos bétonnés et équipés d’extincteurs ;</w:t>
            </w:r>
          </w:p>
          <w:p w:rsidR="00727384" w:rsidRPr="00861C29" w:rsidRDefault="00727384" w:rsidP="00727384">
            <w:r w:rsidRPr="00861C29">
              <w:t>- Eviter les zones sensibles au feu ;</w:t>
            </w:r>
          </w:p>
          <w:p w:rsidR="00727384" w:rsidRPr="00861C29" w:rsidRDefault="00727384" w:rsidP="00727384">
            <w:r w:rsidRPr="00861C29">
              <w:t>- Mettre des panneaux d’interdiction de fumer dans les zones sensibles ;</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rPr>
                <w:rFonts w:eastAsia="Calibri"/>
              </w:rPr>
            </w:pPr>
            <w:r w:rsidRPr="00861C29">
              <w:rPr>
                <w:rFonts w:eastAsia="Calibri"/>
              </w:rPr>
              <w:t>-Risques de perturbation/dégradation des réseaux des concessionnaires (d’eau potable, d’électricité, etc.…)</w:t>
            </w:r>
          </w:p>
        </w:tc>
        <w:tc>
          <w:tcPr>
            <w:tcW w:w="4815" w:type="dxa"/>
            <w:tcBorders>
              <w:top w:val="single" w:sz="4" w:space="0" w:color="auto"/>
            </w:tcBorders>
            <w:shd w:val="clear" w:color="auto" w:fill="FFFFFF" w:themeFill="background1"/>
            <w:vAlign w:val="center"/>
          </w:tcPr>
          <w:p w:rsidR="00727384" w:rsidRPr="00861C29" w:rsidRDefault="00727384" w:rsidP="00727384">
            <w:r w:rsidRPr="00861C29">
              <w:t>- Impliquer tous les concessionnaires avant et pendant le déroulement des activités,</w:t>
            </w:r>
          </w:p>
          <w:p w:rsidR="00727384" w:rsidRPr="00861C29" w:rsidRDefault="00727384" w:rsidP="00727384">
            <w:r w:rsidRPr="00861C29">
              <w:t>- Eviter autant que possible de toucher les réseaux d’eau, d’électricité, etc.</w:t>
            </w:r>
          </w:p>
        </w:tc>
      </w:tr>
      <w:tr w:rsidR="00C170EE" w:rsidRPr="00861C29" w:rsidTr="00EF7120">
        <w:trPr>
          <w:trHeight w:val="852"/>
          <w:tblHeader/>
        </w:trPr>
        <w:tc>
          <w:tcPr>
            <w:tcW w:w="1558" w:type="dxa"/>
            <w:vMerge w:val="restart"/>
            <w:shd w:val="clear" w:color="auto" w:fill="E2EFD9" w:themeFill="accent6" w:themeFillTint="33"/>
            <w:vAlign w:val="center"/>
          </w:tcPr>
          <w:p w:rsidR="00727384" w:rsidRPr="00861C29" w:rsidRDefault="00727384" w:rsidP="00727384">
            <w:pPr>
              <w:jc w:val="center"/>
              <w:rPr>
                <w:b/>
              </w:rPr>
            </w:pPr>
            <w:r w:rsidRPr="00861C29">
              <w:rPr>
                <w:b/>
              </w:rPr>
              <w:t>La mise en service des structures de stockage, la construction de marchés locaux, etc.</w:t>
            </w: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line="240" w:lineRule="auto"/>
              <w:ind w:left="151" w:hanging="142"/>
              <w:jc w:val="both"/>
              <w:rPr>
                <w:sz w:val="24"/>
                <w:szCs w:val="24"/>
              </w:rPr>
            </w:pPr>
            <w:r w:rsidRPr="00861C29">
              <w:rPr>
                <w:rFonts w:ascii="Times New Roman" w:eastAsiaTheme="minorHAnsi" w:hAnsi="Times New Roman"/>
                <w:sz w:val="24"/>
                <w:szCs w:val="24"/>
              </w:rPr>
              <w:t>Risques de perturbation du système de drainage naturel des eaux</w:t>
            </w:r>
          </w:p>
        </w:tc>
        <w:tc>
          <w:tcPr>
            <w:tcW w:w="4815" w:type="dxa"/>
            <w:tcBorders>
              <w:top w:val="single" w:sz="4" w:space="0" w:color="auto"/>
            </w:tcBorders>
            <w:shd w:val="clear" w:color="auto" w:fill="FFFFFF" w:themeFill="background1"/>
            <w:vAlign w:val="center"/>
          </w:tcPr>
          <w:p w:rsidR="00727384" w:rsidRPr="00861C29" w:rsidRDefault="00727384" w:rsidP="00727384">
            <w:r w:rsidRPr="00861C29">
              <w:t>- Sécuriser les ouvrages d’art contre les déchets solides ;</w:t>
            </w:r>
          </w:p>
          <w:p w:rsidR="00727384" w:rsidRPr="00861C29" w:rsidRDefault="00727384" w:rsidP="00727384">
            <w:r w:rsidRPr="00861C29">
              <w:t>- Eviter les phénomènes d’ensablement des ouvrages d’art comme les ponts, les dalots ; les buses, les canaux d’évacuation des eaux, etc. ;</w:t>
            </w:r>
          </w:p>
          <w:p w:rsidR="00727384" w:rsidRPr="00861C29" w:rsidRDefault="00727384" w:rsidP="00727384">
            <w:pPr>
              <w:jc w:val="both"/>
            </w:pPr>
            <w:r w:rsidRPr="00861C29">
              <w:t>-Veiller à l’entretien et à la maintenance périodique et régulière des ouvrages d’art ;</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line="240" w:lineRule="auto"/>
              <w:ind w:left="151" w:hanging="142"/>
              <w:jc w:val="both"/>
              <w:rPr>
                <w:color w:val="000000" w:themeColor="text1"/>
                <w:sz w:val="24"/>
                <w:szCs w:val="24"/>
                <w:lang w:val="fr-CA"/>
              </w:rPr>
            </w:pPr>
            <w:r w:rsidRPr="00861C29">
              <w:rPr>
                <w:rFonts w:ascii="Times New Roman" w:hAnsi="Times New Roman"/>
                <w:color w:val="000000" w:themeColor="text1"/>
                <w:sz w:val="24"/>
                <w:szCs w:val="24"/>
                <w:lang w:val="fr-CA"/>
              </w:rPr>
              <w:t>Risque de conflits sociaux liés à des mouvements de revendication au sein de la communauté, si le choix des sites pour l’implantation des infrastructures n’est pas fait sur une base consensuelle ;</w:t>
            </w: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Impliquer et sensibiliser les autorités locales, les chefs de village sur tout le déroulement des activités.</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Respecter les avis et les recommandations des autorités locales et des populations.</w:t>
            </w:r>
          </w:p>
          <w:p w:rsidR="00727384" w:rsidRPr="00861C29" w:rsidRDefault="00727384" w:rsidP="00727384">
            <w:pPr>
              <w:pStyle w:val="PargrafodaLista"/>
              <w:numPr>
                <w:ilvl w:val="0"/>
                <w:numId w:val="60"/>
              </w:numPr>
              <w:spacing w:after="0" w:line="240" w:lineRule="auto"/>
              <w:ind w:left="151" w:hanging="142"/>
              <w:jc w:val="both"/>
              <w:rPr>
                <w:color w:val="000000" w:themeColor="text1"/>
                <w:sz w:val="24"/>
                <w:szCs w:val="24"/>
              </w:rPr>
            </w:pPr>
            <w:r w:rsidRPr="00861C29">
              <w:rPr>
                <w:rFonts w:ascii="Times New Roman" w:hAnsi="Times New Roman"/>
                <w:color w:val="000000" w:themeColor="text1"/>
                <w:sz w:val="24"/>
                <w:szCs w:val="24"/>
              </w:rPr>
              <w:t>Respecter les engagements pris </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Risques de perte de terres au niveau des secteurs concernés pour la réalisation des marchés et des structures de stockage ;</w:t>
            </w:r>
          </w:p>
        </w:tc>
        <w:tc>
          <w:tcPr>
            <w:tcW w:w="4815" w:type="dxa"/>
            <w:tcBorders>
              <w:top w:val="single" w:sz="4" w:space="0" w:color="auto"/>
            </w:tcBorders>
            <w:shd w:val="clear" w:color="auto" w:fill="FFFFFF" w:themeFill="background1"/>
            <w:vAlign w:val="center"/>
          </w:tcPr>
          <w:p w:rsidR="00727384" w:rsidRPr="00861C29" w:rsidRDefault="00727384" w:rsidP="00727384">
            <w:r w:rsidRPr="00861C29">
              <w:t>- Recenser et sensibiliser les personnes affectées par le projet ;</w:t>
            </w:r>
          </w:p>
          <w:p w:rsidR="00727384" w:rsidRPr="00861C29" w:rsidRDefault="00727384" w:rsidP="00727384">
            <w:r w:rsidRPr="00861C29">
              <w:t>- Envisager la compensation financière des pertes ;</w:t>
            </w:r>
          </w:p>
          <w:p w:rsidR="00727384" w:rsidRPr="00861C29" w:rsidRDefault="00727384" w:rsidP="00727384">
            <w:r w:rsidRPr="00861C29">
              <w:t>- Impliquer les autorités administratives et locales ;</w:t>
            </w:r>
          </w:p>
        </w:tc>
      </w:tr>
      <w:tr w:rsidR="00C170EE" w:rsidRPr="00861C29" w:rsidTr="00EF7120">
        <w:trPr>
          <w:trHeight w:val="852"/>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Risques de gènes et de perturbations de la circulation des véhicules ;</w:t>
            </w:r>
          </w:p>
        </w:tc>
        <w:tc>
          <w:tcPr>
            <w:tcW w:w="4815" w:type="dxa"/>
            <w:tcBorders>
              <w:top w:val="single" w:sz="4" w:space="0" w:color="auto"/>
            </w:tcBorders>
            <w:shd w:val="clear" w:color="auto" w:fill="FFFFFF" w:themeFill="background1"/>
            <w:vAlign w:val="center"/>
          </w:tcPr>
          <w:p w:rsidR="00727384" w:rsidRPr="00861C29" w:rsidRDefault="00727384" w:rsidP="00727384">
            <w:r w:rsidRPr="00861C29">
              <w:t xml:space="preserve">- Etablir un périmètre de sécurité au niveau des différents chantiers </w:t>
            </w:r>
          </w:p>
          <w:p w:rsidR="00727384" w:rsidRPr="00861C29" w:rsidRDefault="00727384" w:rsidP="00727384">
            <w:r w:rsidRPr="00861C29">
              <w:t>- Installer des panneaux de circulation</w:t>
            </w:r>
          </w:p>
          <w:p w:rsidR="00727384" w:rsidRPr="00861C29" w:rsidRDefault="00727384" w:rsidP="00727384">
            <w:r w:rsidRPr="00861C29">
              <w:t>- Eviter le stationnement prolongé des camions au bord des voies d’accès</w:t>
            </w:r>
          </w:p>
          <w:p w:rsidR="00727384" w:rsidRPr="00861C29" w:rsidRDefault="00727384" w:rsidP="00727384">
            <w:r w:rsidRPr="00861C29">
              <w:t>- Exiger le port obligatoire des EPI, etc. ;</w:t>
            </w:r>
          </w:p>
          <w:p w:rsidR="009B22F3" w:rsidRPr="00861C29" w:rsidRDefault="00727384" w:rsidP="00727384">
            <w:r w:rsidRPr="00861C29">
              <w:t>- Sensibiliser les conducteurs sur les risques professionnels</w:t>
            </w:r>
          </w:p>
        </w:tc>
      </w:tr>
      <w:tr w:rsidR="00EF7120" w:rsidRPr="00861C29" w:rsidTr="00EF7120">
        <w:trPr>
          <w:trHeight w:val="67"/>
          <w:tblHeader/>
        </w:trPr>
        <w:tc>
          <w:tcPr>
            <w:tcW w:w="1558" w:type="dxa"/>
            <w:vMerge/>
            <w:shd w:val="clear" w:color="auto" w:fill="E2EFD9" w:themeFill="accent6" w:themeFillTint="33"/>
            <w:vAlign w:val="center"/>
          </w:tcPr>
          <w:p w:rsidR="00727384" w:rsidRPr="00861C29" w:rsidRDefault="00727384" w:rsidP="00727384">
            <w:pPr>
              <w:jc w:val="center"/>
              <w:rPr>
                <w:b/>
                <w:u w:val="single"/>
              </w:rPr>
            </w:pPr>
          </w:p>
        </w:tc>
        <w:tc>
          <w:tcPr>
            <w:tcW w:w="8635" w:type="dxa"/>
            <w:gridSpan w:val="2"/>
            <w:tcBorders>
              <w:top w:val="single" w:sz="4" w:space="0" w:color="auto"/>
            </w:tcBorders>
            <w:shd w:val="clear" w:color="auto" w:fill="DEEAF6" w:themeFill="accent1" w:themeFillTint="33"/>
          </w:tcPr>
          <w:p w:rsidR="00727384" w:rsidRPr="00861C29" w:rsidRDefault="00727384" w:rsidP="00727384">
            <w:pPr>
              <w:jc w:val="center"/>
              <w:rPr>
                <w:rFonts w:eastAsia="Calibri"/>
                <w:b/>
                <w:bCs/>
                <w:color w:val="000000"/>
              </w:rPr>
            </w:pPr>
            <w:r w:rsidRPr="00861C29">
              <w:rPr>
                <w:b/>
                <w:color w:val="000000" w:themeColor="text1"/>
              </w:rPr>
              <w:t xml:space="preserve">En phase d’exploitation </w:t>
            </w:r>
          </w:p>
        </w:tc>
      </w:tr>
      <w:tr w:rsidR="00C170EE" w:rsidRPr="00861C29" w:rsidTr="00EF7120">
        <w:trPr>
          <w:trHeight w:val="501"/>
          <w:tblHeader/>
        </w:trPr>
        <w:tc>
          <w:tcPr>
            <w:tcW w:w="1558" w:type="dxa"/>
            <w:vMerge w:val="restart"/>
            <w:shd w:val="clear" w:color="auto" w:fill="E2EFD9" w:themeFill="accent6" w:themeFillTint="33"/>
            <w:vAlign w:val="center"/>
          </w:tcPr>
          <w:p w:rsidR="00727384" w:rsidRPr="00861C29" w:rsidRDefault="00727384" w:rsidP="00727384">
            <w:pPr>
              <w:jc w:val="center"/>
              <w:rPr>
                <w:b/>
                <w:u w:val="single"/>
              </w:rPr>
            </w:pPr>
            <w:r w:rsidRPr="00861C29">
              <w:rPr>
                <w:b/>
              </w:rPr>
              <w:t xml:space="preserve">La réhabilitation des structures de stockage, la construction de marchés </w:t>
            </w:r>
            <w:r w:rsidRPr="00861C29">
              <w:rPr>
                <w:b/>
              </w:rPr>
              <w:lastRenderedPageBreak/>
              <w:t>locaux, etc.</w:t>
            </w:r>
          </w:p>
        </w:tc>
        <w:tc>
          <w:tcPr>
            <w:tcW w:w="3820" w:type="dxa"/>
            <w:tcBorders>
              <w:top w:val="single" w:sz="4" w:space="0" w:color="auto"/>
            </w:tcBorders>
            <w:shd w:val="clear" w:color="auto" w:fill="FFFFFF" w:themeFill="background1"/>
          </w:tcPr>
          <w:p w:rsidR="00727384" w:rsidRPr="00861C29" w:rsidRDefault="00727384" w:rsidP="00727384">
            <w:pPr>
              <w:pStyle w:val="PargrafodaLista"/>
              <w:numPr>
                <w:ilvl w:val="0"/>
                <w:numId w:val="60"/>
              </w:numPr>
              <w:spacing w:after="0" w:line="240" w:lineRule="auto"/>
              <w:ind w:left="151" w:hanging="142"/>
              <w:jc w:val="both"/>
              <w:rPr>
                <w:color w:val="000000" w:themeColor="text1"/>
                <w:sz w:val="24"/>
                <w:szCs w:val="24"/>
                <w:lang w:val="fr-CA"/>
              </w:rPr>
            </w:pPr>
            <w:r w:rsidRPr="00861C29">
              <w:rPr>
                <w:rFonts w:ascii="Times New Roman" w:hAnsi="Times New Roman"/>
                <w:color w:val="000000" w:themeColor="text1"/>
                <w:sz w:val="24"/>
                <w:szCs w:val="24"/>
                <w:lang w:val="fr-CA"/>
              </w:rPr>
              <w:lastRenderedPageBreak/>
              <w:t>-Risques de contaminants de la qualité́ de l’air intérieur des infrastructures</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d’infections respiratoires dont l’asthme, les allergies respiratoires, les maux de tête et les nausées</w:t>
            </w:r>
          </w:p>
        </w:tc>
        <w:tc>
          <w:tcPr>
            <w:tcW w:w="4815" w:type="dxa"/>
            <w:tcBorders>
              <w:top w:val="single" w:sz="4" w:space="0" w:color="auto"/>
            </w:tcBorders>
            <w:shd w:val="clear" w:color="auto" w:fill="FFFFFF" w:themeFill="background1"/>
            <w:vAlign w:val="center"/>
          </w:tcPr>
          <w:p w:rsidR="00727384" w:rsidRPr="00861C29" w:rsidRDefault="00727384" w:rsidP="00727384">
            <w:r w:rsidRPr="00861C29">
              <w:t>-Concevoir une bonne aération des modules ;</w:t>
            </w:r>
          </w:p>
          <w:p w:rsidR="00727384" w:rsidRPr="00861C29" w:rsidRDefault="00727384" w:rsidP="00727384">
            <w:r w:rsidRPr="00861C29">
              <w:t>-Optimiser l’orientation des bâtiments par rapport au soleil ;</w:t>
            </w:r>
          </w:p>
          <w:p w:rsidR="00727384" w:rsidRPr="00861C29" w:rsidRDefault="00727384" w:rsidP="00727384">
            <w:r w:rsidRPr="00861C29">
              <w:t>-Collecte et gestion des déchets ;</w:t>
            </w:r>
          </w:p>
          <w:p w:rsidR="00727384" w:rsidRPr="00861C29" w:rsidRDefault="00727384" w:rsidP="00727384">
            <w:r w:rsidRPr="00861C29">
              <w:t xml:space="preserve">-Doter les techniciens de surface d’EPI adéquats. </w:t>
            </w:r>
          </w:p>
        </w:tc>
      </w:tr>
      <w:tr w:rsidR="00C170EE" w:rsidRPr="00861C29" w:rsidTr="00EF7120">
        <w:trPr>
          <w:trHeight w:val="501"/>
          <w:tblHeader/>
        </w:trPr>
        <w:tc>
          <w:tcPr>
            <w:tcW w:w="1558" w:type="dxa"/>
            <w:vMerge/>
            <w:shd w:val="clear" w:color="auto" w:fill="E2EFD9" w:themeFill="accent6" w:themeFillTint="33"/>
            <w:vAlign w:val="center"/>
          </w:tcPr>
          <w:p w:rsidR="00727384" w:rsidRPr="00861C29" w:rsidRDefault="00727384" w:rsidP="00727384">
            <w:pPr>
              <w:jc w:val="center"/>
              <w:rPr>
                <w:b/>
              </w:rPr>
            </w:pPr>
          </w:p>
        </w:tc>
        <w:tc>
          <w:tcPr>
            <w:tcW w:w="3820" w:type="dxa"/>
            <w:tcBorders>
              <w:top w:val="single" w:sz="4" w:space="0" w:color="auto"/>
            </w:tcBorders>
            <w:shd w:val="clear" w:color="auto" w:fill="FFFFFF" w:themeFill="background1"/>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de gêner des déchets au niveau des marchés locaux ;</w:t>
            </w:r>
          </w:p>
          <w:p w:rsidR="00727384" w:rsidRPr="00861C29" w:rsidRDefault="00727384" w:rsidP="00727384">
            <w:pPr>
              <w:pStyle w:val="PargrafodaLista"/>
              <w:numPr>
                <w:ilvl w:val="0"/>
                <w:numId w:val="60"/>
              </w:numPr>
              <w:spacing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pollution des eaux de surface due aux productions de déchets solides et liquides ;</w:t>
            </w:r>
          </w:p>
        </w:tc>
        <w:tc>
          <w:tcPr>
            <w:tcW w:w="4815" w:type="dxa"/>
            <w:tcBorders>
              <w:top w:val="single" w:sz="4" w:space="0" w:color="auto"/>
            </w:tcBorders>
            <w:shd w:val="clear" w:color="auto" w:fill="FFFFFF" w:themeFill="background1"/>
            <w:vAlign w:val="center"/>
          </w:tcPr>
          <w:p w:rsidR="00727384" w:rsidRPr="00861C29" w:rsidRDefault="00727384" w:rsidP="00727384">
            <w:pPr>
              <w:rPr>
                <w:color w:val="000000" w:themeColor="text1"/>
              </w:rPr>
            </w:pPr>
            <w:r w:rsidRPr="00861C29">
              <w:rPr>
                <w:color w:val="000000" w:themeColor="text1"/>
              </w:rPr>
              <w:t>-Mettre en place des systèmes de gestion des déchets solide et liquide ;</w:t>
            </w:r>
          </w:p>
          <w:p w:rsidR="00727384" w:rsidRPr="00861C29" w:rsidRDefault="00727384" w:rsidP="00727384">
            <w:pPr>
              <w:rPr>
                <w:color w:val="000000" w:themeColor="text1"/>
              </w:rPr>
            </w:pPr>
            <w:r w:rsidRPr="00861C29">
              <w:rPr>
                <w:color w:val="000000" w:themeColor="text1"/>
              </w:rPr>
              <w:t>-Mettre en place et afficher les consignes d’utilisation des toilettes ;</w:t>
            </w:r>
          </w:p>
          <w:p w:rsidR="00727384" w:rsidRPr="00861C29" w:rsidRDefault="00727384" w:rsidP="00727384">
            <w:pPr>
              <w:rPr>
                <w:color w:val="000000" w:themeColor="text1"/>
              </w:rPr>
            </w:pPr>
            <w:r w:rsidRPr="00861C29">
              <w:rPr>
                <w:color w:val="000000" w:themeColor="text1"/>
              </w:rPr>
              <w:t>-Mettre en place un réseau de collecte des eaux usées et pluviale au niveau des marchés et magasins stockages ;</w:t>
            </w:r>
          </w:p>
          <w:p w:rsidR="00727384" w:rsidRPr="00861C29" w:rsidRDefault="00727384" w:rsidP="00727384">
            <w:pPr>
              <w:rPr>
                <w:color w:val="000000" w:themeColor="text1"/>
              </w:rPr>
            </w:pPr>
            <w:r w:rsidRPr="00861C29">
              <w:rPr>
                <w:color w:val="000000" w:themeColor="text1"/>
              </w:rPr>
              <w:t>-Procéder à l’enlèvement régulier des poubelles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color w:val="000000" w:themeColor="text1"/>
                <w:sz w:val="24"/>
                <w:szCs w:val="24"/>
              </w:rPr>
              <w:t xml:space="preserve">Accompagner l’institution pour mettre en place un système durable de gestion de déchets ; </w:t>
            </w:r>
          </w:p>
        </w:tc>
      </w:tr>
      <w:tr w:rsidR="00C170EE" w:rsidRPr="00861C29" w:rsidTr="00EF7120">
        <w:trPr>
          <w:trHeight w:val="515"/>
          <w:tblHeader/>
        </w:trPr>
        <w:tc>
          <w:tcPr>
            <w:tcW w:w="1558" w:type="dxa"/>
            <w:vMerge/>
            <w:shd w:val="clear" w:color="auto" w:fill="E2EFD9" w:themeFill="accent6" w:themeFillTint="33"/>
            <w:vAlign w:val="center"/>
          </w:tcPr>
          <w:p w:rsidR="00727384" w:rsidRPr="00861C29" w:rsidRDefault="00727384" w:rsidP="00727384">
            <w:pPr>
              <w:jc w:val="center"/>
              <w:rPr>
                <w:b/>
                <w:u w:val="single"/>
              </w:rPr>
            </w:pPr>
          </w:p>
        </w:tc>
        <w:tc>
          <w:tcPr>
            <w:tcW w:w="3820" w:type="dxa"/>
            <w:tcBorders>
              <w:top w:val="single" w:sz="4" w:space="0" w:color="auto"/>
            </w:tcBorders>
            <w:shd w:val="clear" w:color="auto" w:fill="FFFFFF" w:themeFill="background1"/>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d’incendie au niveau des infrastructures de stockage et des marchés locaux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 d’électrocution;</w:t>
            </w:r>
          </w:p>
        </w:tc>
        <w:tc>
          <w:tcPr>
            <w:tcW w:w="4815" w:type="dxa"/>
            <w:tcBorders>
              <w:top w:val="single" w:sz="4" w:space="0" w:color="auto"/>
            </w:tcBorders>
            <w:shd w:val="clear" w:color="auto" w:fill="FFFFFF" w:themeFill="background1"/>
            <w:vAlign w:val="center"/>
          </w:tcPr>
          <w:p w:rsidR="00727384" w:rsidRPr="00861C29" w:rsidRDefault="00727384" w:rsidP="00727384">
            <w:pPr>
              <w:rPr>
                <w:color w:val="000000" w:themeColor="text1"/>
              </w:rPr>
            </w:pPr>
            <w:r w:rsidRPr="00861C29">
              <w:rPr>
                <w:color w:val="000000" w:themeColor="text1"/>
              </w:rPr>
              <w:t>- Sensibiliser les ouvriers sur les risques d’électrocution,</w:t>
            </w:r>
          </w:p>
          <w:p w:rsidR="00727384" w:rsidRPr="00861C29" w:rsidRDefault="00727384" w:rsidP="00727384">
            <w:pPr>
              <w:rPr>
                <w:color w:val="000000" w:themeColor="text1"/>
              </w:rPr>
            </w:pPr>
            <w:r w:rsidRPr="00861C29">
              <w:rPr>
                <w:color w:val="000000" w:themeColor="text1"/>
              </w:rPr>
              <w:t>- Contrôler l’ensemble du réseau d’électricité ;</w:t>
            </w:r>
          </w:p>
          <w:p w:rsidR="00727384" w:rsidRPr="00861C29" w:rsidRDefault="00727384" w:rsidP="00727384">
            <w:pPr>
              <w:rPr>
                <w:color w:val="000000" w:themeColor="text1"/>
              </w:rPr>
            </w:pPr>
            <w:r w:rsidRPr="00861C29">
              <w:rPr>
                <w:color w:val="000000" w:themeColor="text1"/>
              </w:rPr>
              <w:t>- Équiper les ouvriers en EPI adapter ;</w:t>
            </w:r>
          </w:p>
          <w:p w:rsidR="00727384" w:rsidRPr="00861C29" w:rsidRDefault="00727384" w:rsidP="00727384">
            <w:pPr>
              <w:rPr>
                <w:color w:val="000000" w:themeColor="text1"/>
              </w:rPr>
            </w:pPr>
            <w:r w:rsidRPr="00861C29">
              <w:rPr>
                <w:color w:val="000000" w:themeColor="text1"/>
              </w:rPr>
              <w:t>- Éviter les zones sensibles au feu ;</w:t>
            </w:r>
          </w:p>
          <w:p w:rsidR="00727384" w:rsidRPr="00861C29" w:rsidRDefault="00727384" w:rsidP="00727384">
            <w:pPr>
              <w:rPr>
                <w:color w:val="000000" w:themeColor="text1"/>
              </w:rPr>
            </w:pPr>
            <w:r w:rsidRPr="00861C29">
              <w:rPr>
                <w:b/>
                <w:color w:val="000000" w:themeColor="text1"/>
              </w:rPr>
              <w:t xml:space="preserve">- </w:t>
            </w:r>
            <w:r w:rsidRPr="00861C29">
              <w:rPr>
                <w:color w:val="000000" w:themeColor="text1"/>
              </w:rPr>
              <w:t>Mettre des panneaux d’interdiction de fumer dans les zones sensibles ;</w:t>
            </w:r>
          </w:p>
        </w:tc>
      </w:tr>
      <w:tr w:rsidR="00C170EE" w:rsidRPr="00861C29" w:rsidTr="00EF7120">
        <w:trPr>
          <w:trHeight w:val="515"/>
          <w:tblHeader/>
        </w:trPr>
        <w:tc>
          <w:tcPr>
            <w:tcW w:w="1558" w:type="dxa"/>
            <w:vMerge w:val="restart"/>
            <w:shd w:val="clear" w:color="auto" w:fill="E2EFD9" w:themeFill="accent6" w:themeFillTint="33"/>
            <w:vAlign w:val="center"/>
          </w:tcPr>
          <w:p w:rsidR="00727384" w:rsidRPr="00861C29" w:rsidRDefault="00727384" w:rsidP="00727384">
            <w:pPr>
              <w:jc w:val="center"/>
              <w:rPr>
                <w:b/>
                <w:u w:val="single"/>
              </w:rPr>
            </w:pPr>
            <w:r w:rsidRPr="00861C29">
              <w:rPr>
                <w:b/>
              </w:rPr>
              <w:t>Ouverture de routes d’accès aux zones de production agricole</w:t>
            </w:r>
          </w:p>
        </w:tc>
        <w:tc>
          <w:tcPr>
            <w:tcW w:w="3820" w:type="dxa"/>
            <w:tcBorders>
              <w:top w:val="single" w:sz="4" w:space="0" w:color="auto"/>
            </w:tcBorders>
            <w:shd w:val="clear" w:color="auto" w:fill="FFFFFF" w:themeFill="background1"/>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 xml:space="preserve">Risques d’accidents au niveau des cheptels et les hommes liés au passage des véhicules ;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Recrudescence des maladies respiratoires liés au passage des véhicules;</w:t>
            </w:r>
          </w:p>
        </w:tc>
        <w:tc>
          <w:tcPr>
            <w:tcW w:w="4815" w:type="dxa"/>
            <w:tcBorders>
              <w:top w:val="single" w:sz="4" w:space="0" w:color="auto"/>
            </w:tcBorders>
            <w:shd w:val="clear" w:color="auto" w:fill="FFFFFF" w:themeFill="background1"/>
            <w:vAlign w:val="center"/>
          </w:tcPr>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 xml:space="preserve">Mettre en place des panneaux de signalisation et de limitation de vitesse ;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Mettre des panneaux d’indication de présence des animaux ;</w:t>
            </w:r>
          </w:p>
          <w:p w:rsidR="00727384" w:rsidRPr="00861C29" w:rsidRDefault="00727384" w:rsidP="00727384">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Organiser des journées de sensibiliser par rapport à la sécuritaire routière ;</w:t>
            </w:r>
          </w:p>
        </w:tc>
      </w:tr>
      <w:tr w:rsidR="00C170EE" w:rsidRPr="00861C29" w:rsidTr="00EF7120">
        <w:trPr>
          <w:trHeight w:val="515"/>
          <w:tblHeader/>
        </w:trPr>
        <w:tc>
          <w:tcPr>
            <w:tcW w:w="1558" w:type="dxa"/>
            <w:vMerge/>
            <w:shd w:val="clear" w:color="auto" w:fill="E2EFD9" w:themeFill="accent6" w:themeFillTint="33"/>
            <w:vAlign w:val="center"/>
          </w:tcPr>
          <w:p w:rsidR="00727384" w:rsidRPr="00861C29" w:rsidRDefault="00727384" w:rsidP="00EF7120">
            <w:pPr>
              <w:jc w:val="center"/>
              <w:rPr>
                <w:b/>
                <w:u w:val="single"/>
              </w:rPr>
            </w:pPr>
          </w:p>
        </w:tc>
        <w:tc>
          <w:tcPr>
            <w:tcW w:w="3820" w:type="dxa"/>
            <w:tcBorders>
              <w:top w:val="single" w:sz="4" w:space="0" w:color="auto"/>
            </w:tcBorders>
            <w:shd w:val="clear" w:color="auto" w:fill="FFFFFF" w:themeFill="background1"/>
          </w:tcPr>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Risques d’inondation due aux manques ouvrages de traverser des eaux pluviales au niveau des pistes ;</w:t>
            </w:r>
          </w:p>
        </w:tc>
        <w:tc>
          <w:tcPr>
            <w:tcW w:w="4815" w:type="dxa"/>
            <w:tcBorders>
              <w:top w:val="single" w:sz="4" w:space="0" w:color="auto"/>
            </w:tcBorders>
            <w:shd w:val="clear" w:color="auto" w:fill="FFFFFF" w:themeFill="background1"/>
            <w:vAlign w:val="center"/>
          </w:tcPr>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Mettre et Sécuriser les ouvrages d’art contre l’ensablement pour éviter les phénomènes d’inondation ;</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Entretenir les ouvrages d’art comme les ponts, les dalots ; les buses, les canaux d’évacuation des eaux, etc. ;</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Veiller à la maintenance périodique et régulière des ouvrages d’art ;</w:t>
            </w:r>
          </w:p>
        </w:tc>
      </w:tr>
      <w:tr w:rsidR="00C170EE" w:rsidRPr="00861C29" w:rsidTr="00EF7120">
        <w:trPr>
          <w:trHeight w:val="515"/>
          <w:tblHeader/>
        </w:trPr>
        <w:tc>
          <w:tcPr>
            <w:tcW w:w="1558" w:type="dxa"/>
            <w:vMerge/>
            <w:shd w:val="clear" w:color="auto" w:fill="E2EFD9" w:themeFill="accent6" w:themeFillTint="33"/>
            <w:vAlign w:val="center"/>
          </w:tcPr>
          <w:p w:rsidR="00727384" w:rsidRPr="00861C29" w:rsidRDefault="00727384" w:rsidP="00EF7120">
            <w:pPr>
              <w:jc w:val="center"/>
              <w:rPr>
                <w:b/>
                <w:u w:val="single"/>
              </w:rPr>
            </w:pPr>
          </w:p>
        </w:tc>
        <w:tc>
          <w:tcPr>
            <w:tcW w:w="3820" w:type="dxa"/>
            <w:tcBorders>
              <w:top w:val="single" w:sz="4" w:space="0" w:color="auto"/>
            </w:tcBorders>
            <w:shd w:val="clear" w:color="auto" w:fill="FFFFFF" w:themeFill="background1"/>
          </w:tcPr>
          <w:p w:rsidR="00727384" w:rsidRPr="00861C29" w:rsidRDefault="00727384" w:rsidP="00EF7120">
            <w:pPr>
              <w:pStyle w:val="PargrafodaLista"/>
              <w:numPr>
                <w:ilvl w:val="0"/>
                <w:numId w:val="60"/>
              </w:numPr>
              <w:spacing w:after="0" w:line="240" w:lineRule="auto"/>
              <w:ind w:left="151" w:hanging="142"/>
              <w:rPr>
                <w:rFonts w:ascii="Times New Roman" w:hAnsi="Times New Roman"/>
                <w:sz w:val="24"/>
                <w:szCs w:val="24"/>
                <w:lang w:val="fr-CA"/>
              </w:rPr>
            </w:pPr>
            <w:r w:rsidRPr="00861C29">
              <w:rPr>
                <w:rFonts w:ascii="Times New Roman" w:hAnsi="Times New Roman"/>
                <w:sz w:val="24"/>
                <w:szCs w:val="24"/>
              </w:rPr>
              <w:t>Risque d’émissions de gaz à effet de serre ;</w:t>
            </w:r>
          </w:p>
        </w:tc>
        <w:tc>
          <w:tcPr>
            <w:tcW w:w="4815" w:type="dxa"/>
            <w:tcBorders>
              <w:top w:val="single" w:sz="4" w:space="0" w:color="auto"/>
            </w:tcBorders>
            <w:shd w:val="clear" w:color="auto" w:fill="FFFFFF" w:themeFill="background1"/>
            <w:vAlign w:val="center"/>
          </w:tcPr>
          <w:p w:rsidR="00727384" w:rsidRPr="00861C29" w:rsidRDefault="00727384" w:rsidP="00EF7120">
            <w:r w:rsidRPr="00861C29">
              <w:t>- Organiser des Campagnes de sensibilisation pour lutter contre les déchargements des gaz à effet de serre ;</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sz w:val="24"/>
                <w:szCs w:val="24"/>
              </w:rPr>
              <w:t>Veiller aux visites techniques des véhicules ;</w:t>
            </w:r>
          </w:p>
        </w:tc>
      </w:tr>
      <w:tr w:rsidR="00C170EE" w:rsidRPr="00861C29" w:rsidTr="00EF7120">
        <w:trPr>
          <w:trHeight w:val="515"/>
          <w:tblHeader/>
        </w:trPr>
        <w:tc>
          <w:tcPr>
            <w:tcW w:w="1558" w:type="dxa"/>
            <w:vMerge/>
            <w:shd w:val="clear" w:color="auto" w:fill="E2EFD9" w:themeFill="accent6" w:themeFillTint="33"/>
            <w:vAlign w:val="center"/>
          </w:tcPr>
          <w:p w:rsidR="00727384" w:rsidRPr="00861C29" w:rsidRDefault="00727384" w:rsidP="00EF7120">
            <w:pPr>
              <w:jc w:val="center"/>
              <w:rPr>
                <w:b/>
                <w:u w:val="single"/>
              </w:rPr>
            </w:pPr>
          </w:p>
        </w:tc>
        <w:tc>
          <w:tcPr>
            <w:tcW w:w="3820" w:type="dxa"/>
            <w:tcBorders>
              <w:top w:val="single" w:sz="4" w:space="0" w:color="auto"/>
            </w:tcBorders>
            <w:shd w:val="clear" w:color="auto" w:fill="FFFFFF" w:themeFill="background1"/>
            <w:vAlign w:val="center"/>
          </w:tcPr>
          <w:p w:rsidR="00727384" w:rsidRPr="00861C29" w:rsidRDefault="00727384" w:rsidP="00EF7120">
            <w:pPr>
              <w:pStyle w:val="PargrafodaLista"/>
              <w:numPr>
                <w:ilvl w:val="0"/>
                <w:numId w:val="60"/>
              </w:numPr>
              <w:spacing w:line="240" w:lineRule="auto"/>
              <w:ind w:left="151" w:hanging="142"/>
              <w:rPr>
                <w:rFonts w:ascii="Times New Roman" w:hAnsi="Times New Roman"/>
                <w:sz w:val="24"/>
                <w:szCs w:val="24"/>
              </w:rPr>
            </w:pPr>
            <w:r w:rsidRPr="00861C29">
              <w:rPr>
                <w:rFonts w:ascii="Times New Roman" w:hAnsi="Times New Roman"/>
                <w:sz w:val="24"/>
                <w:szCs w:val="24"/>
              </w:rPr>
              <w:t>Risque de réduction de la surface d’infiltration et augmentation du ruissellement des eaux de pluie.</w:t>
            </w:r>
          </w:p>
        </w:tc>
        <w:tc>
          <w:tcPr>
            <w:tcW w:w="4815" w:type="dxa"/>
            <w:tcBorders>
              <w:top w:val="single" w:sz="4" w:space="0" w:color="auto"/>
            </w:tcBorders>
            <w:shd w:val="clear" w:color="auto" w:fill="FFFFFF" w:themeFill="background1"/>
            <w:vAlign w:val="center"/>
          </w:tcPr>
          <w:p w:rsidR="00727384" w:rsidRPr="00861C29" w:rsidRDefault="00727384" w:rsidP="00EF7120">
            <w:r w:rsidRPr="00861C29">
              <w:t>- Sécuriser les ouvrages d’art contre les déchets solides ;</w:t>
            </w:r>
          </w:p>
          <w:p w:rsidR="00727384" w:rsidRPr="00861C29" w:rsidRDefault="00727384" w:rsidP="00EF7120">
            <w:r w:rsidRPr="00861C29">
              <w:t>- Eviter les phénomènes d’ensablement des ouvrages d’art comme les ponts, les dalots ; les buses, les canaux d’évacuation des eaux, etc. ;</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sz w:val="24"/>
                <w:szCs w:val="24"/>
              </w:rPr>
              <w:t>Veiller à l’entretien et à la maintenance périodique et régulière des ouvrages d’art ;</w:t>
            </w:r>
          </w:p>
        </w:tc>
      </w:tr>
      <w:tr w:rsidR="00C170EE" w:rsidRPr="00861C29" w:rsidTr="00EF7120">
        <w:trPr>
          <w:trHeight w:val="515"/>
          <w:tblHeader/>
        </w:trPr>
        <w:tc>
          <w:tcPr>
            <w:tcW w:w="1558" w:type="dxa"/>
            <w:vMerge/>
            <w:shd w:val="clear" w:color="auto" w:fill="E2EFD9" w:themeFill="accent6" w:themeFillTint="33"/>
            <w:vAlign w:val="center"/>
          </w:tcPr>
          <w:p w:rsidR="00727384" w:rsidRPr="00861C29" w:rsidRDefault="00727384" w:rsidP="00EF7120">
            <w:pPr>
              <w:jc w:val="center"/>
              <w:rPr>
                <w:b/>
                <w:u w:val="single"/>
              </w:rPr>
            </w:pPr>
          </w:p>
        </w:tc>
        <w:tc>
          <w:tcPr>
            <w:tcW w:w="3820" w:type="dxa"/>
            <w:tcBorders>
              <w:top w:val="single" w:sz="4" w:space="0" w:color="auto"/>
            </w:tcBorders>
            <w:shd w:val="clear" w:color="auto" w:fill="FFFFFF" w:themeFill="background1"/>
            <w:vAlign w:val="center"/>
          </w:tcPr>
          <w:p w:rsidR="00727384" w:rsidRPr="00861C29" w:rsidRDefault="00727384" w:rsidP="00EF7120">
            <w:pPr>
              <w:rPr>
                <w:rFonts w:eastAsia="Calibri"/>
              </w:rPr>
            </w:pPr>
            <w:r w:rsidRPr="00861C29">
              <w:rPr>
                <w:rFonts w:eastAsia="Calibri"/>
              </w:rPr>
              <w:t>- Risques de feux de brousse le long de la route ;</w:t>
            </w:r>
          </w:p>
          <w:p w:rsidR="00727384" w:rsidRPr="00861C29" w:rsidRDefault="00727384" w:rsidP="00EF7120">
            <w:pPr>
              <w:pStyle w:val="PargrafodaLista"/>
              <w:numPr>
                <w:ilvl w:val="0"/>
                <w:numId w:val="60"/>
              </w:numPr>
              <w:spacing w:line="240" w:lineRule="auto"/>
              <w:ind w:left="151" w:hanging="142"/>
              <w:rPr>
                <w:rFonts w:ascii="Times New Roman" w:hAnsi="Times New Roman"/>
                <w:sz w:val="24"/>
                <w:szCs w:val="24"/>
              </w:rPr>
            </w:pPr>
            <w:r w:rsidRPr="00861C29">
              <w:rPr>
                <w:rFonts w:ascii="Times New Roman" w:hAnsi="Times New Roman"/>
                <w:sz w:val="24"/>
                <w:szCs w:val="24"/>
              </w:rPr>
              <w:t>Risques d'accidents d'animaux sauvages traversant la route ;</w:t>
            </w:r>
          </w:p>
        </w:tc>
        <w:tc>
          <w:tcPr>
            <w:tcW w:w="4815" w:type="dxa"/>
            <w:tcBorders>
              <w:top w:val="single" w:sz="4" w:space="0" w:color="auto"/>
            </w:tcBorders>
            <w:shd w:val="clear" w:color="auto" w:fill="FFFFFF" w:themeFill="background1"/>
            <w:vAlign w:val="center"/>
          </w:tcPr>
          <w:p w:rsidR="00727384" w:rsidRPr="00861C29" w:rsidRDefault="00727384" w:rsidP="00EF7120">
            <w:r w:rsidRPr="00861C29">
              <w:t>- Organiser des Campagnes de sensibilisation pour lutter contre les feux de brousse ;</w:t>
            </w:r>
          </w:p>
          <w:p w:rsidR="00727384" w:rsidRPr="00861C29" w:rsidRDefault="00727384" w:rsidP="00EF7120">
            <w:r w:rsidRPr="00861C29">
              <w:t>- Sensibiliser les conducteurs de véhicules pour veiller contre les jets de mégot de cigarette ;</w:t>
            </w:r>
          </w:p>
          <w:p w:rsidR="00727384" w:rsidRPr="00861C29" w:rsidRDefault="00727384" w:rsidP="00EF7120">
            <w:r w:rsidRPr="00861C29">
              <w:t>- Eviter de faire du feu au rebord de la route ;</w:t>
            </w:r>
          </w:p>
          <w:p w:rsidR="00727384" w:rsidRPr="00861C29" w:rsidRDefault="00727384" w:rsidP="00EF7120">
            <w:r w:rsidRPr="00861C29">
              <w:t>- Bien matérialiser les zones de passage des animaux ;</w:t>
            </w:r>
          </w:p>
          <w:p w:rsidR="00727384" w:rsidRPr="00861C29" w:rsidRDefault="00727384" w:rsidP="00EF7120">
            <w:r w:rsidRPr="00861C29">
              <w:t>- Organiser des journées de sensibilisation et information des conducteurs pour la préservation des animaux sauvages ;</w:t>
            </w:r>
          </w:p>
        </w:tc>
      </w:tr>
      <w:tr w:rsidR="00C170EE" w:rsidRPr="00861C29" w:rsidTr="00EF7120">
        <w:trPr>
          <w:trHeight w:val="515"/>
          <w:tblHeader/>
        </w:trPr>
        <w:tc>
          <w:tcPr>
            <w:tcW w:w="1558" w:type="dxa"/>
            <w:vMerge/>
            <w:shd w:val="clear" w:color="auto" w:fill="E2EFD9" w:themeFill="accent6" w:themeFillTint="33"/>
            <w:vAlign w:val="center"/>
          </w:tcPr>
          <w:p w:rsidR="00727384" w:rsidRPr="00861C29" w:rsidRDefault="00727384" w:rsidP="00EF7120">
            <w:pPr>
              <w:jc w:val="center"/>
              <w:rPr>
                <w:b/>
                <w:u w:val="single"/>
              </w:rPr>
            </w:pPr>
          </w:p>
        </w:tc>
        <w:tc>
          <w:tcPr>
            <w:tcW w:w="3820" w:type="dxa"/>
            <w:tcBorders>
              <w:top w:val="single" w:sz="4" w:space="0" w:color="auto"/>
            </w:tcBorders>
            <w:shd w:val="clear" w:color="auto" w:fill="FFFFFF" w:themeFill="background1"/>
            <w:vAlign w:val="center"/>
          </w:tcPr>
          <w:p w:rsidR="00727384" w:rsidRPr="00861C29" w:rsidRDefault="00727384" w:rsidP="00EF7120">
            <w:pPr>
              <w:rPr>
                <w:rFonts w:eastAsia="Calibri"/>
              </w:rPr>
            </w:pPr>
            <w:r w:rsidRPr="00861C29">
              <w:rPr>
                <w:rFonts w:eastAsia="Calibri"/>
              </w:rPr>
              <w:t>- Risque d’accidents dû à la circulation des véhicules ;</w:t>
            </w:r>
          </w:p>
          <w:p w:rsidR="00727384" w:rsidRPr="00861C29" w:rsidRDefault="00727384" w:rsidP="00EF7120">
            <w:pPr>
              <w:rPr>
                <w:rFonts w:eastAsia="Calibri"/>
              </w:rPr>
            </w:pPr>
            <w:r w:rsidRPr="00861C29">
              <w:rPr>
                <w:rFonts w:eastAsia="Calibri"/>
              </w:rPr>
              <w:t>- Risque d’augmentation du trafic routier ;</w:t>
            </w:r>
          </w:p>
        </w:tc>
        <w:tc>
          <w:tcPr>
            <w:tcW w:w="4815" w:type="dxa"/>
            <w:tcBorders>
              <w:top w:val="single" w:sz="4" w:space="0" w:color="auto"/>
            </w:tcBorders>
            <w:shd w:val="clear" w:color="auto" w:fill="FFFFFF" w:themeFill="background1"/>
            <w:vAlign w:val="center"/>
          </w:tcPr>
          <w:p w:rsidR="00727384" w:rsidRPr="00861C29" w:rsidRDefault="00727384" w:rsidP="00EF7120">
            <w:r w:rsidRPr="00861C29">
              <w:t>- Mettre des panneaux de signalisation horizontale, verticale et au sol,</w:t>
            </w:r>
          </w:p>
          <w:p w:rsidR="00727384" w:rsidRPr="00861C29" w:rsidRDefault="00727384" w:rsidP="00EF7120">
            <w:r w:rsidRPr="00861C29">
              <w:t>- Bien matérialiser les passages des piétons, des enfants, des animaux, etc.</w:t>
            </w:r>
          </w:p>
          <w:p w:rsidR="00727384" w:rsidRPr="00861C29" w:rsidRDefault="00727384" w:rsidP="00EF7120">
            <w:r w:rsidRPr="00861C29">
              <w:t>- Sensibiliser les conducteurs à la sécurité routière ;</w:t>
            </w:r>
          </w:p>
        </w:tc>
      </w:tr>
      <w:tr w:rsidR="00C170EE" w:rsidRPr="00861C29" w:rsidTr="00EF7120">
        <w:trPr>
          <w:trHeight w:val="1396"/>
          <w:tblHeader/>
        </w:trPr>
        <w:tc>
          <w:tcPr>
            <w:tcW w:w="1558" w:type="dxa"/>
            <w:vMerge w:val="restart"/>
            <w:shd w:val="clear" w:color="auto" w:fill="E2EFD9" w:themeFill="accent6" w:themeFillTint="33"/>
            <w:vAlign w:val="center"/>
          </w:tcPr>
          <w:p w:rsidR="00727384" w:rsidRPr="00861C29" w:rsidRDefault="00727384" w:rsidP="00EF7120">
            <w:pPr>
              <w:jc w:val="center"/>
              <w:rPr>
                <w:b/>
                <w:u w:val="single"/>
              </w:rPr>
            </w:pPr>
            <w:r w:rsidRPr="00861C29">
              <w:rPr>
                <w:b/>
              </w:rPr>
              <w:t>Soutien aux Filets de Sécurité communautaires  ( Communs aux différents travaux)</w:t>
            </w:r>
          </w:p>
        </w:tc>
        <w:tc>
          <w:tcPr>
            <w:tcW w:w="3820" w:type="dxa"/>
            <w:tcBorders>
              <w:top w:val="single" w:sz="4" w:space="0" w:color="auto"/>
            </w:tcBorders>
            <w:shd w:val="clear" w:color="auto" w:fill="FFFFFF" w:themeFill="background1"/>
            <w:vAlign w:val="center"/>
          </w:tcPr>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lang w:val="fr-CA"/>
              </w:rPr>
            </w:pPr>
            <w:r w:rsidRPr="00861C29">
              <w:rPr>
                <w:rFonts w:ascii="Times New Roman" w:hAnsi="Times New Roman"/>
                <w:color w:val="000000" w:themeColor="text1"/>
                <w:sz w:val="24"/>
                <w:szCs w:val="24"/>
              </w:rPr>
              <w:t>Risques d’abus et exploitation sexuelle, et harcèlement sexuel</w:t>
            </w:r>
          </w:p>
        </w:tc>
        <w:tc>
          <w:tcPr>
            <w:tcW w:w="4815" w:type="dxa"/>
            <w:tcBorders>
              <w:top w:val="single" w:sz="4" w:space="0" w:color="auto"/>
            </w:tcBorders>
            <w:shd w:val="clear" w:color="auto" w:fill="FFFFFF" w:themeFill="background1"/>
          </w:tcPr>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Respecter le règlement intérieur des chantiers</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Appuyer les programmes intégrant la mobilisation communautaire sur la VBG ;</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Appuyer les activités ayant une large représentation de la communauté de base ;</w:t>
            </w:r>
          </w:p>
          <w:p w:rsidR="00727384" w:rsidRPr="00861C29" w:rsidRDefault="00727384" w:rsidP="00EF7120">
            <w:pPr>
              <w:pStyle w:val="PargrafodaLista"/>
              <w:numPr>
                <w:ilvl w:val="0"/>
                <w:numId w:val="60"/>
              </w:numPr>
              <w:spacing w:after="0" w:line="240" w:lineRule="auto"/>
              <w:ind w:left="151" w:hanging="142"/>
              <w:rPr>
                <w:color w:val="000000" w:themeColor="text1"/>
                <w:sz w:val="24"/>
                <w:szCs w:val="24"/>
              </w:rPr>
            </w:pPr>
            <w:r w:rsidRPr="00861C29">
              <w:rPr>
                <w:rFonts w:ascii="Times New Roman" w:hAnsi="Times New Roman"/>
                <w:color w:val="000000" w:themeColor="text1"/>
                <w:sz w:val="24"/>
                <w:szCs w:val="24"/>
              </w:rPr>
              <w:t>Lutter contre tous types de discrimination envers les femmes ou personnes handicapés ;</w:t>
            </w:r>
          </w:p>
        </w:tc>
      </w:tr>
      <w:tr w:rsidR="00C170EE" w:rsidRPr="00861C29" w:rsidTr="00EF7120">
        <w:trPr>
          <w:trHeight w:val="320"/>
          <w:tblHeader/>
        </w:trPr>
        <w:tc>
          <w:tcPr>
            <w:tcW w:w="1558" w:type="dxa"/>
            <w:vMerge/>
            <w:shd w:val="clear" w:color="auto" w:fill="E2EFD9" w:themeFill="accent6" w:themeFillTint="33"/>
            <w:vAlign w:val="center"/>
          </w:tcPr>
          <w:p w:rsidR="00727384" w:rsidRPr="00861C29" w:rsidRDefault="00727384" w:rsidP="00EF7120">
            <w:pPr>
              <w:jc w:val="center"/>
              <w:rPr>
                <w:b/>
                <w:u w:val="single"/>
              </w:rPr>
            </w:pPr>
          </w:p>
        </w:tc>
        <w:tc>
          <w:tcPr>
            <w:tcW w:w="3820" w:type="dxa"/>
            <w:tcBorders>
              <w:top w:val="single" w:sz="4" w:space="0" w:color="auto"/>
            </w:tcBorders>
            <w:shd w:val="clear" w:color="auto" w:fill="FFFFFF" w:themeFill="background1"/>
            <w:vAlign w:val="center"/>
          </w:tcPr>
          <w:p w:rsidR="00727384" w:rsidRPr="00861C29" w:rsidRDefault="00727384" w:rsidP="00EF7120">
            <w:pPr>
              <w:pStyle w:val="PargrafodaLista"/>
              <w:numPr>
                <w:ilvl w:val="0"/>
                <w:numId w:val="60"/>
              </w:numPr>
              <w:spacing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Risque de développement de parasitoses chez les animaux ;</w:t>
            </w:r>
          </w:p>
          <w:p w:rsidR="00727384" w:rsidRPr="00861C29" w:rsidRDefault="00727384" w:rsidP="00EF7120">
            <w:pPr>
              <w:pStyle w:val="PargrafodaLista"/>
              <w:numPr>
                <w:ilvl w:val="0"/>
                <w:numId w:val="60"/>
              </w:numPr>
              <w:spacing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Risque d’apparition de maladies animales transfrontalières ;</w:t>
            </w:r>
          </w:p>
          <w:p w:rsidR="00727384" w:rsidRPr="00861C29" w:rsidRDefault="00727384" w:rsidP="00EF7120">
            <w:pPr>
              <w:pStyle w:val="PargrafodaLista"/>
              <w:numPr>
                <w:ilvl w:val="0"/>
                <w:numId w:val="60"/>
              </w:numPr>
              <w:spacing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Risque d’exposition à des agents pathogènes contenus dans les déchets organiques et autres zoonoses</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lang w:val="fr-CA"/>
              </w:rPr>
            </w:pPr>
            <w:r w:rsidRPr="00861C29">
              <w:rPr>
                <w:rFonts w:ascii="Times New Roman" w:hAnsi="Times New Roman"/>
                <w:color w:val="000000" w:themeColor="text1"/>
                <w:sz w:val="24"/>
                <w:szCs w:val="24"/>
              </w:rPr>
              <w:t>Risque de blessure par les seringues usagées, provocant des infections (tétanos) ;</w:t>
            </w:r>
          </w:p>
        </w:tc>
        <w:tc>
          <w:tcPr>
            <w:tcW w:w="4815" w:type="dxa"/>
            <w:tcBorders>
              <w:top w:val="single" w:sz="4" w:space="0" w:color="auto"/>
            </w:tcBorders>
            <w:shd w:val="clear" w:color="auto" w:fill="FFFFFF" w:themeFill="background1"/>
          </w:tcPr>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Organiser des journées de sensibilisation avec les éleveurs pour lutter contre les maladies et valoriser la vaccination animale</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Mettre en place des parcs de vaccination de bétail</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Eviter autant que possible les parcours des bétails</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Eviter de jeter les déchets organiques dans la nature</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Equiper les agents en charge des activités de vaccination en matériel suffisante et de qualité ;</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Sensibiliser ces agents contre les risques de blessure avec les seringues usagées ;</w:t>
            </w:r>
          </w:p>
          <w:p w:rsidR="00727384" w:rsidRPr="00861C29" w:rsidRDefault="00727384" w:rsidP="00EF7120">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Eviter les mares et si possible mettre en place des abreuvoirs dans les zones donc l’accès à l’eau est difficile</w:t>
            </w:r>
          </w:p>
          <w:p w:rsidR="00727384" w:rsidRPr="00861C29" w:rsidRDefault="00727384" w:rsidP="00EF7120">
            <w:pPr>
              <w:rPr>
                <w:b/>
                <w:color w:val="000000" w:themeColor="text1"/>
              </w:rPr>
            </w:pPr>
            <w:r w:rsidRPr="00861C29">
              <w:rPr>
                <w:color w:val="000000" w:themeColor="text1"/>
              </w:rPr>
              <w:t>Augmenter les contrôles par rapport à la santé des bétails</w:t>
            </w:r>
          </w:p>
        </w:tc>
      </w:tr>
    </w:tbl>
    <w:p w:rsidR="00337D92" w:rsidRPr="00861C29" w:rsidRDefault="00337D92" w:rsidP="00EF7120">
      <w:pPr>
        <w:tabs>
          <w:tab w:val="right" w:leader="dot" w:pos="10348"/>
        </w:tabs>
        <w:ind w:right="-993"/>
        <w:jc w:val="center"/>
        <w:rPr>
          <w:bCs/>
        </w:rPr>
      </w:pPr>
    </w:p>
    <w:p w:rsidR="00337D92" w:rsidRPr="00861C29" w:rsidRDefault="00977359" w:rsidP="009D7EF4">
      <w:pPr>
        <w:pStyle w:val="PargrafodaLista"/>
        <w:numPr>
          <w:ilvl w:val="0"/>
          <w:numId w:val="246"/>
        </w:numPr>
        <w:tabs>
          <w:tab w:val="left" w:pos="1418"/>
          <w:tab w:val="left" w:pos="1843"/>
        </w:tabs>
        <w:spacing w:after="0" w:line="240" w:lineRule="auto"/>
        <w:ind w:right="-993"/>
        <w:contextualSpacing w:val="0"/>
        <w:rPr>
          <w:rFonts w:ascii="Times New Roman" w:hAnsi="Times New Roman"/>
          <w:b/>
          <w:bCs/>
          <w:i/>
          <w:sz w:val="24"/>
          <w:szCs w:val="24"/>
        </w:rPr>
      </w:pPr>
      <w:r w:rsidRPr="00861C29">
        <w:rPr>
          <w:rFonts w:ascii="Times New Roman" w:hAnsi="Times New Roman"/>
          <w:b/>
          <w:bCs/>
          <w:i/>
          <w:sz w:val="24"/>
          <w:szCs w:val="24"/>
        </w:rPr>
        <w:t xml:space="preserve">PROCEDURE </w:t>
      </w:r>
      <w:r w:rsidR="00337D92" w:rsidRPr="00861C29">
        <w:rPr>
          <w:rFonts w:ascii="Times New Roman" w:hAnsi="Times New Roman"/>
          <w:b/>
          <w:bCs/>
          <w:i/>
          <w:sz w:val="24"/>
          <w:szCs w:val="24"/>
        </w:rPr>
        <w:t>DE GESTION ENVIRONNEMENTALE ET SOCIALE</w:t>
      </w:r>
      <w:r w:rsidR="00337D92" w:rsidRPr="00861C29">
        <w:rPr>
          <w:rFonts w:ascii="Times New Roman" w:hAnsi="Times New Roman"/>
          <w:b/>
          <w:bCs/>
          <w:i/>
          <w:sz w:val="24"/>
          <w:szCs w:val="24"/>
        </w:rPr>
        <w:tab/>
      </w:r>
    </w:p>
    <w:p w:rsidR="00FF2D9F" w:rsidRDefault="00FF2D9F" w:rsidP="00CC49A3">
      <w:pPr>
        <w:jc w:val="both"/>
      </w:pPr>
    </w:p>
    <w:p w:rsidR="00337D92" w:rsidRPr="00861C29" w:rsidRDefault="00337D92" w:rsidP="00CC49A3">
      <w:pPr>
        <w:jc w:val="both"/>
      </w:pPr>
      <w:r w:rsidRPr="00861C29">
        <w:t>La Procédure de Gestion Environnementale et Sociale (PGES) va accompagner la mise en œuvre des activités du projet d’urgence de sécurité alimentaire (PUSA) dans ses zones d’intervention du pays.</w:t>
      </w:r>
    </w:p>
    <w:p w:rsidR="00337D92" w:rsidRPr="00861C29" w:rsidRDefault="00337D92" w:rsidP="00CC49A3">
      <w:pPr>
        <w:tabs>
          <w:tab w:val="right" w:leader="dot" w:pos="10348"/>
        </w:tabs>
        <w:jc w:val="both"/>
      </w:pPr>
      <w:r w:rsidRPr="00861C29">
        <w:lastRenderedPageBreak/>
        <w:t>C’est l’outil qui permet de tirer profit (au maximum) des retombées positives du projet en proposant une série de mesures visant à éliminer ou réduire les impacts négatifs potentiels du projet sur les composantes biophysiques et sociales dans la zone d’intervention. Son objectif principal est de consolider les ambitions du Projet PUSA à travers l’amélioration des revenus des petits et grands producteurs agricoles.</w:t>
      </w:r>
    </w:p>
    <w:p w:rsidR="00337D92" w:rsidRPr="00861C29" w:rsidRDefault="00337D92" w:rsidP="00CC49A3">
      <w:pPr>
        <w:jc w:val="both"/>
      </w:pPr>
    </w:p>
    <w:p w:rsidR="00337D92" w:rsidRPr="00861C29" w:rsidRDefault="00337D92" w:rsidP="00CC49A3">
      <w:pPr>
        <w:jc w:val="both"/>
      </w:pPr>
      <w:r w:rsidRPr="00861C29">
        <w:t>Le screening poursuit les objectifs suivants :</w:t>
      </w:r>
    </w:p>
    <w:p w:rsidR="00337D92" w:rsidRPr="00861C29" w:rsidRDefault="00337D92" w:rsidP="00D47C37">
      <w:pPr>
        <w:numPr>
          <w:ilvl w:val="0"/>
          <w:numId w:val="63"/>
        </w:numPr>
        <w:ind w:left="426" w:hanging="283"/>
        <w:jc w:val="both"/>
      </w:pPr>
      <w:r w:rsidRPr="00861C29">
        <w:t>déterminer les activités du PUSA potentiellement porteuses d'impacts négatifs majeurs au niveau environnemental et social ;</w:t>
      </w:r>
    </w:p>
    <w:p w:rsidR="00337D92" w:rsidRPr="00861C29" w:rsidRDefault="00337D92" w:rsidP="00D47C37">
      <w:pPr>
        <w:numPr>
          <w:ilvl w:val="0"/>
          <w:numId w:val="63"/>
        </w:numPr>
        <w:ind w:left="426" w:hanging="283"/>
        <w:jc w:val="both"/>
      </w:pPr>
      <w:r w:rsidRPr="00861C29">
        <w:t>déterminer les activités nécessitant des études d'impact environnemental et social (EIES) additionnelles ;</w:t>
      </w:r>
    </w:p>
    <w:p w:rsidR="00337D92" w:rsidRPr="00861C29" w:rsidRDefault="00337D92" w:rsidP="00D47C37">
      <w:pPr>
        <w:numPr>
          <w:ilvl w:val="0"/>
          <w:numId w:val="63"/>
        </w:numPr>
        <w:ind w:left="426" w:hanging="283"/>
        <w:jc w:val="both"/>
      </w:pPr>
      <w:r w:rsidRPr="00861C29">
        <w:t xml:space="preserve">pour les activités qui ne nécessitent pas une EIES, identifier les mesures d'atténuation pertinentes à intégrer dans les dossiers de ces activités ; </w:t>
      </w:r>
    </w:p>
    <w:p w:rsidR="00337D92" w:rsidRPr="00861C29" w:rsidRDefault="00337D92" w:rsidP="00D47C37">
      <w:pPr>
        <w:ind w:left="426"/>
        <w:jc w:val="both"/>
      </w:pPr>
    </w:p>
    <w:p w:rsidR="00337D92" w:rsidRPr="00861C29" w:rsidRDefault="00337D92" w:rsidP="00D47C37">
      <w:pPr>
        <w:pStyle w:val="PargrafodaLista"/>
        <w:numPr>
          <w:ilvl w:val="1"/>
          <w:numId w:val="64"/>
        </w:numPr>
        <w:spacing w:after="0" w:line="240" w:lineRule="auto"/>
        <w:outlineLvl w:val="1"/>
        <w:rPr>
          <w:rFonts w:ascii="Times New Roman" w:hAnsi="Times New Roman"/>
          <w:b/>
          <w:bCs/>
          <w:sz w:val="24"/>
          <w:szCs w:val="24"/>
        </w:rPr>
      </w:pPr>
      <w:bookmarkStart w:id="30" w:name="_Toc75432217"/>
      <w:r w:rsidRPr="00861C29">
        <w:rPr>
          <w:rFonts w:ascii="Times New Roman" w:hAnsi="Times New Roman"/>
          <w:b/>
          <w:bCs/>
          <w:sz w:val="24"/>
          <w:szCs w:val="24"/>
        </w:rPr>
        <w:t>MESURES DE CORRECTION</w:t>
      </w:r>
      <w:bookmarkEnd w:id="30"/>
    </w:p>
    <w:p w:rsidR="00337D92" w:rsidRPr="00861C29" w:rsidRDefault="00337D92" w:rsidP="003D6FC3">
      <w:pPr>
        <w:jc w:val="both"/>
      </w:pPr>
      <w:r w:rsidRPr="00861C29">
        <w:t>En vue d’éviter/réduire les impacts négatifs du Projet d’urgence de sécurité alimentaire en Guinée Bissau (PUSA), des mesures sont souvent prises dans une optique d’amplifier leurs impacts positifs. Le projet PUSA a déjà intégré plusieurs mesures dans ce sens.</w:t>
      </w:r>
    </w:p>
    <w:p w:rsidR="00337D92" w:rsidRPr="00861C29" w:rsidRDefault="00337D92" w:rsidP="00D47C37">
      <w:pPr>
        <w:tabs>
          <w:tab w:val="right" w:leader="dot" w:pos="10348"/>
        </w:tabs>
        <w:ind w:left="-284"/>
        <w:jc w:val="both"/>
      </w:pPr>
    </w:p>
    <w:p w:rsidR="00337D92" w:rsidRPr="00861C29" w:rsidRDefault="00337D92" w:rsidP="00D47C37">
      <w:pPr>
        <w:pStyle w:val="PargrafodaLista"/>
        <w:numPr>
          <w:ilvl w:val="0"/>
          <w:numId w:val="252"/>
        </w:numPr>
        <w:spacing w:after="0" w:line="240" w:lineRule="auto"/>
        <w:ind w:left="709"/>
        <w:outlineLvl w:val="1"/>
        <w:rPr>
          <w:rFonts w:ascii="Times New Roman" w:hAnsi="Times New Roman"/>
          <w:b/>
          <w:bCs/>
          <w:sz w:val="24"/>
          <w:szCs w:val="24"/>
        </w:rPr>
      </w:pPr>
      <w:bookmarkStart w:id="31" w:name="_Toc75432218"/>
      <w:r w:rsidRPr="00861C29">
        <w:rPr>
          <w:rFonts w:ascii="Times New Roman" w:hAnsi="Times New Roman"/>
          <w:b/>
          <w:bCs/>
          <w:sz w:val="24"/>
          <w:szCs w:val="24"/>
        </w:rPr>
        <w:t>Le processus et les étapes de sélection environnementale et sociale des activités PUSA</w:t>
      </w:r>
      <w:bookmarkEnd w:id="31"/>
    </w:p>
    <w:p w:rsidR="00337D92" w:rsidRPr="00861C29" w:rsidRDefault="00337D92" w:rsidP="003D6FC3">
      <w:pPr>
        <w:jc w:val="both"/>
      </w:pPr>
      <w:r w:rsidRPr="00861C29">
        <w:t xml:space="preserve">Comme annoncé dans la section relative au cadre juridique et réglementaire, la loi sur l’environnement en Guinée Bissau n’a pas encore défini de procédure de classification et de sélection environnementale et sociale des projets. Aussi, il sera proposé ci-dessous un processus de sélection environnementale et sociale pour les sous projets éligibles dans le cadre du projet d’urgence de sécurité alimentaire (PUSA). </w:t>
      </w:r>
    </w:p>
    <w:p w:rsidR="00337D92" w:rsidRPr="00861C29" w:rsidRDefault="00337D92" w:rsidP="003D6FC3">
      <w:pPr>
        <w:jc w:val="both"/>
      </w:pPr>
      <w:r w:rsidRPr="00861C29">
        <w:t xml:space="preserve">Le Projet va appuyer la mise en œuvre des sous projets qui seront choisis et validés par les communautés. Dans le processus de tri, l’objectif est d’éliminer les sous projets qui nécessiteraient des interventions compliquées au niveau environnemental et social. </w:t>
      </w:r>
    </w:p>
    <w:p w:rsidR="00337D92" w:rsidRPr="00861C29" w:rsidRDefault="00337D92" w:rsidP="003D6FC3">
      <w:pPr>
        <w:jc w:val="both"/>
      </w:pPr>
      <w:r w:rsidRPr="00861C29">
        <w:t xml:space="preserve">Au total, il s’agit d’aboutir aux sous projets : </w:t>
      </w:r>
    </w:p>
    <w:p w:rsidR="00337D92" w:rsidRPr="00861C29" w:rsidRDefault="00337D92" w:rsidP="00D47C37">
      <w:pPr>
        <w:pStyle w:val="PargrafodaLista"/>
        <w:widowControl w:val="0"/>
        <w:numPr>
          <w:ilvl w:val="0"/>
          <w:numId w:val="248"/>
        </w:numPr>
        <w:tabs>
          <w:tab w:val="left" w:pos="220"/>
        </w:tabs>
        <w:autoSpaceDE w:val="0"/>
        <w:autoSpaceDN w:val="0"/>
        <w:adjustRightInd w:val="0"/>
        <w:rPr>
          <w:rFonts w:ascii="Times New Roman" w:hAnsi="Times New Roman"/>
          <w:color w:val="000000"/>
          <w:sz w:val="24"/>
          <w:szCs w:val="24"/>
          <w:lang w:eastAsia="en-US"/>
        </w:rPr>
      </w:pPr>
      <w:r w:rsidRPr="00861C29">
        <w:rPr>
          <w:rFonts w:ascii="Times New Roman" w:hAnsi="Times New Roman"/>
          <w:color w:val="000000"/>
          <w:sz w:val="24"/>
          <w:szCs w:val="24"/>
          <w:lang w:eastAsia="en-US"/>
        </w:rPr>
        <w:t xml:space="preserve">qui ne déclenchent pas de politique de sauvegarde (donc pas d'impact), ou </w:t>
      </w:r>
    </w:p>
    <w:p w:rsidR="00337D92" w:rsidRPr="00861C29" w:rsidRDefault="00337D92" w:rsidP="00D47C37">
      <w:pPr>
        <w:pStyle w:val="PargrafodaLista"/>
        <w:widowControl w:val="0"/>
        <w:numPr>
          <w:ilvl w:val="0"/>
          <w:numId w:val="248"/>
        </w:numPr>
        <w:tabs>
          <w:tab w:val="left" w:pos="220"/>
        </w:tabs>
        <w:autoSpaceDE w:val="0"/>
        <w:autoSpaceDN w:val="0"/>
        <w:adjustRightInd w:val="0"/>
        <w:rPr>
          <w:rFonts w:ascii="Times New Roman" w:hAnsi="Times New Roman"/>
          <w:color w:val="000000"/>
          <w:sz w:val="24"/>
          <w:szCs w:val="24"/>
          <w:lang w:eastAsia="en-US"/>
        </w:rPr>
      </w:pPr>
      <w:r w:rsidRPr="00861C29">
        <w:rPr>
          <w:rFonts w:ascii="Times New Roman" w:hAnsi="Times New Roman"/>
          <w:color w:val="000000"/>
          <w:sz w:val="24"/>
          <w:szCs w:val="24"/>
          <w:lang w:eastAsia="en-US"/>
        </w:rPr>
        <w:t xml:space="preserve">qui génèrent des impacts jugés "modérés ou mineurs" (dans ces cas-ci, il ne sera pas nécessaire de faire une évaluation d'impact complète, mais plutôt une analyse environnementale initiale (AEI). </w:t>
      </w:r>
    </w:p>
    <w:p w:rsidR="00337D92" w:rsidRPr="00861C29" w:rsidRDefault="00337D92" w:rsidP="00D47C37">
      <w:pPr>
        <w:pStyle w:val="PargrafodaLista"/>
        <w:widowControl w:val="0"/>
        <w:numPr>
          <w:ilvl w:val="0"/>
          <w:numId w:val="248"/>
        </w:numPr>
        <w:tabs>
          <w:tab w:val="left" w:pos="220"/>
        </w:tabs>
        <w:autoSpaceDE w:val="0"/>
        <w:autoSpaceDN w:val="0"/>
        <w:adjustRightInd w:val="0"/>
        <w:spacing w:after="0" w:line="240" w:lineRule="auto"/>
        <w:ind w:hanging="720"/>
        <w:rPr>
          <w:rFonts w:ascii="Times New Roman" w:hAnsi="Times New Roman"/>
          <w:i/>
          <w:iCs/>
          <w:color w:val="000000"/>
          <w:sz w:val="24"/>
          <w:szCs w:val="24"/>
          <w:u w:val="single"/>
          <w:lang w:eastAsia="en-US"/>
        </w:rPr>
      </w:pPr>
      <w:r w:rsidRPr="00861C29">
        <w:rPr>
          <w:rFonts w:ascii="Times New Roman" w:hAnsi="Times New Roman"/>
          <w:i/>
          <w:iCs/>
          <w:color w:val="000000"/>
          <w:sz w:val="24"/>
          <w:szCs w:val="24"/>
          <w:u w:val="single"/>
          <w:lang w:eastAsia="en-US"/>
        </w:rPr>
        <w:t xml:space="preserve">Etape 1 : Remplissage du formulaire de sélection environnementale et sociale des micro-projets </w:t>
      </w:r>
    </w:p>
    <w:p w:rsidR="00337D92" w:rsidRPr="00861C29" w:rsidRDefault="00337D92" w:rsidP="00D47C37">
      <w:pPr>
        <w:pStyle w:val="PargrafodaLista"/>
        <w:widowControl w:val="0"/>
        <w:numPr>
          <w:ilvl w:val="0"/>
          <w:numId w:val="248"/>
        </w:numPr>
        <w:tabs>
          <w:tab w:val="left" w:pos="220"/>
        </w:tabs>
        <w:autoSpaceDE w:val="0"/>
        <w:autoSpaceDN w:val="0"/>
        <w:adjustRightInd w:val="0"/>
        <w:spacing w:after="0" w:line="240" w:lineRule="auto"/>
        <w:ind w:hanging="720"/>
        <w:rPr>
          <w:rFonts w:ascii="Times New Roman" w:hAnsi="Times New Roman"/>
          <w:i/>
          <w:iCs/>
          <w:color w:val="000000"/>
          <w:sz w:val="24"/>
          <w:szCs w:val="24"/>
          <w:u w:val="single"/>
          <w:lang w:eastAsia="en-US"/>
        </w:rPr>
      </w:pPr>
      <w:r w:rsidRPr="00861C29">
        <w:rPr>
          <w:rFonts w:ascii="Times New Roman" w:hAnsi="Times New Roman"/>
          <w:i/>
          <w:iCs/>
          <w:color w:val="000000"/>
          <w:sz w:val="24"/>
          <w:szCs w:val="24"/>
          <w:u w:val="single"/>
          <w:lang w:eastAsia="en-US"/>
        </w:rPr>
        <w:t xml:space="preserve">Etape 2 : Validation de la sélection et classification environnementale et sociale des micro- projets </w:t>
      </w:r>
    </w:p>
    <w:p w:rsidR="00337D92" w:rsidRPr="00861C29" w:rsidRDefault="00337D92" w:rsidP="00D47C37">
      <w:pPr>
        <w:pStyle w:val="PargrafodaLista"/>
        <w:widowControl w:val="0"/>
        <w:numPr>
          <w:ilvl w:val="0"/>
          <w:numId w:val="248"/>
        </w:numPr>
        <w:tabs>
          <w:tab w:val="left" w:pos="220"/>
        </w:tabs>
        <w:autoSpaceDE w:val="0"/>
        <w:autoSpaceDN w:val="0"/>
        <w:adjustRightInd w:val="0"/>
        <w:spacing w:after="0" w:line="240" w:lineRule="auto"/>
        <w:ind w:hanging="720"/>
        <w:rPr>
          <w:rFonts w:ascii="Times New Roman" w:hAnsi="Times New Roman"/>
          <w:i/>
          <w:iCs/>
          <w:color w:val="000000"/>
          <w:sz w:val="24"/>
          <w:szCs w:val="24"/>
          <w:u w:val="single"/>
          <w:lang w:eastAsia="en-US"/>
        </w:rPr>
      </w:pPr>
      <w:r w:rsidRPr="00861C29">
        <w:rPr>
          <w:rFonts w:ascii="Times New Roman" w:hAnsi="Times New Roman"/>
          <w:i/>
          <w:iCs/>
          <w:color w:val="000000"/>
          <w:sz w:val="24"/>
          <w:szCs w:val="24"/>
          <w:u w:val="single"/>
          <w:lang w:eastAsia="en-US"/>
        </w:rPr>
        <w:t>Etape 3 : Réalisation du « travail » environnemental et social</w:t>
      </w:r>
    </w:p>
    <w:p w:rsidR="00337D92" w:rsidRPr="00861C29" w:rsidRDefault="00337D92" w:rsidP="00D47C37">
      <w:pPr>
        <w:pStyle w:val="PargrafodaLista"/>
        <w:widowControl w:val="0"/>
        <w:numPr>
          <w:ilvl w:val="0"/>
          <w:numId w:val="248"/>
        </w:numPr>
        <w:tabs>
          <w:tab w:val="left" w:pos="220"/>
        </w:tabs>
        <w:autoSpaceDE w:val="0"/>
        <w:autoSpaceDN w:val="0"/>
        <w:adjustRightInd w:val="0"/>
        <w:spacing w:after="0" w:line="240" w:lineRule="auto"/>
        <w:ind w:hanging="720"/>
        <w:rPr>
          <w:rFonts w:ascii="Times New Roman" w:hAnsi="Times New Roman"/>
          <w:i/>
          <w:iCs/>
          <w:color w:val="000000"/>
          <w:sz w:val="24"/>
          <w:szCs w:val="24"/>
          <w:u w:val="single"/>
          <w:lang w:eastAsia="en-US"/>
        </w:rPr>
      </w:pPr>
      <w:r w:rsidRPr="00861C29">
        <w:rPr>
          <w:rFonts w:ascii="Times New Roman" w:hAnsi="Times New Roman"/>
          <w:i/>
          <w:iCs/>
          <w:color w:val="000000"/>
          <w:sz w:val="24"/>
          <w:szCs w:val="24"/>
          <w:u w:val="single"/>
          <w:lang w:eastAsia="en-US"/>
        </w:rPr>
        <w:t xml:space="preserve">Etape 4 : Consultations et participation publiques et diffusion : </w:t>
      </w:r>
    </w:p>
    <w:p w:rsidR="00337D92" w:rsidRPr="00861C29" w:rsidRDefault="00337D92" w:rsidP="00D47C37">
      <w:pPr>
        <w:pStyle w:val="PargrafodaLista"/>
        <w:widowControl w:val="0"/>
        <w:tabs>
          <w:tab w:val="left" w:pos="220"/>
        </w:tabs>
        <w:autoSpaceDE w:val="0"/>
        <w:autoSpaceDN w:val="0"/>
        <w:adjustRightInd w:val="0"/>
        <w:spacing w:after="0" w:line="240" w:lineRule="auto"/>
        <w:rPr>
          <w:i/>
          <w:iCs/>
          <w:color w:val="000000"/>
          <w:sz w:val="24"/>
          <w:szCs w:val="24"/>
          <w:lang w:eastAsia="en-US"/>
        </w:rPr>
      </w:pPr>
    </w:p>
    <w:p w:rsidR="00337D92" w:rsidRPr="00861C29" w:rsidRDefault="00337D92" w:rsidP="00D47C37">
      <w:pPr>
        <w:pStyle w:val="PargrafodaLista"/>
        <w:numPr>
          <w:ilvl w:val="0"/>
          <w:numId w:val="254"/>
        </w:numPr>
        <w:spacing w:after="0" w:line="240" w:lineRule="auto"/>
        <w:ind w:left="709" w:hanging="283"/>
        <w:outlineLvl w:val="1"/>
        <w:rPr>
          <w:rFonts w:ascii="Times New Roman" w:hAnsi="Times New Roman"/>
          <w:b/>
          <w:bCs/>
          <w:sz w:val="24"/>
          <w:szCs w:val="24"/>
        </w:rPr>
      </w:pPr>
      <w:bookmarkStart w:id="32" w:name="_Toc75432219"/>
      <w:r w:rsidRPr="00861C29">
        <w:rPr>
          <w:rFonts w:ascii="Times New Roman" w:hAnsi="Times New Roman"/>
          <w:b/>
          <w:bCs/>
          <w:sz w:val="24"/>
          <w:szCs w:val="24"/>
        </w:rPr>
        <w:t>PROGRAMME DE SUIVI ET DE SURVEILLANCE ENVIRONNEMENTALE ET SOCIALE</w:t>
      </w:r>
      <w:bookmarkEnd w:id="32"/>
    </w:p>
    <w:p w:rsidR="00337D92" w:rsidRPr="00861C29" w:rsidRDefault="00337D92" w:rsidP="00D47C37">
      <w:pPr>
        <w:ind w:left="924"/>
        <w:jc w:val="both"/>
        <w:rPr>
          <w:rFonts w:eastAsia="Calibri"/>
        </w:rPr>
      </w:pPr>
    </w:p>
    <w:p w:rsidR="00337D92" w:rsidRPr="00861C29" w:rsidRDefault="00337D92" w:rsidP="00D47C37">
      <w:pPr>
        <w:pStyle w:val="PargrafodaLista"/>
        <w:numPr>
          <w:ilvl w:val="0"/>
          <w:numId w:val="253"/>
        </w:numPr>
        <w:spacing w:after="0" w:line="240" w:lineRule="auto"/>
        <w:outlineLvl w:val="1"/>
        <w:rPr>
          <w:rFonts w:ascii="Times New Roman" w:hAnsi="Times New Roman"/>
          <w:b/>
          <w:bCs/>
          <w:sz w:val="24"/>
          <w:szCs w:val="24"/>
        </w:rPr>
      </w:pPr>
      <w:bookmarkStart w:id="33" w:name="_Toc75432220"/>
      <w:r w:rsidRPr="00861C29">
        <w:rPr>
          <w:rFonts w:ascii="Times New Roman" w:hAnsi="Times New Roman"/>
          <w:b/>
          <w:bCs/>
          <w:sz w:val="24"/>
          <w:szCs w:val="24"/>
        </w:rPr>
        <w:t>Les indicateurs de suivi du processus de mise en œuvre</w:t>
      </w:r>
      <w:bookmarkEnd w:id="33"/>
    </w:p>
    <w:p w:rsidR="00337D92" w:rsidRPr="00861C29" w:rsidRDefault="00337D92" w:rsidP="00D47C37">
      <w:pPr>
        <w:jc w:val="both"/>
      </w:pPr>
      <w:r w:rsidRPr="00861C29">
        <w:t>Ces indicateurs servent à apprécier le niveau de mise en œuvre du Plan de Gestion environnementale et sociale et portant sur :</w:t>
      </w:r>
    </w:p>
    <w:p w:rsidR="00337D92" w:rsidRPr="00861C29" w:rsidRDefault="00337D92" w:rsidP="00D47C37">
      <w:pPr>
        <w:pStyle w:val="PargrafodaLista"/>
        <w:numPr>
          <w:ilvl w:val="0"/>
          <w:numId w:val="257"/>
        </w:numPr>
        <w:spacing w:after="0" w:line="240" w:lineRule="auto"/>
        <w:jc w:val="both"/>
        <w:rPr>
          <w:rFonts w:ascii="Times New Roman" w:hAnsi="Times New Roman"/>
          <w:sz w:val="24"/>
          <w:szCs w:val="24"/>
        </w:rPr>
      </w:pPr>
      <w:r w:rsidRPr="00861C29">
        <w:rPr>
          <w:rFonts w:ascii="Times New Roman" w:hAnsi="Times New Roman"/>
          <w:sz w:val="24"/>
          <w:szCs w:val="24"/>
        </w:rPr>
        <w:lastRenderedPageBreak/>
        <w:t>Le recrutement d'un expert consultant environnemental intervenant au sein de l'unité de coordination de projet et qui serait responsable du suivi environnemental</w:t>
      </w:r>
      <w:r w:rsidR="00ED43FC">
        <w:rPr>
          <w:rFonts w:ascii="Times New Roman" w:hAnsi="Times New Roman"/>
          <w:sz w:val="24"/>
          <w:szCs w:val="24"/>
        </w:rPr>
        <w:t> ;</w:t>
      </w:r>
    </w:p>
    <w:p w:rsidR="00337D92" w:rsidRPr="00861C29" w:rsidRDefault="00337D92" w:rsidP="00D47C37">
      <w:pPr>
        <w:pStyle w:val="PargrafodaLista"/>
        <w:numPr>
          <w:ilvl w:val="0"/>
          <w:numId w:val="257"/>
        </w:numPr>
        <w:spacing w:after="0" w:line="240" w:lineRule="auto"/>
        <w:jc w:val="both"/>
        <w:rPr>
          <w:rFonts w:ascii="Times New Roman" w:hAnsi="Times New Roman"/>
          <w:sz w:val="24"/>
          <w:szCs w:val="24"/>
        </w:rPr>
      </w:pPr>
      <w:r w:rsidRPr="00861C29">
        <w:rPr>
          <w:rFonts w:ascii="Times New Roman" w:hAnsi="Times New Roman"/>
          <w:sz w:val="24"/>
          <w:szCs w:val="24"/>
        </w:rPr>
        <w:t>La désignation de Points Focaux environnement et social rattachés au Ministère de l’environnement (AAAC)</w:t>
      </w:r>
    </w:p>
    <w:p w:rsidR="00337D92" w:rsidRPr="00861C29" w:rsidRDefault="00337D92" w:rsidP="00D47C37">
      <w:pPr>
        <w:pStyle w:val="PargrafodaLista"/>
        <w:numPr>
          <w:ilvl w:val="0"/>
          <w:numId w:val="257"/>
        </w:numPr>
        <w:spacing w:after="0" w:line="240" w:lineRule="auto"/>
        <w:jc w:val="both"/>
        <w:rPr>
          <w:rFonts w:ascii="Times New Roman" w:hAnsi="Times New Roman"/>
          <w:sz w:val="24"/>
          <w:szCs w:val="24"/>
        </w:rPr>
      </w:pPr>
      <w:r w:rsidRPr="00861C29">
        <w:rPr>
          <w:rFonts w:ascii="Times New Roman" w:hAnsi="Times New Roman"/>
          <w:sz w:val="24"/>
          <w:szCs w:val="24"/>
        </w:rPr>
        <w:t xml:space="preserve">L’effectivité des évaluations environnementales dans la mise en œuvre des activités du projet </w:t>
      </w:r>
    </w:p>
    <w:p w:rsidR="00337D92" w:rsidRPr="00861C29" w:rsidRDefault="00337D92" w:rsidP="00D47C37">
      <w:pPr>
        <w:pStyle w:val="PargrafodaLista"/>
        <w:numPr>
          <w:ilvl w:val="0"/>
          <w:numId w:val="257"/>
        </w:numPr>
        <w:spacing w:after="0" w:line="240" w:lineRule="auto"/>
        <w:jc w:val="both"/>
        <w:rPr>
          <w:rFonts w:ascii="Times New Roman" w:hAnsi="Times New Roman"/>
          <w:sz w:val="24"/>
          <w:szCs w:val="24"/>
        </w:rPr>
      </w:pPr>
      <w:r w:rsidRPr="00861C29">
        <w:rPr>
          <w:rFonts w:ascii="Times New Roman" w:hAnsi="Times New Roman"/>
          <w:sz w:val="24"/>
          <w:szCs w:val="24"/>
        </w:rPr>
        <w:t xml:space="preserve">La mise en œuvre des programmes de renforcement des capacités </w:t>
      </w:r>
    </w:p>
    <w:p w:rsidR="00337D92" w:rsidRPr="00861C29" w:rsidRDefault="00337D92" w:rsidP="00D47C37">
      <w:pPr>
        <w:pStyle w:val="PargrafodaLista"/>
        <w:numPr>
          <w:ilvl w:val="0"/>
          <w:numId w:val="257"/>
        </w:numPr>
        <w:spacing w:after="0" w:line="240" w:lineRule="auto"/>
        <w:jc w:val="both"/>
        <w:rPr>
          <w:rFonts w:ascii="Times New Roman" w:hAnsi="Times New Roman"/>
          <w:sz w:val="24"/>
          <w:szCs w:val="24"/>
        </w:rPr>
      </w:pPr>
      <w:r w:rsidRPr="00861C29">
        <w:rPr>
          <w:rFonts w:ascii="Times New Roman" w:hAnsi="Times New Roman"/>
          <w:sz w:val="24"/>
          <w:szCs w:val="24"/>
        </w:rPr>
        <w:t>L’effectivité de la coordination et du suivi environnemental et social.</w:t>
      </w:r>
    </w:p>
    <w:p w:rsidR="00337D92" w:rsidRPr="00861C29" w:rsidRDefault="00337D92" w:rsidP="00D47C37">
      <w:pPr>
        <w:pStyle w:val="PargrafodaLista"/>
        <w:numPr>
          <w:ilvl w:val="0"/>
          <w:numId w:val="257"/>
        </w:numPr>
        <w:spacing w:after="0" w:line="240" w:lineRule="auto"/>
        <w:jc w:val="both"/>
        <w:rPr>
          <w:rFonts w:ascii="Times New Roman" w:hAnsi="Times New Roman"/>
          <w:sz w:val="24"/>
          <w:szCs w:val="24"/>
        </w:rPr>
      </w:pPr>
      <w:r w:rsidRPr="00861C29">
        <w:rPr>
          <w:rFonts w:ascii="Times New Roman" w:hAnsi="Times New Roman"/>
          <w:sz w:val="24"/>
          <w:szCs w:val="24"/>
        </w:rPr>
        <w:t>Nombre d’accidents liés au non-respect des mesures de sécurité</w:t>
      </w:r>
    </w:p>
    <w:p w:rsidR="00337D92" w:rsidRPr="00861C29" w:rsidRDefault="00337D92" w:rsidP="00D47C37">
      <w:pPr>
        <w:ind w:left="709"/>
        <w:jc w:val="both"/>
        <w:rPr>
          <w:rFonts w:eastAsia="Calibri"/>
        </w:rPr>
      </w:pPr>
    </w:p>
    <w:p w:rsidR="00337D92" w:rsidRPr="00861C29" w:rsidRDefault="00337D92" w:rsidP="00D47C37">
      <w:pPr>
        <w:pStyle w:val="PargrafodaLista"/>
        <w:numPr>
          <w:ilvl w:val="0"/>
          <w:numId w:val="254"/>
        </w:numPr>
        <w:spacing w:after="0" w:line="240" w:lineRule="auto"/>
        <w:ind w:left="709" w:hanging="283"/>
        <w:outlineLvl w:val="1"/>
        <w:rPr>
          <w:rFonts w:ascii="Times New Roman" w:hAnsi="Times New Roman"/>
          <w:b/>
          <w:bCs/>
          <w:sz w:val="24"/>
          <w:szCs w:val="24"/>
        </w:rPr>
      </w:pPr>
      <w:bookmarkStart w:id="34" w:name="_Toc75432221"/>
      <w:r w:rsidRPr="00861C29">
        <w:rPr>
          <w:rFonts w:ascii="Times New Roman" w:hAnsi="Times New Roman"/>
          <w:b/>
          <w:bCs/>
          <w:sz w:val="24"/>
          <w:szCs w:val="24"/>
        </w:rPr>
        <w:t>DESCRIPTION DU RENFORCEMENT DES CAPACITES, DE LA FORMATION ET DE L’ASSISTANCE TECHNIQUE</w:t>
      </w:r>
      <w:bookmarkEnd w:id="34"/>
    </w:p>
    <w:p w:rsidR="00337D92" w:rsidRPr="00861C29" w:rsidRDefault="00337D92" w:rsidP="00D47C37">
      <w:r w:rsidRPr="00861C29">
        <w:tab/>
      </w:r>
    </w:p>
    <w:p w:rsidR="00337D92" w:rsidRPr="00861C29" w:rsidRDefault="00337D92" w:rsidP="00D47C37">
      <w:pPr>
        <w:pStyle w:val="PargrafodaLista"/>
        <w:numPr>
          <w:ilvl w:val="0"/>
          <w:numId w:val="255"/>
        </w:numPr>
        <w:spacing w:after="0" w:line="240" w:lineRule="auto"/>
        <w:outlineLvl w:val="1"/>
        <w:rPr>
          <w:rFonts w:ascii="Times New Roman" w:hAnsi="Times New Roman"/>
          <w:bCs/>
          <w:sz w:val="24"/>
          <w:szCs w:val="24"/>
        </w:rPr>
      </w:pPr>
      <w:bookmarkStart w:id="35" w:name="_Toc75432222"/>
      <w:r w:rsidRPr="00861C29">
        <w:rPr>
          <w:rFonts w:ascii="Times New Roman" w:hAnsi="Times New Roman"/>
          <w:bCs/>
          <w:sz w:val="24"/>
          <w:szCs w:val="24"/>
        </w:rPr>
        <w:t>Responsabilité de mise en œuvre de la sélection environnementale et sociale</w:t>
      </w:r>
      <w:bookmarkEnd w:id="35"/>
    </w:p>
    <w:p w:rsidR="00337D92" w:rsidRPr="00861C29" w:rsidRDefault="00337D92" w:rsidP="00D47C37">
      <w:pPr>
        <w:pStyle w:val="PargrafodaLista"/>
        <w:numPr>
          <w:ilvl w:val="0"/>
          <w:numId w:val="255"/>
        </w:numPr>
        <w:spacing w:after="0" w:line="240" w:lineRule="auto"/>
        <w:outlineLvl w:val="1"/>
        <w:rPr>
          <w:rFonts w:ascii="Times New Roman" w:hAnsi="Times New Roman"/>
          <w:bCs/>
          <w:sz w:val="24"/>
          <w:szCs w:val="24"/>
        </w:rPr>
      </w:pPr>
      <w:bookmarkStart w:id="36" w:name="_Toc75432223"/>
      <w:r w:rsidRPr="00861C29">
        <w:rPr>
          <w:rFonts w:ascii="Times New Roman" w:hAnsi="Times New Roman"/>
          <w:bCs/>
          <w:sz w:val="24"/>
          <w:szCs w:val="24"/>
        </w:rPr>
        <w:t>Recommandations pour la gestion environnementale et sociale du projet</w:t>
      </w:r>
      <w:bookmarkEnd w:id="36"/>
    </w:p>
    <w:p w:rsidR="00337D92" w:rsidRPr="00861C29" w:rsidRDefault="00337D92" w:rsidP="00D47C37">
      <w:pPr>
        <w:pStyle w:val="Cabealho3"/>
        <w:keepLines/>
        <w:numPr>
          <w:ilvl w:val="2"/>
          <w:numId w:val="105"/>
        </w:numPr>
        <w:spacing w:before="0" w:after="0"/>
        <w:ind w:left="2268"/>
        <w:jc w:val="both"/>
        <w:rPr>
          <w:rFonts w:ascii="Times New Roman" w:hAnsi="Times New Roman"/>
          <w:b w:val="0"/>
          <w:sz w:val="24"/>
          <w:szCs w:val="24"/>
        </w:rPr>
      </w:pPr>
      <w:r w:rsidRPr="00861C29">
        <w:rPr>
          <w:rFonts w:ascii="Times New Roman" w:hAnsi="Times New Roman"/>
          <w:b w:val="0"/>
          <w:sz w:val="24"/>
          <w:szCs w:val="24"/>
        </w:rPr>
        <w:t>Mesures de renforcement institutionnel</w:t>
      </w:r>
    </w:p>
    <w:p w:rsidR="00337D92" w:rsidRPr="00861C29" w:rsidRDefault="00337D92" w:rsidP="00D47C37">
      <w:pPr>
        <w:pStyle w:val="Cabealho3"/>
        <w:keepLines/>
        <w:numPr>
          <w:ilvl w:val="2"/>
          <w:numId w:val="105"/>
        </w:numPr>
        <w:spacing w:before="0" w:after="0"/>
        <w:ind w:left="2268"/>
        <w:jc w:val="both"/>
        <w:rPr>
          <w:rFonts w:ascii="Times New Roman" w:hAnsi="Times New Roman"/>
          <w:b w:val="0"/>
          <w:sz w:val="24"/>
          <w:szCs w:val="24"/>
        </w:rPr>
      </w:pPr>
      <w:r w:rsidRPr="00861C29">
        <w:rPr>
          <w:rFonts w:ascii="Times New Roman" w:hAnsi="Times New Roman"/>
          <w:b w:val="0"/>
          <w:sz w:val="24"/>
          <w:szCs w:val="24"/>
        </w:rPr>
        <w:t>Mesures de renforcement technique</w:t>
      </w:r>
    </w:p>
    <w:p w:rsidR="00337D92" w:rsidRPr="00861C29" w:rsidRDefault="00337D92" w:rsidP="00D47C37">
      <w:pPr>
        <w:pStyle w:val="PargrafodaLista"/>
        <w:numPr>
          <w:ilvl w:val="0"/>
          <w:numId w:val="256"/>
        </w:numPr>
        <w:spacing w:before="60" w:after="0" w:line="240" w:lineRule="auto"/>
        <w:ind w:left="1134"/>
        <w:contextualSpacing w:val="0"/>
        <w:jc w:val="both"/>
        <w:rPr>
          <w:rFonts w:ascii="Times New Roman" w:hAnsi="Times New Roman"/>
          <w:bCs/>
          <w:i/>
          <w:iCs/>
          <w:sz w:val="24"/>
          <w:szCs w:val="24"/>
        </w:rPr>
      </w:pPr>
      <w:r w:rsidRPr="00861C29">
        <w:rPr>
          <w:rFonts w:ascii="Times New Roman" w:hAnsi="Times New Roman"/>
          <w:bCs/>
          <w:i/>
          <w:iCs/>
          <w:sz w:val="24"/>
          <w:szCs w:val="24"/>
        </w:rPr>
        <w:t xml:space="preserve">Provision pour la réalisation des Etudes d’Impact Environnemental et Social et leur mise en œuvre </w:t>
      </w:r>
    </w:p>
    <w:p w:rsidR="00337D92" w:rsidRPr="00861C29" w:rsidRDefault="00337D92" w:rsidP="00D47C37">
      <w:pPr>
        <w:pStyle w:val="PargrafodaLista"/>
        <w:numPr>
          <w:ilvl w:val="0"/>
          <w:numId w:val="256"/>
        </w:numPr>
        <w:spacing w:before="60" w:after="0" w:line="240" w:lineRule="auto"/>
        <w:ind w:left="1134"/>
        <w:contextualSpacing w:val="0"/>
        <w:jc w:val="both"/>
        <w:rPr>
          <w:rFonts w:ascii="Times New Roman" w:hAnsi="Times New Roman"/>
          <w:bCs/>
          <w:i/>
          <w:iCs/>
          <w:sz w:val="24"/>
          <w:szCs w:val="24"/>
        </w:rPr>
      </w:pPr>
      <w:r w:rsidRPr="00861C29">
        <w:rPr>
          <w:rFonts w:ascii="Times New Roman" w:hAnsi="Times New Roman"/>
          <w:bCs/>
          <w:i/>
          <w:iCs/>
          <w:sz w:val="24"/>
          <w:szCs w:val="24"/>
        </w:rPr>
        <w:t>Suivi et Evaluation des activités du projet</w:t>
      </w:r>
    </w:p>
    <w:p w:rsidR="00337D92" w:rsidRPr="00861C29" w:rsidRDefault="00337D92" w:rsidP="00D47C37">
      <w:pPr>
        <w:pStyle w:val="Cabealho3"/>
        <w:keepLines/>
        <w:numPr>
          <w:ilvl w:val="2"/>
          <w:numId w:val="105"/>
        </w:numPr>
        <w:spacing w:before="0" w:after="0"/>
        <w:ind w:left="2268"/>
        <w:jc w:val="both"/>
        <w:rPr>
          <w:rFonts w:ascii="Times New Roman" w:hAnsi="Times New Roman"/>
          <w:b w:val="0"/>
          <w:sz w:val="24"/>
          <w:szCs w:val="24"/>
        </w:rPr>
      </w:pPr>
      <w:r w:rsidRPr="00861C29">
        <w:rPr>
          <w:rFonts w:ascii="Times New Roman" w:hAnsi="Times New Roman"/>
          <w:b w:val="0"/>
          <w:sz w:val="24"/>
          <w:szCs w:val="24"/>
        </w:rPr>
        <w:t>Formation des acteurs impliqués dans la mise en œuvre du projet</w:t>
      </w:r>
    </w:p>
    <w:p w:rsidR="00337D92" w:rsidRPr="00861C29" w:rsidRDefault="00337D92" w:rsidP="00D47C37">
      <w:pPr>
        <w:pStyle w:val="PargrafodaLista"/>
        <w:numPr>
          <w:ilvl w:val="0"/>
          <w:numId w:val="255"/>
        </w:numPr>
        <w:spacing w:after="0" w:line="240" w:lineRule="auto"/>
        <w:outlineLvl w:val="1"/>
        <w:rPr>
          <w:rFonts w:ascii="Times New Roman" w:hAnsi="Times New Roman"/>
          <w:bCs/>
          <w:sz w:val="24"/>
          <w:szCs w:val="24"/>
        </w:rPr>
      </w:pPr>
      <w:bookmarkStart w:id="37" w:name="_Toc75432224"/>
      <w:r w:rsidRPr="00861C29">
        <w:rPr>
          <w:rFonts w:ascii="Times New Roman" w:hAnsi="Times New Roman"/>
          <w:bCs/>
          <w:sz w:val="24"/>
          <w:szCs w:val="24"/>
        </w:rPr>
        <w:t>Modules de formation</w:t>
      </w:r>
      <w:bookmarkEnd w:id="37"/>
    </w:p>
    <w:p w:rsidR="00337D92" w:rsidRPr="00861C29" w:rsidRDefault="00337D92" w:rsidP="00D47C37">
      <w:pPr>
        <w:pStyle w:val="PargrafodaLista"/>
        <w:numPr>
          <w:ilvl w:val="0"/>
          <w:numId w:val="61"/>
        </w:numPr>
        <w:spacing w:before="40" w:after="0" w:line="240" w:lineRule="auto"/>
        <w:ind w:left="2410"/>
        <w:jc w:val="both"/>
        <w:rPr>
          <w:rFonts w:ascii="Times New Roman" w:hAnsi="Times New Roman"/>
          <w:i/>
          <w:sz w:val="24"/>
          <w:szCs w:val="24"/>
        </w:rPr>
      </w:pPr>
      <w:r w:rsidRPr="00861C29">
        <w:rPr>
          <w:rFonts w:ascii="Times New Roman" w:hAnsi="Times New Roman"/>
          <w:i/>
          <w:sz w:val="24"/>
          <w:szCs w:val="24"/>
        </w:rPr>
        <w:t>Formation sur les activités agricoles portant</w:t>
      </w:r>
    </w:p>
    <w:p w:rsidR="00337D92" w:rsidRPr="00861C29" w:rsidRDefault="00337D92" w:rsidP="00D47C37">
      <w:pPr>
        <w:pStyle w:val="PargrafodaLista"/>
        <w:numPr>
          <w:ilvl w:val="0"/>
          <w:numId w:val="61"/>
        </w:numPr>
        <w:spacing w:before="40" w:after="0" w:line="240" w:lineRule="auto"/>
        <w:ind w:left="2410"/>
        <w:jc w:val="both"/>
        <w:rPr>
          <w:rFonts w:ascii="Times New Roman" w:hAnsi="Times New Roman"/>
          <w:i/>
          <w:sz w:val="24"/>
          <w:szCs w:val="24"/>
        </w:rPr>
      </w:pPr>
      <w:r w:rsidRPr="00861C29">
        <w:rPr>
          <w:rFonts w:ascii="Times New Roman" w:hAnsi="Times New Roman"/>
          <w:i/>
          <w:sz w:val="24"/>
          <w:szCs w:val="24"/>
        </w:rPr>
        <w:t xml:space="preserve">Formation sur les évaluations environnementales et sociales </w:t>
      </w:r>
    </w:p>
    <w:p w:rsidR="00337D92" w:rsidRPr="00861C29" w:rsidRDefault="00337D92" w:rsidP="00D47C37">
      <w:pPr>
        <w:pStyle w:val="PargrafodaLista"/>
        <w:numPr>
          <w:ilvl w:val="0"/>
          <w:numId w:val="61"/>
        </w:numPr>
        <w:spacing w:after="0" w:line="240" w:lineRule="auto"/>
        <w:ind w:left="2410"/>
        <w:outlineLvl w:val="1"/>
        <w:rPr>
          <w:rFonts w:ascii="Times New Roman" w:hAnsi="Times New Roman"/>
          <w:bCs/>
          <w:sz w:val="24"/>
          <w:szCs w:val="24"/>
        </w:rPr>
      </w:pPr>
      <w:bookmarkStart w:id="38" w:name="_Toc75432225"/>
      <w:r w:rsidRPr="00861C29">
        <w:rPr>
          <w:rFonts w:ascii="Times New Roman" w:hAnsi="Times New Roman"/>
          <w:i/>
          <w:sz w:val="24"/>
          <w:szCs w:val="24"/>
        </w:rPr>
        <w:t>Formation sur le suivi environnemental et social</w:t>
      </w:r>
      <w:bookmarkEnd w:id="38"/>
    </w:p>
    <w:p w:rsidR="00337D92" w:rsidRPr="00861C29" w:rsidRDefault="00337D92" w:rsidP="00D47C37">
      <w:pPr>
        <w:pStyle w:val="PargrafodaLista"/>
        <w:numPr>
          <w:ilvl w:val="0"/>
          <w:numId w:val="61"/>
        </w:numPr>
        <w:spacing w:before="40" w:after="0" w:line="240" w:lineRule="auto"/>
        <w:ind w:left="2410"/>
        <w:jc w:val="both"/>
        <w:rPr>
          <w:rFonts w:ascii="Times New Roman" w:hAnsi="Times New Roman"/>
          <w:i/>
          <w:sz w:val="24"/>
          <w:szCs w:val="24"/>
        </w:rPr>
      </w:pPr>
      <w:r w:rsidRPr="00861C29">
        <w:rPr>
          <w:rFonts w:ascii="Times New Roman" w:hAnsi="Times New Roman"/>
          <w:i/>
          <w:sz w:val="24"/>
          <w:szCs w:val="24"/>
        </w:rPr>
        <w:t xml:space="preserve">Formation sur la gestion des ressources naturelles et de l’environnement (GRNE) </w:t>
      </w:r>
    </w:p>
    <w:p w:rsidR="00337D92" w:rsidRPr="00861C29" w:rsidRDefault="00337D92" w:rsidP="00D47C37">
      <w:pPr>
        <w:pStyle w:val="PargrafodaLista"/>
        <w:numPr>
          <w:ilvl w:val="0"/>
          <w:numId w:val="61"/>
        </w:numPr>
        <w:spacing w:before="40" w:after="0" w:line="240" w:lineRule="auto"/>
        <w:ind w:left="2410"/>
        <w:jc w:val="both"/>
        <w:rPr>
          <w:rFonts w:ascii="Times New Roman" w:hAnsi="Times New Roman"/>
          <w:i/>
          <w:sz w:val="24"/>
          <w:szCs w:val="24"/>
        </w:rPr>
      </w:pPr>
      <w:r w:rsidRPr="00861C29">
        <w:rPr>
          <w:rFonts w:ascii="Times New Roman" w:hAnsi="Times New Roman"/>
          <w:i/>
          <w:sz w:val="24"/>
          <w:szCs w:val="24"/>
        </w:rPr>
        <w:t xml:space="preserve">Formation sur la gestion des pesticides </w:t>
      </w:r>
    </w:p>
    <w:p w:rsidR="00337D92" w:rsidRPr="00861C29" w:rsidRDefault="00337D92" w:rsidP="00D47C37">
      <w:pPr>
        <w:pStyle w:val="PargrafodaLista"/>
        <w:numPr>
          <w:ilvl w:val="0"/>
          <w:numId w:val="255"/>
        </w:numPr>
        <w:spacing w:after="0" w:line="240" w:lineRule="auto"/>
        <w:outlineLvl w:val="1"/>
        <w:rPr>
          <w:rFonts w:ascii="Times New Roman" w:hAnsi="Times New Roman"/>
          <w:bCs/>
          <w:sz w:val="24"/>
          <w:szCs w:val="24"/>
        </w:rPr>
      </w:pPr>
      <w:bookmarkStart w:id="39" w:name="_Toc75432226"/>
      <w:r w:rsidRPr="00861C29">
        <w:rPr>
          <w:rFonts w:ascii="Times New Roman" w:hAnsi="Times New Roman"/>
          <w:bCs/>
          <w:sz w:val="24"/>
          <w:szCs w:val="24"/>
        </w:rPr>
        <w:t>Information et Sensibilisation</w:t>
      </w:r>
      <w:bookmarkEnd w:id="39"/>
    </w:p>
    <w:p w:rsidR="00337D92" w:rsidRPr="00861C29" w:rsidRDefault="00337D92" w:rsidP="006552F3"/>
    <w:p w:rsidR="00337D92" w:rsidRPr="00861C29" w:rsidRDefault="00337D92" w:rsidP="00765892">
      <w:pPr>
        <w:pStyle w:val="PargrafodaLista"/>
        <w:numPr>
          <w:ilvl w:val="0"/>
          <w:numId w:val="254"/>
        </w:numPr>
        <w:spacing w:after="0" w:line="240" w:lineRule="auto"/>
        <w:ind w:left="709" w:hanging="283"/>
        <w:outlineLvl w:val="1"/>
        <w:rPr>
          <w:rFonts w:ascii="Times New Roman" w:hAnsi="Times New Roman"/>
          <w:b/>
          <w:bCs/>
          <w:sz w:val="24"/>
          <w:szCs w:val="24"/>
        </w:rPr>
      </w:pPr>
      <w:bookmarkStart w:id="40" w:name="_Toc75432227"/>
      <w:r w:rsidRPr="00861C29">
        <w:rPr>
          <w:rFonts w:ascii="Times New Roman" w:hAnsi="Times New Roman"/>
          <w:b/>
          <w:bCs/>
          <w:sz w:val="24"/>
          <w:szCs w:val="24"/>
        </w:rPr>
        <w:t>EVALUATION DES COUTS DES MESURES ENVIRONNEMENTALES ET SOCIALES</w:t>
      </w:r>
      <w:bookmarkEnd w:id="40"/>
    </w:p>
    <w:p w:rsidR="00337D92" w:rsidRDefault="00337D92" w:rsidP="003D6FC3">
      <w:pPr>
        <w:jc w:val="both"/>
      </w:pPr>
      <w:r w:rsidRPr="00861C29">
        <w:t>Les coûts estimatifs de la prise en compte des mesures de mitigation environnementales et soc</w:t>
      </w:r>
      <w:r w:rsidR="005F5A9C" w:rsidRPr="00861C29">
        <w:t xml:space="preserve">iales, d’un montant global de </w:t>
      </w:r>
      <w:r w:rsidR="005F5A9C" w:rsidRPr="00614D93">
        <w:rPr>
          <w:b/>
          <w:bCs/>
        </w:rPr>
        <w:t>1</w:t>
      </w:r>
      <w:r w:rsidR="00F92390">
        <w:rPr>
          <w:b/>
          <w:bCs/>
        </w:rPr>
        <w:t>1</w:t>
      </w:r>
      <w:r w:rsidR="005F5A9C" w:rsidRPr="00614D93">
        <w:rPr>
          <w:b/>
          <w:bCs/>
        </w:rPr>
        <w:t>3</w:t>
      </w:r>
      <w:r w:rsidRPr="00614D93">
        <w:rPr>
          <w:b/>
          <w:bCs/>
        </w:rPr>
        <w:t xml:space="preserve"> 750 000 </w:t>
      </w:r>
      <w:r w:rsidRPr="00861C29">
        <w:t xml:space="preserve">FCFA, comprennent essentiellement : Recrutement Expert Environnement et Social ; Réalisation des AEI y compris leur mise en œuvre ; Élaboration d’une base de données environnementale et sociale des activités du programme ; Surveillance environnementale et sociale ; Suivi environnemental et social ; Évaluation (à mi-parcours et finale) du CGES </w:t>
      </w:r>
      <w:r w:rsidR="003D6FC3" w:rsidRPr="00861C29">
        <w:t xml:space="preserve">et des AEI </w:t>
      </w:r>
      <w:r w:rsidRPr="00861C29">
        <w:t>du projet PUSA.</w:t>
      </w:r>
    </w:p>
    <w:p w:rsidR="00811DC9" w:rsidRPr="00662249" w:rsidRDefault="00811DC9" w:rsidP="00811DC9">
      <w:pPr>
        <w:pStyle w:val="Primeiroavanodecorpodetexto2"/>
        <w:spacing w:after="0" w:line="240" w:lineRule="auto"/>
        <w:ind w:right="12"/>
        <w:jc w:val="center"/>
        <w:rPr>
          <w:rFonts w:ascii="Times New Roman" w:hAnsi="Times New Roman"/>
          <w:b/>
          <w:sz w:val="20"/>
          <w:szCs w:val="20"/>
        </w:rPr>
      </w:pPr>
      <w:r w:rsidRPr="00662249">
        <w:rPr>
          <w:rFonts w:ascii="Times New Roman" w:hAnsi="Times New Roman"/>
          <w:b/>
          <w:sz w:val="20"/>
          <w:szCs w:val="20"/>
        </w:rPr>
        <w:t>Coûts estimatifs des mesures environnementales et sociales</w:t>
      </w:r>
    </w:p>
    <w:tbl>
      <w:tblPr>
        <w:tblStyle w:val="GrelhaClara-Cor3"/>
        <w:tblW w:w="9203" w:type="dxa"/>
        <w:jc w:val="center"/>
        <w:tblLook w:val="04A0" w:firstRow="1" w:lastRow="0" w:firstColumn="1" w:lastColumn="0" w:noHBand="0" w:noVBand="1"/>
      </w:tblPr>
      <w:tblGrid>
        <w:gridCol w:w="1818"/>
        <w:gridCol w:w="3015"/>
        <w:gridCol w:w="1750"/>
        <w:gridCol w:w="1308"/>
        <w:gridCol w:w="1312"/>
      </w:tblGrid>
      <w:tr w:rsidR="00811DC9" w:rsidRPr="00662249" w:rsidTr="00647D50">
        <w:trPr>
          <w:cnfStyle w:val="100000000000" w:firstRow="1" w:lastRow="0" w:firstColumn="0" w:lastColumn="0" w:oddVBand="0" w:evenVBand="0" w:oddHBand="0" w:evenHBand="0" w:firstRowFirstColumn="0" w:firstRowLastColumn="0" w:lastRowFirstColumn="0" w:lastRowLastColumn="0"/>
          <w:trHeight w:val="60"/>
          <w:tblHeader/>
          <w:jc w:val="center"/>
        </w:trPr>
        <w:tc>
          <w:tcPr>
            <w:tcW w:w="0" w:type="auto"/>
            <w:gridSpan w:val="2"/>
            <w:shd w:val="clear" w:color="auto" w:fill="F2F2F2"/>
            <w:vAlign w:val="center"/>
          </w:tcPr>
          <w:p w:rsidR="00811DC9" w:rsidRPr="00662249" w:rsidRDefault="00811DC9" w:rsidP="00647D50">
            <w:pPr>
              <w:ind w:right="12"/>
              <w:jc w:val="center"/>
              <w:rPr>
                <w:b/>
                <w:bCs/>
                <w:sz w:val="21"/>
                <w:szCs w:val="21"/>
              </w:rPr>
            </w:pPr>
            <w:r w:rsidRPr="00662249">
              <w:rPr>
                <w:b/>
                <w:bCs/>
                <w:sz w:val="21"/>
                <w:szCs w:val="21"/>
              </w:rPr>
              <w:t>Activités</w:t>
            </w:r>
          </w:p>
        </w:tc>
        <w:tc>
          <w:tcPr>
            <w:tcW w:w="1750" w:type="dxa"/>
            <w:shd w:val="clear" w:color="auto" w:fill="F2F2F2"/>
            <w:vAlign w:val="center"/>
          </w:tcPr>
          <w:p w:rsidR="00811DC9" w:rsidRPr="00662249" w:rsidRDefault="00811DC9" w:rsidP="00647D50">
            <w:pPr>
              <w:ind w:right="12"/>
              <w:jc w:val="center"/>
              <w:rPr>
                <w:b/>
                <w:bCs/>
                <w:sz w:val="21"/>
                <w:szCs w:val="21"/>
              </w:rPr>
            </w:pPr>
            <w:r w:rsidRPr="00662249">
              <w:rPr>
                <w:b/>
                <w:bCs/>
                <w:sz w:val="21"/>
                <w:szCs w:val="21"/>
              </w:rPr>
              <w:t>Quantité</w:t>
            </w:r>
          </w:p>
        </w:tc>
        <w:tc>
          <w:tcPr>
            <w:tcW w:w="1308" w:type="dxa"/>
            <w:shd w:val="clear" w:color="auto" w:fill="F2F2F2"/>
            <w:vAlign w:val="center"/>
          </w:tcPr>
          <w:p w:rsidR="00811DC9" w:rsidRPr="00662249" w:rsidRDefault="00811DC9" w:rsidP="00647D50">
            <w:pPr>
              <w:ind w:right="12"/>
              <w:jc w:val="center"/>
              <w:rPr>
                <w:b/>
                <w:bCs/>
                <w:sz w:val="21"/>
                <w:szCs w:val="21"/>
              </w:rPr>
            </w:pPr>
            <w:r w:rsidRPr="00662249">
              <w:rPr>
                <w:b/>
                <w:bCs/>
                <w:sz w:val="21"/>
                <w:szCs w:val="21"/>
              </w:rPr>
              <w:t>Coûts unitaires</w:t>
            </w:r>
          </w:p>
          <w:p w:rsidR="00811DC9" w:rsidRPr="00662249" w:rsidRDefault="00811DC9" w:rsidP="00647D50">
            <w:pPr>
              <w:ind w:right="12"/>
              <w:jc w:val="center"/>
              <w:rPr>
                <w:b/>
                <w:bCs/>
                <w:sz w:val="21"/>
                <w:szCs w:val="21"/>
              </w:rPr>
            </w:pPr>
            <w:r w:rsidRPr="00662249">
              <w:rPr>
                <w:b/>
                <w:bCs/>
                <w:sz w:val="21"/>
                <w:szCs w:val="21"/>
              </w:rPr>
              <w:t>(FCFA)</w:t>
            </w:r>
          </w:p>
        </w:tc>
        <w:tc>
          <w:tcPr>
            <w:tcW w:w="1312" w:type="dxa"/>
            <w:shd w:val="clear" w:color="auto" w:fill="F2F2F2"/>
            <w:vAlign w:val="center"/>
          </w:tcPr>
          <w:p w:rsidR="00811DC9" w:rsidRPr="00662249" w:rsidRDefault="00811DC9" w:rsidP="00647D50">
            <w:pPr>
              <w:ind w:right="12"/>
              <w:jc w:val="center"/>
              <w:rPr>
                <w:b/>
                <w:bCs/>
                <w:sz w:val="21"/>
                <w:szCs w:val="21"/>
              </w:rPr>
            </w:pPr>
            <w:r w:rsidRPr="00662249">
              <w:rPr>
                <w:b/>
                <w:bCs/>
                <w:sz w:val="21"/>
                <w:szCs w:val="21"/>
              </w:rPr>
              <w:t>Coût total (FCFA)</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131"/>
          <w:jc w:val="center"/>
        </w:trPr>
        <w:tc>
          <w:tcPr>
            <w:tcW w:w="9203" w:type="dxa"/>
            <w:gridSpan w:val="5"/>
            <w:shd w:val="clear" w:color="auto" w:fill="F2F2F2"/>
          </w:tcPr>
          <w:p w:rsidR="00811DC9" w:rsidRPr="00662249" w:rsidRDefault="00811DC9" w:rsidP="00647D50">
            <w:pPr>
              <w:ind w:right="12"/>
              <w:jc w:val="center"/>
              <w:rPr>
                <w:sz w:val="21"/>
                <w:szCs w:val="21"/>
              </w:rPr>
            </w:pPr>
            <w:r w:rsidRPr="00662249">
              <w:rPr>
                <w:sz w:val="21"/>
                <w:szCs w:val="21"/>
              </w:rPr>
              <w:t>1. Coûts des mesures techniques et de suivi</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590"/>
          <w:jc w:val="center"/>
        </w:trPr>
        <w:tc>
          <w:tcPr>
            <w:tcW w:w="0" w:type="auto"/>
            <w:gridSpan w:val="2"/>
            <w:shd w:val="clear" w:color="auto" w:fill="FFFFFF"/>
          </w:tcPr>
          <w:p w:rsidR="00811DC9" w:rsidRPr="00662249" w:rsidRDefault="00811DC9" w:rsidP="00647D50">
            <w:pPr>
              <w:numPr>
                <w:ilvl w:val="0"/>
                <w:numId w:val="90"/>
              </w:numPr>
              <w:ind w:right="12"/>
              <w:contextualSpacing/>
              <w:jc w:val="both"/>
              <w:rPr>
                <w:sz w:val="21"/>
                <w:szCs w:val="21"/>
              </w:rPr>
            </w:pPr>
            <w:r w:rsidRPr="00662249">
              <w:rPr>
                <w:spacing w:val="-2"/>
                <w:sz w:val="21"/>
                <w:szCs w:val="21"/>
              </w:rPr>
              <w:t>1</w:t>
            </w:r>
            <w:r w:rsidRPr="00662249">
              <w:rPr>
                <w:sz w:val="21"/>
                <w:szCs w:val="21"/>
              </w:rPr>
              <w:t xml:space="preserve"> AEI pour les activités prévues par rapport au </w:t>
            </w:r>
            <w:r w:rsidRPr="00662249">
              <w:rPr>
                <w:b/>
                <w:sz w:val="21"/>
                <w:szCs w:val="21"/>
                <w:u w:val="single"/>
              </w:rPr>
              <w:t>Soutien à la production agricole ;</w:t>
            </w:r>
            <w:r w:rsidRPr="00662249">
              <w:rPr>
                <w:sz w:val="21"/>
                <w:szCs w:val="21"/>
              </w:rPr>
              <w:t xml:space="preserve"> </w:t>
            </w:r>
          </w:p>
          <w:p w:rsidR="00811DC9" w:rsidRPr="00662249" w:rsidRDefault="00811DC9" w:rsidP="00647D50">
            <w:pPr>
              <w:numPr>
                <w:ilvl w:val="0"/>
                <w:numId w:val="90"/>
              </w:numPr>
              <w:ind w:right="12"/>
              <w:contextualSpacing/>
              <w:jc w:val="both"/>
              <w:rPr>
                <w:sz w:val="21"/>
                <w:szCs w:val="21"/>
              </w:rPr>
            </w:pPr>
            <w:r w:rsidRPr="00662249">
              <w:rPr>
                <w:spacing w:val="-2"/>
                <w:sz w:val="21"/>
                <w:szCs w:val="21"/>
              </w:rPr>
              <w:t>1</w:t>
            </w:r>
            <w:r w:rsidRPr="00662249">
              <w:rPr>
                <w:sz w:val="21"/>
                <w:szCs w:val="21"/>
              </w:rPr>
              <w:t xml:space="preserve"> AEI pour les activités prévues par rapport au</w:t>
            </w:r>
            <w:r w:rsidRPr="00662249">
              <w:rPr>
                <w:b/>
                <w:sz w:val="21"/>
                <w:szCs w:val="21"/>
                <w:u w:val="single"/>
              </w:rPr>
              <w:t xml:space="preserve"> Soutien aux Filets de Sécurité communautaires </w:t>
            </w:r>
            <w:r w:rsidRPr="00662249">
              <w:rPr>
                <w:sz w:val="21"/>
                <w:szCs w:val="21"/>
              </w:rPr>
              <w:t xml:space="preserve">(réalisation des voies </w:t>
            </w:r>
            <w:r w:rsidRPr="00662249">
              <w:rPr>
                <w:sz w:val="21"/>
                <w:szCs w:val="21"/>
              </w:rPr>
              <w:lastRenderedPageBreak/>
              <w:t>d’accès ; marchés locaux et magasins)</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lastRenderedPageBreak/>
              <w:t>02</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2 000 000</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4 000 000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60"/>
          <w:jc w:val="center"/>
        </w:trPr>
        <w:tc>
          <w:tcPr>
            <w:tcW w:w="0" w:type="auto"/>
            <w:gridSpan w:val="2"/>
            <w:shd w:val="clear" w:color="auto" w:fill="E2EFD9" w:themeFill="accent6" w:themeFillTint="33"/>
          </w:tcPr>
          <w:p w:rsidR="00811DC9" w:rsidRPr="00662249" w:rsidRDefault="00811DC9" w:rsidP="00647D50">
            <w:pPr>
              <w:ind w:right="12"/>
              <w:jc w:val="center"/>
              <w:rPr>
                <w:b/>
                <w:color w:val="FF0000"/>
                <w:sz w:val="21"/>
                <w:szCs w:val="21"/>
              </w:rPr>
            </w:pPr>
            <w:r w:rsidRPr="00662249">
              <w:rPr>
                <w:b/>
                <w:color w:val="FF0000"/>
                <w:sz w:val="21"/>
                <w:szCs w:val="21"/>
              </w:rPr>
              <w:lastRenderedPageBreak/>
              <w:t>Sous total 1</w:t>
            </w:r>
          </w:p>
        </w:tc>
        <w:tc>
          <w:tcPr>
            <w:tcW w:w="1750" w:type="dxa"/>
            <w:shd w:val="clear" w:color="auto" w:fill="E2EFD9" w:themeFill="accent6" w:themeFillTint="33"/>
            <w:vAlign w:val="center"/>
          </w:tcPr>
          <w:p w:rsidR="00811DC9" w:rsidRPr="00662249" w:rsidRDefault="00811DC9" w:rsidP="00647D50">
            <w:pPr>
              <w:ind w:right="12"/>
              <w:jc w:val="center"/>
              <w:rPr>
                <w:b/>
                <w:color w:val="FF0000"/>
                <w:sz w:val="21"/>
                <w:szCs w:val="21"/>
              </w:rPr>
            </w:pPr>
            <w:r w:rsidRPr="00662249">
              <w:rPr>
                <w:b/>
                <w:color w:val="FF0000"/>
                <w:sz w:val="21"/>
                <w:szCs w:val="21"/>
              </w:rPr>
              <w:t>02</w:t>
            </w:r>
          </w:p>
        </w:tc>
        <w:tc>
          <w:tcPr>
            <w:tcW w:w="1308" w:type="dxa"/>
            <w:shd w:val="clear" w:color="auto" w:fill="E2EFD9" w:themeFill="accent6" w:themeFillTint="33"/>
            <w:vAlign w:val="center"/>
          </w:tcPr>
          <w:p w:rsidR="00811DC9" w:rsidRPr="00662249" w:rsidRDefault="00811DC9" w:rsidP="00647D50">
            <w:pPr>
              <w:ind w:right="12"/>
              <w:jc w:val="center"/>
              <w:rPr>
                <w:b/>
                <w:color w:val="FF0000"/>
                <w:sz w:val="21"/>
                <w:szCs w:val="21"/>
              </w:rPr>
            </w:pPr>
          </w:p>
        </w:tc>
        <w:tc>
          <w:tcPr>
            <w:tcW w:w="1312" w:type="dxa"/>
            <w:shd w:val="clear" w:color="auto" w:fill="E2EFD9" w:themeFill="accent6" w:themeFillTint="33"/>
            <w:vAlign w:val="center"/>
          </w:tcPr>
          <w:p w:rsidR="00811DC9" w:rsidRPr="00662249" w:rsidRDefault="00811DC9" w:rsidP="00647D50">
            <w:pPr>
              <w:ind w:right="12"/>
              <w:jc w:val="center"/>
              <w:rPr>
                <w:b/>
                <w:color w:val="FF0000"/>
                <w:sz w:val="21"/>
                <w:szCs w:val="21"/>
              </w:rPr>
            </w:pPr>
            <w:r w:rsidRPr="00662249">
              <w:rPr>
                <w:b/>
                <w:color w:val="FF0000"/>
                <w:sz w:val="21"/>
                <w:szCs w:val="21"/>
              </w:rPr>
              <w:t>4 000 000</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119"/>
          <w:jc w:val="center"/>
        </w:trPr>
        <w:tc>
          <w:tcPr>
            <w:tcW w:w="0" w:type="auto"/>
            <w:gridSpan w:val="2"/>
            <w:shd w:val="clear" w:color="auto" w:fill="FFFFFF"/>
          </w:tcPr>
          <w:p w:rsidR="00811DC9" w:rsidRPr="00662249" w:rsidRDefault="00811DC9" w:rsidP="00647D50">
            <w:pPr>
              <w:ind w:right="12"/>
              <w:rPr>
                <w:sz w:val="21"/>
                <w:szCs w:val="21"/>
              </w:rPr>
            </w:pPr>
            <w:r w:rsidRPr="00662249">
              <w:rPr>
                <w:sz w:val="21"/>
                <w:szCs w:val="21"/>
              </w:rPr>
              <w:t>Provisions pour la mise en œuvre des AEI</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Forfait</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5 000 000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239"/>
          <w:jc w:val="center"/>
        </w:trPr>
        <w:tc>
          <w:tcPr>
            <w:tcW w:w="0" w:type="auto"/>
            <w:gridSpan w:val="2"/>
            <w:shd w:val="clear" w:color="auto" w:fill="FFFFFF"/>
          </w:tcPr>
          <w:p w:rsidR="00811DC9" w:rsidRPr="00662249" w:rsidRDefault="00811DC9" w:rsidP="00647D50">
            <w:pPr>
              <w:ind w:right="12"/>
              <w:rPr>
                <w:sz w:val="21"/>
                <w:szCs w:val="21"/>
              </w:rPr>
            </w:pPr>
            <w:r w:rsidRPr="00662249">
              <w:rPr>
                <w:sz w:val="21"/>
                <w:szCs w:val="21"/>
              </w:rPr>
              <w:t xml:space="preserve">Elaboration d'un manuel de bonnes pratiques de gestion, d’hygiène, de sécurité, de santé par rapport aux activités du projet </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1 manuel</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1 500 000</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1 500 000</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58"/>
          <w:jc w:val="center"/>
        </w:trPr>
        <w:tc>
          <w:tcPr>
            <w:tcW w:w="0" w:type="auto"/>
            <w:gridSpan w:val="2"/>
            <w:shd w:val="clear" w:color="auto" w:fill="FFFFFF"/>
          </w:tcPr>
          <w:p w:rsidR="00811DC9" w:rsidRPr="00662249" w:rsidRDefault="00811DC9" w:rsidP="00647D50">
            <w:pPr>
              <w:ind w:right="12"/>
              <w:rPr>
                <w:sz w:val="21"/>
                <w:szCs w:val="21"/>
              </w:rPr>
            </w:pPr>
            <w:r w:rsidRPr="00662249">
              <w:rPr>
                <w:sz w:val="21"/>
                <w:szCs w:val="21"/>
              </w:rPr>
              <w:t>Elaboration d'un plan de gestion des déchets</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1 rapport</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Forfait</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1 500 000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239"/>
          <w:jc w:val="center"/>
        </w:trPr>
        <w:tc>
          <w:tcPr>
            <w:tcW w:w="0" w:type="auto"/>
            <w:gridSpan w:val="2"/>
            <w:shd w:val="clear" w:color="auto" w:fill="FFFFFF"/>
          </w:tcPr>
          <w:p w:rsidR="00811DC9" w:rsidRPr="00662249" w:rsidRDefault="00811DC9" w:rsidP="00647D50">
            <w:pPr>
              <w:ind w:right="12"/>
              <w:rPr>
                <w:sz w:val="21"/>
                <w:szCs w:val="21"/>
              </w:rPr>
            </w:pPr>
            <w:r w:rsidRPr="00662249">
              <w:rPr>
                <w:sz w:val="21"/>
                <w:szCs w:val="21"/>
              </w:rPr>
              <w:t>Provisions</w:t>
            </w:r>
            <w:r w:rsidRPr="00662249">
              <w:rPr>
                <w:rFonts w:eastAsiaTheme="minorHAnsi"/>
                <w:sz w:val="21"/>
                <w:szCs w:val="21"/>
              </w:rPr>
              <w:t xml:space="preserve"> </w:t>
            </w:r>
            <w:r w:rsidRPr="00662249">
              <w:rPr>
                <w:sz w:val="21"/>
                <w:szCs w:val="21"/>
              </w:rPr>
              <w:t xml:space="preserve">pour la </w:t>
            </w:r>
            <w:r w:rsidRPr="00662249">
              <w:rPr>
                <w:rFonts w:eastAsiaTheme="minorHAnsi"/>
                <w:sz w:val="21"/>
                <w:szCs w:val="21"/>
              </w:rPr>
              <w:t>mise en œuvre du suivi et coût des activités proposées</w:t>
            </w:r>
            <w:r w:rsidRPr="00662249">
              <w:rPr>
                <w:sz w:val="21"/>
                <w:szCs w:val="21"/>
              </w:rPr>
              <w:t xml:space="preserve"> dans le PGPP </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Forfait</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30 000 000</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239"/>
          <w:jc w:val="center"/>
        </w:trPr>
        <w:tc>
          <w:tcPr>
            <w:tcW w:w="0" w:type="auto"/>
            <w:gridSpan w:val="2"/>
            <w:shd w:val="clear" w:color="auto" w:fill="FFFFFF"/>
          </w:tcPr>
          <w:p w:rsidR="00811DC9" w:rsidRPr="00662249" w:rsidRDefault="00811DC9" w:rsidP="00647D50">
            <w:pPr>
              <w:ind w:right="12"/>
              <w:rPr>
                <w:sz w:val="21"/>
                <w:szCs w:val="21"/>
              </w:rPr>
            </w:pPr>
            <w:r w:rsidRPr="00662249">
              <w:rPr>
                <w:sz w:val="21"/>
                <w:szCs w:val="21"/>
              </w:rPr>
              <w:t>Suivi du fonctionnement des activités du projet PUSA</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12 missions/an</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500 000</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6 000 000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360"/>
          <w:jc w:val="center"/>
        </w:trPr>
        <w:tc>
          <w:tcPr>
            <w:tcW w:w="0" w:type="auto"/>
            <w:gridSpan w:val="2"/>
            <w:shd w:val="clear" w:color="auto" w:fill="FFFFFF"/>
          </w:tcPr>
          <w:p w:rsidR="00811DC9" w:rsidRPr="00662249" w:rsidRDefault="00811DC9" w:rsidP="00647D50">
            <w:pPr>
              <w:ind w:right="12"/>
              <w:rPr>
                <w:sz w:val="21"/>
                <w:szCs w:val="21"/>
              </w:rPr>
            </w:pPr>
            <w:r w:rsidRPr="00662249">
              <w:rPr>
                <w:sz w:val="21"/>
                <w:szCs w:val="21"/>
              </w:rPr>
              <w:t xml:space="preserve">Suivi permanent (Recrutement de Consultant en suivi évaluation environnement/social) </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20 H-mois</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500 000</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10 000 000</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212"/>
          <w:jc w:val="center"/>
        </w:trPr>
        <w:tc>
          <w:tcPr>
            <w:tcW w:w="0" w:type="auto"/>
            <w:gridSpan w:val="2"/>
            <w:shd w:val="clear" w:color="auto" w:fill="FFFFFF"/>
          </w:tcPr>
          <w:p w:rsidR="00811DC9" w:rsidRPr="00662249" w:rsidRDefault="00811DC9" w:rsidP="00647D50">
            <w:pPr>
              <w:ind w:right="12"/>
              <w:rPr>
                <w:sz w:val="21"/>
                <w:szCs w:val="21"/>
              </w:rPr>
            </w:pPr>
            <w:r w:rsidRPr="00662249">
              <w:rPr>
                <w:sz w:val="21"/>
                <w:szCs w:val="21"/>
              </w:rPr>
              <w:t xml:space="preserve">Suivi externe de la mise en œuvre des AEI </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Forfait</w:t>
            </w:r>
          </w:p>
        </w:tc>
        <w:tc>
          <w:tcPr>
            <w:tcW w:w="1312" w:type="dxa"/>
            <w:shd w:val="clear" w:color="auto" w:fill="FFFFFF"/>
            <w:vAlign w:val="center"/>
          </w:tcPr>
          <w:p w:rsidR="00811DC9" w:rsidRPr="00662249" w:rsidRDefault="00F92390" w:rsidP="00647D50">
            <w:pPr>
              <w:ind w:right="12"/>
              <w:jc w:val="center"/>
              <w:rPr>
                <w:sz w:val="21"/>
                <w:szCs w:val="21"/>
              </w:rPr>
            </w:pPr>
            <w:r>
              <w:rPr>
                <w:sz w:val="21"/>
                <w:szCs w:val="21"/>
              </w:rPr>
              <w:t>2</w:t>
            </w:r>
            <w:r w:rsidR="00811DC9" w:rsidRPr="00662249">
              <w:rPr>
                <w:sz w:val="21"/>
                <w:szCs w:val="21"/>
              </w:rPr>
              <w:t>0 000 000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100"/>
          <w:jc w:val="center"/>
        </w:trPr>
        <w:tc>
          <w:tcPr>
            <w:tcW w:w="0" w:type="auto"/>
            <w:gridSpan w:val="2"/>
            <w:shd w:val="clear" w:color="auto" w:fill="FFFFFF"/>
          </w:tcPr>
          <w:p w:rsidR="00811DC9" w:rsidRPr="00662249" w:rsidRDefault="00811DC9" w:rsidP="00647D50">
            <w:pPr>
              <w:ind w:right="12"/>
              <w:rPr>
                <w:sz w:val="21"/>
                <w:szCs w:val="21"/>
              </w:rPr>
            </w:pPr>
            <w:r w:rsidRPr="00662249">
              <w:rPr>
                <w:sz w:val="21"/>
                <w:szCs w:val="21"/>
              </w:rPr>
              <w:t>Analyses laboratoires et suivi des indicateurs</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2 500 000</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58"/>
          <w:jc w:val="center"/>
        </w:trPr>
        <w:tc>
          <w:tcPr>
            <w:tcW w:w="0" w:type="auto"/>
            <w:gridSpan w:val="2"/>
            <w:shd w:val="clear" w:color="auto" w:fill="FFFFFF"/>
          </w:tcPr>
          <w:p w:rsidR="00811DC9" w:rsidRPr="00662249" w:rsidRDefault="00811DC9" w:rsidP="00647D50">
            <w:pPr>
              <w:ind w:right="12"/>
              <w:rPr>
                <w:sz w:val="21"/>
                <w:szCs w:val="21"/>
              </w:rPr>
            </w:pPr>
            <w:r w:rsidRPr="00662249">
              <w:rPr>
                <w:sz w:val="21"/>
                <w:szCs w:val="21"/>
              </w:rPr>
              <w:t>Evaluation a mi-parcours et finale du CGES et des AEI</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2</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750 000</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1 500 000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268"/>
          <w:jc w:val="center"/>
        </w:trPr>
        <w:tc>
          <w:tcPr>
            <w:tcW w:w="7891" w:type="dxa"/>
            <w:gridSpan w:val="4"/>
            <w:shd w:val="clear" w:color="auto" w:fill="E2EFD9" w:themeFill="accent6" w:themeFillTint="33"/>
            <w:vAlign w:val="center"/>
          </w:tcPr>
          <w:p w:rsidR="00811DC9" w:rsidRPr="00662249" w:rsidRDefault="00811DC9" w:rsidP="00647D50">
            <w:pPr>
              <w:ind w:right="12"/>
              <w:jc w:val="center"/>
              <w:rPr>
                <w:b/>
                <w:color w:val="FF0000"/>
                <w:sz w:val="21"/>
                <w:szCs w:val="21"/>
              </w:rPr>
            </w:pPr>
            <w:r w:rsidRPr="00662249">
              <w:rPr>
                <w:b/>
                <w:color w:val="FF0000"/>
                <w:sz w:val="21"/>
                <w:szCs w:val="21"/>
              </w:rPr>
              <w:t>Sous total  2</w:t>
            </w:r>
          </w:p>
        </w:tc>
        <w:tc>
          <w:tcPr>
            <w:tcW w:w="1312" w:type="dxa"/>
            <w:shd w:val="clear" w:color="auto" w:fill="E2EFD9" w:themeFill="accent6" w:themeFillTint="33"/>
            <w:vAlign w:val="center"/>
          </w:tcPr>
          <w:p w:rsidR="00811DC9" w:rsidRPr="00662249" w:rsidRDefault="00F92390" w:rsidP="00647D50">
            <w:pPr>
              <w:ind w:right="12"/>
              <w:jc w:val="center"/>
              <w:rPr>
                <w:b/>
                <w:color w:val="FF0000"/>
                <w:sz w:val="21"/>
                <w:szCs w:val="21"/>
              </w:rPr>
            </w:pPr>
            <w:r>
              <w:rPr>
                <w:b/>
                <w:color w:val="FF0000"/>
                <w:sz w:val="21"/>
                <w:szCs w:val="21"/>
              </w:rPr>
              <w:t>7</w:t>
            </w:r>
            <w:r w:rsidR="00811DC9" w:rsidRPr="00662249">
              <w:rPr>
                <w:b/>
                <w:color w:val="FF0000"/>
                <w:sz w:val="21"/>
                <w:szCs w:val="21"/>
              </w:rPr>
              <w:t>8 000 000</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119"/>
          <w:jc w:val="center"/>
        </w:trPr>
        <w:tc>
          <w:tcPr>
            <w:tcW w:w="9203" w:type="dxa"/>
            <w:gridSpan w:val="5"/>
            <w:shd w:val="clear" w:color="auto" w:fill="F2F2F2"/>
          </w:tcPr>
          <w:p w:rsidR="00811DC9" w:rsidRPr="00662249" w:rsidRDefault="00811DC9" w:rsidP="00647D50">
            <w:pPr>
              <w:ind w:right="12"/>
              <w:jc w:val="center"/>
              <w:rPr>
                <w:sz w:val="21"/>
                <w:szCs w:val="21"/>
              </w:rPr>
            </w:pPr>
            <w:r w:rsidRPr="00662249">
              <w:rPr>
                <w:sz w:val="21"/>
                <w:szCs w:val="21"/>
              </w:rPr>
              <w:t>2. Coûts de mesures d'organisation, de formation et de sensibilisation</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114"/>
          <w:jc w:val="center"/>
        </w:trPr>
        <w:tc>
          <w:tcPr>
            <w:tcW w:w="9203" w:type="dxa"/>
            <w:gridSpan w:val="5"/>
          </w:tcPr>
          <w:p w:rsidR="00811DC9" w:rsidRPr="00662249" w:rsidRDefault="00811DC9" w:rsidP="00647D50">
            <w:pPr>
              <w:ind w:right="12"/>
              <w:jc w:val="center"/>
              <w:rPr>
                <w:sz w:val="21"/>
                <w:szCs w:val="21"/>
              </w:rPr>
            </w:pPr>
            <w:r w:rsidRPr="00662249">
              <w:rPr>
                <w:sz w:val="21"/>
                <w:szCs w:val="21"/>
              </w:rPr>
              <w:t>Renforcement des capacités d'intervention des acteurs du projet PUSA</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268"/>
          <w:jc w:val="center"/>
        </w:trPr>
        <w:tc>
          <w:tcPr>
            <w:tcW w:w="0" w:type="auto"/>
            <w:vMerge w:val="restart"/>
            <w:shd w:val="clear" w:color="auto" w:fill="FFFFFF"/>
            <w:vAlign w:val="center"/>
          </w:tcPr>
          <w:p w:rsidR="00811DC9" w:rsidRPr="00662249" w:rsidRDefault="00811DC9" w:rsidP="00647D50">
            <w:pPr>
              <w:tabs>
                <w:tab w:val="left" w:pos="193"/>
              </w:tabs>
              <w:autoSpaceDE w:val="0"/>
              <w:autoSpaceDN w:val="0"/>
              <w:adjustRightInd w:val="0"/>
              <w:ind w:right="12"/>
              <w:jc w:val="center"/>
              <w:rPr>
                <w:rFonts w:eastAsia="Times New Roman"/>
                <w:sz w:val="21"/>
                <w:szCs w:val="21"/>
              </w:rPr>
            </w:pPr>
            <w:r w:rsidRPr="00662249">
              <w:rPr>
                <w:rFonts w:eastAsia="Times New Roman"/>
                <w:sz w:val="21"/>
                <w:szCs w:val="21"/>
              </w:rPr>
              <w:t>Services techniques et Bénéficiaires des sous projets</w:t>
            </w:r>
          </w:p>
        </w:tc>
        <w:tc>
          <w:tcPr>
            <w:tcW w:w="0" w:type="auto"/>
            <w:shd w:val="clear" w:color="auto" w:fill="FFFFFF"/>
            <w:vAlign w:val="center"/>
          </w:tcPr>
          <w:p w:rsidR="00811DC9" w:rsidRPr="00662249" w:rsidRDefault="00811DC9" w:rsidP="00647D50">
            <w:pPr>
              <w:ind w:left="64" w:right="12"/>
              <w:jc w:val="center"/>
              <w:rPr>
                <w:sz w:val="21"/>
                <w:szCs w:val="21"/>
              </w:rPr>
            </w:pPr>
            <w:r w:rsidRPr="00662249">
              <w:rPr>
                <w:sz w:val="21"/>
                <w:szCs w:val="21"/>
              </w:rPr>
              <w:t>Formation sur les techniques de transformation des produits agricoles</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12 modules (2 ateliers par région)</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Forfait</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5 000 000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365"/>
          <w:jc w:val="center"/>
        </w:trPr>
        <w:tc>
          <w:tcPr>
            <w:tcW w:w="0" w:type="auto"/>
            <w:vMerge/>
            <w:shd w:val="clear" w:color="auto" w:fill="FFFFFF"/>
            <w:vAlign w:val="center"/>
          </w:tcPr>
          <w:p w:rsidR="00811DC9" w:rsidRPr="00662249" w:rsidRDefault="00811DC9" w:rsidP="00647D50">
            <w:pPr>
              <w:tabs>
                <w:tab w:val="left" w:pos="193"/>
              </w:tabs>
              <w:autoSpaceDE w:val="0"/>
              <w:autoSpaceDN w:val="0"/>
              <w:adjustRightInd w:val="0"/>
              <w:ind w:right="12"/>
              <w:jc w:val="center"/>
              <w:rPr>
                <w:rFonts w:eastAsia="Times New Roman"/>
                <w:sz w:val="21"/>
                <w:szCs w:val="21"/>
              </w:rPr>
            </w:pPr>
          </w:p>
        </w:tc>
        <w:tc>
          <w:tcPr>
            <w:tcW w:w="0" w:type="auto"/>
            <w:shd w:val="clear" w:color="auto" w:fill="FFFFFF"/>
            <w:vAlign w:val="center"/>
          </w:tcPr>
          <w:p w:rsidR="00811DC9" w:rsidRPr="00662249" w:rsidRDefault="00811DC9" w:rsidP="00647D50">
            <w:pPr>
              <w:ind w:left="64" w:right="12"/>
              <w:jc w:val="center"/>
              <w:rPr>
                <w:sz w:val="21"/>
                <w:szCs w:val="21"/>
              </w:rPr>
            </w:pPr>
            <w:r w:rsidRPr="00662249">
              <w:rPr>
                <w:sz w:val="21"/>
                <w:szCs w:val="21"/>
              </w:rPr>
              <w:t>Formation sur les techniques des bonnes pratiques agricoles</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12 ateliers de formation (2 ateliers par région)</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Forfait</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5 000 000</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338"/>
          <w:jc w:val="center"/>
        </w:trPr>
        <w:tc>
          <w:tcPr>
            <w:tcW w:w="0" w:type="auto"/>
            <w:vMerge/>
            <w:shd w:val="clear" w:color="auto" w:fill="FFFFFF"/>
            <w:vAlign w:val="center"/>
          </w:tcPr>
          <w:p w:rsidR="00811DC9" w:rsidRPr="00662249" w:rsidRDefault="00811DC9" w:rsidP="00647D50">
            <w:pPr>
              <w:tabs>
                <w:tab w:val="left" w:pos="193"/>
              </w:tabs>
              <w:autoSpaceDE w:val="0"/>
              <w:autoSpaceDN w:val="0"/>
              <w:adjustRightInd w:val="0"/>
              <w:ind w:right="12"/>
              <w:jc w:val="center"/>
              <w:rPr>
                <w:rFonts w:eastAsia="Times New Roman"/>
                <w:sz w:val="21"/>
                <w:szCs w:val="21"/>
              </w:rPr>
            </w:pPr>
          </w:p>
        </w:tc>
        <w:tc>
          <w:tcPr>
            <w:tcW w:w="0" w:type="auto"/>
            <w:shd w:val="clear" w:color="auto" w:fill="FFFFFF"/>
            <w:vAlign w:val="center"/>
          </w:tcPr>
          <w:p w:rsidR="00811DC9" w:rsidRPr="00662249" w:rsidRDefault="00811DC9" w:rsidP="00647D50">
            <w:pPr>
              <w:ind w:left="64" w:right="12"/>
              <w:jc w:val="center"/>
              <w:rPr>
                <w:sz w:val="21"/>
                <w:szCs w:val="21"/>
              </w:rPr>
            </w:pPr>
            <w:r w:rsidRPr="00662249">
              <w:rPr>
                <w:sz w:val="21"/>
                <w:szCs w:val="21"/>
              </w:rPr>
              <w:t>Formation sur les techniques de gestion intégrée des pesticides</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12 ateliers de formation (2 ateliers par région)</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Forfait</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5 000 000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58"/>
          <w:jc w:val="center"/>
        </w:trPr>
        <w:tc>
          <w:tcPr>
            <w:tcW w:w="9203" w:type="dxa"/>
            <w:gridSpan w:val="5"/>
            <w:vAlign w:val="center"/>
          </w:tcPr>
          <w:p w:rsidR="00811DC9" w:rsidRPr="00662249" w:rsidRDefault="00811DC9" w:rsidP="00647D50">
            <w:pPr>
              <w:ind w:right="12"/>
              <w:jc w:val="center"/>
              <w:rPr>
                <w:sz w:val="21"/>
                <w:szCs w:val="21"/>
              </w:rPr>
            </w:pPr>
            <w:r w:rsidRPr="00662249">
              <w:rPr>
                <w:sz w:val="21"/>
                <w:szCs w:val="21"/>
              </w:rPr>
              <w:t>Formations</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556"/>
          <w:jc w:val="center"/>
        </w:trPr>
        <w:tc>
          <w:tcPr>
            <w:tcW w:w="0" w:type="auto"/>
            <w:shd w:val="clear" w:color="auto" w:fill="FFFFFF"/>
            <w:vAlign w:val="center"/>
          </w:tcPr>
          <w:p w:rsidR="00811DC9" w:rsidRPr="00662249" w:rsidRDefault="00811DC9" w:rsidP="00647D50">
            <w:pPr>
              <w:numPr>
                <w:ilvl w:val="0"/>
                <w:numId w:val="91"/>
              </w:numPr>
              <w:tabs>
                <w:tab w:val="left" w:pos="193"/>
              </w:tabs>
              <w:autoSpaceDE w:val="0"/>
              <w:autoSpaceDN w:val="0"/>
              <w:adjustRightInd w:val="0"/>
              <w:ind w:left="0" w:right="12" w:firstLine="0"/>
              <w:jc w:val="center"/>
              <w:rPr>
                <w:rFonts w:eastAsia="Times New Roman"/>
                <w:sz w:val="21"/>
                <w:szCs w:val="21"/>
              </w:rPr>
            </w:pPr>
            <w:r w:rsidRPr="00662249">
              <w:rPr>
                <w:rFonts w:eastAsia="Times New Roman"/>
                <w:sz w:val="21"/>
                <w:szCs w:val="21"/>
              </w:rPr>
              <w:t>AAAC</w:t>
            </w:r>
          </w:p>
          <w:p w:rsidR="00811DC9" w:rsidRPr="00662249" w:rsidRDefault="00811DC9" w:rsidP="00647D50">
            <w:pPr>
              <w:numPr>
                <w:ilvl w:val="0"/>
                <w:numId w:val="91"/>
              </w:numPr>
              <w:tabs>
                <w:tab w:val="left" w:pos="193"/>
              </w:tabs>
              <w:autoSpaceDE w:val="0"/>
              <w:autoSpaceDN w:val="0"/>
              <w:adjustRightInd w:val="0"/>
              <w:ind w:left="0" w:right="12" w:firstLine="0"/>
              <w:jc w:val="center"/>
              <w:rPr>
                <w:rFonts w:eastAsia="Times New Roman"/>
                <w:sz w:val="21"/>
                <w:szCs w:val="21"/>
              </w:rPr>
            </w:pPr>
            <w:r w:rsidRPr="00662249">
              <w:rPr>
                <w:rFonts w:eastAsia="Times New Roman"/>
                <w:sz w:val="21"/>
                <w:szCs w:val="21"/>
              </w:rPr>
              <w:t>Services techniques</w:t>
            </w:r>
          </w:p>
        </w:tc>
        <w:tc>
          <w:tcPr>
            <w:tcW w:w="0" w:type="auto"/>
            <w:shd w:val="clear" w:color="auto" w:fill="FFFFFF"/>
          </w:tcPr>
          <w:p w:rsidR="00811DC9" w:rsidRPr="00662249" w:rsidRDefault="00811DC9" w:rsidP="00647D50">
            <w:pPr>
              <w:numPr>
                <w:ilvl w:val="0"/>
                <w:numId w:val="92"/>
              </w:numPr>
              <w:ind w:left="64" w:right="12" w:hanging="141"/>
              <w:jc w:val="both"/>
              <w:rPr>
                <w:sz w:val="21"/>
                <w:szCs w:val="21"/>
              </w:rPr>
            </w:pPr>
            <w:r w:rsidRPr="00662249">
              <w:rPr>
                <w:sz w:val="21"/>
                <w:szCs w:val="21"/>
              </w:rPr>
              <w:t xml:space="preserve">La gestion des ressources naturelles et de l’environnement </w:t>
            </w:r>
          </w:p>
          <w:p w:rsidR="00811DC9" w:rsidRPr="00662249" w:rsidRDefault="00811DC9" w:rsidP="00647D50">
            <w:pPr>
              <w:numPr>
                <w:ilvl w:val="0"/>
                <w:numId w:val="92"/>
              </w:numPr>
              <w:ind w:left="64" w:right="12" w:hanging="141"/>
              <w:jc w:val="both"/>
              <w:rPr>
                <w:sz w:val="21"/>
                <w:szCs w:val="21"/>
              </w:rPr>
            </w:pPr>
            <w:r w:rsidRPr="00662249">
              <w:rPr>
                <w:sz w:val="21"/>
                <w:szCs w:val="21"/>
              </w:rPr>
              <w:t>Les enjeux environnementaux et sociaux relatifs à la réalisation des activités</w:t>
            </w:r>
          </w:p>
          <w:p w:rsidR="00811DC9" w:rsidRPr="00662249" w:rsidRDefault="00811DC9" w:rsidP="00647D50">
            <w:pPr>
              <w:numPr>
                <w:ilvl w:val="0"/>
                <w:numId w:val="92"/>
              </w:numPr>
              <w:ind w:left="64" w:right="12" w:hanging="141"/>
              <w:jc w:val="both"/>
              <w:rPr>
                <w:sz w:val="21"/>
                <w:szCs w:val="21"/>
              </w:rPr>
            </w:pPr>
            <w:r w:rsidRPr="00662249">
              <w:rPr>
                <w:sz w:val="21"/>
                <w:szCs w:val="21"/>
              </w:rPr>
              <w:t>Les réglementations environnementales et sociales adéquates ;</w:t>
            </w:r>
          </w:p>
          <w:p w:rsidR="00811DC9" w:rsidRPr="00662249" w:rsidRDefault="00811DC9" w:rsidP="00647D50">
            <w:pPr>
              <w:numPr>
                <w:ilvl w:val="0"/>
                <w:numId w:val="92"/>
              </w:numPr>
              <w:ind w:left="64" w:right="12" w:hanging="141"/>
              <w:jc w:val="both"/>
              <w:rPr>
                <w:sz w:val="21"/>
                <w:szCs w:val="21"/>
              </w:rPr>
            </w:pPr>
            <w:r w:rsidRPr="00662249">
              <w:rPr>
                <w:sz w:val="21"/>
                <w:szCs w:val="21"/>
              </w:rPr>
              <w:t>Les méthodes d'évaluation environnementale.</w:t>
            </w:r>
          </w:p>
          <w:p w:rsidR="00811DC9" w:rsidRPr="00662249" w:rsidRDefault="00811DC9" w:rsidP="00647D50">
            <w:pPr>
              <w:numPr>
                <w:ilvl w:val="0"/>
                <w:numId w:val="92"/>
              </w:numPr>
              <w:ind w:left="64" w:right="12" w:hanging="141"/>
              <w:jc w:val="both"/>
              <w:rPr>
                <w:sz w:val="21"/>
                <w:szCs w:val="21"/>
              </w:rPr>
            </w:pPr>
            <w:r w:rsidRPr="00662249">
              <w:rPr>
                <w:sz w:val="21"/>
                <w:szCs w:val="21"/>
              </w:rPr>
              <w:t>Les développements durables et le changement climatique</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9 ateliers de formation (1 ateliers par région)</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750 000</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6 750 000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58"/>
          <w:jc w:val="center"/>
        </w:trPr>
        <w:tc>
          <w:tcPr>
            <w:tcW w:w="9203" w:type="dxa"/>
            <w:gridSpan w:val="5"/>
          </w:tcPr>
          <w:p w:rsidR="00811DC9" w:rsidRPr="00662249" w:rsidRDefault="00811DC9" w:rsidP="00647D50">
            <w:pPr>
              <w:ind w:right="12"/>
              <w:jc w:val="center"/>
              <w:rPr>
                <w:sz w:val="21"/>
                <w:szCs w:val="21"/>
              </w:rPr>
            </w:pPr>
            <w:r w:rsidRPr="00662249">
              <w:rPr>
                <w:sz w:val="21"/>
                <w:szCs w:val="21"/>
              </w:rPr>
              <w:t>Information et sensibilisation</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1781"/>
          <w:jc w:val="center"/>
        </w:trPr>
        <w:tc>
          <w:tcPr>
            <w:tcW w:w="0" w:type="auto"/>
            <w:shd w:val="clear" w:color="auto" w:fill="FFFFFF"/>
          </w:tcPr>
          <w:p w:rsidR="00811DC9" w:rsidRPr="00662249" w:rsidRDefault="00811DC9" w:rsidP="00647D50">
            <w:pPr>
              <w:autoSpaceDE w:val="0"/>
              <w:autoSpaceDN w:val="0"/>
              <w:adjustRightInd w:val="0"/>
              <w:ind w:right="12"/>
              <w:rPr>
                <w:rFonts w:eastAsia="Times New Roman"/>
                <w:sz w:val="21"/>
                <w:szCs w:val="21"/>
              </w:rPr>
            </w:pPr>
          </w:p>
          <w:p w:rsidR="00811DC9" w:rsidRPr="00662249" w:rsidRDefault="00811DC9" w:rsidP="00647D50">
            <w:pPr>
              <w:numPr>
                <w:ilvl w:val="0"/>
                <w:numId w:val="91"/>
              </w:numPr>
              <w:tabs>
                <w:tab w:val="left" w:pos="193"/>
              </w:tabs>
              <w:autoSpaceDE w:val="0"/>
              <w:autoSpaceDN w:val="0"/>
              <w:adjustRightInd w:val="0"/>
              <w:ind w:left="0" w:right="12" w:firstLine="0"/>
              <w:rPr>
                <w:rFonts w:eastAsia="Times New Roman"/>
                <w:sz w:val="21"/>
                <w:szCs w:val="21"/>
              </w:rPr>
            </w:pPr>
            <w:r w:rsidRPr="00662249">
              <w:rPr>
                <w:rFonts w:eastAsia="Times New Roman"/>
                <w:sz w:val="21"/>
                <w:szCs w:val="21"/>
              </w:rPr>
              <w:t xml:space="preserve">Populations, </w:t>
            </w:r>
          </w:p>
          <w:p w:rsidR="00811DC9" w:rsidRPr="00662249" w:rsidRDefault="00811DC9" w:rsidP="00647D50">
            <w:pPr>
              <w:numPr>
                <w:ilvl w:val="0"/>
                <w:numId w:val="91"/>
              </w:numPr>
              <w:tabs>
                <w:tab w:val="left" w:pos="193"/>
              </w:tabs>
              <w:autoSpaceDE w:val="0"/>
              <w:autoSpaceDN w:val="0"/>
              <w:adjustRightInd w:val="0"/>
              <w:ind w:left="0" w:right="12" w:firstLine="0"/>
              <w:rPr>
                <w:rFonts w:eastAsia="Times New Roman"/>
                <w:sz w:val="21"/>
                <w:szCs w:val="21"/>
              </w:rPr>
            </w:pPr>
            <w:r w:rsidRPr="00662249">
              <w:rPr>
                <w:rFonts w:eastAsia="Times New Roman"/>
                <w:sz w:val="21"/>
                <w:szCs w:val="21"/>
              </w:rPr>
              <w:t xml:space="preserve">Associations locales et OCB </w:t>
            </w:r>
          </w:p>
          <w:p w:rsidR="00811DC9" w:rsidRPr="00662249" w:rsidRDefault="00811DC9" w:rsidP="00647D50">
            <w:pPr>
              <w:tabs>
                <w:tab w:val="left" w:pos="193"/>
              </w:tabs>
              <w:autoSpaceDE w:val="0"/>
              <w:autoSpaceDN w:val="0"/>
              <w:adjustRightInd w:val="0"/>
              <w:ind w:right="12"/>
              <w:rPr>
                <w:color w:val="000000"/>
                <w:sz w:val="21"/>
                <w:szCs w:val="21"/>
              </w:rPr>
            </w:pPr>
          </w:p>
        </w:tc>
        <w:tc>
          <w:tcPr>
            <w:tcW w:w="0" w:type="auto"/>
            <w:shd w:val="clear" w:color="auto" w:fill="FFFFFF"/>
          </w:tcPr>
          <w:p w:rsidR="00811DC9" w:rsidRPr="00662249" w:rsidRDefault="00811DC9" w:rsidP="00647D50">
            <w:pPr>
              <w:numPr>
                <w:ilvl w:val="0"/>
                <w:numId w:val="91"/>
              </w:numPr>
              <w:tabs>
                <w:tab w:val="left" w:pos="193"/>
              </w:tabs>
              <w:autoSpaceDE w:val="0"/>
              <w:autoSpaceDN w:val="0"/>
              <w:adjustRightInd w:val="0"/>
              <w:ind w:left="0" w:right="12" w:firstLine="0"/>
              <w:jc w:val="both"/>
              <w:rPr>
                <w:rFonts w:eastAsia="Times New Roman"/>
                <w:sz w:val="21"/>
                <w:szCs w:val="21"/>
              </w:rPr>
            </w:pPr>
            <w:r w:rsidRPr="00662249">
              <w:rPr>
                <w:rFonts w:eastAsia="Times New Roman"/>
                <w:sz w:val="21"/>
                <w:szCs w:val="21"/>
              </w:rPr>
              <w:t>Campagnes d’information et de sensibilisation sur la nature des activités du PUSA, l’implication des acteurs locaux, les enjeux environnementaux et sociaux ;</w:t>
            </w:r>
          </w:p>
          <w:p w:rsidR="00811DC9" w:rsidRPr="00662249" w:rsidRDefault="00811DC9" w:rsidP="00647D50">
            <w:pPr>
              <w:numPr>
                <w:ilvl w:val="0"/>
                <w:numId w:val="91"/>
              </w:numPr>
              <w:tabs>
                <w:tab w:val="left" w:pos="193"/>
              </w:tabs>
              <w:autoSpaceDE w:val="0"/>
              <w:autoSpaceDN w:val="0"/>
              <w:adjustRightInd w:val="0"/>
              <w:ind w:left="0" w:right="12" w:firstLine="0"/>
              <w:jc w:val="both"/>
              <w:rPr>
                <w:rFonts w:eastAsia="Times New Roman"/>
                <w:sz w:val="21"/>
                <w:szCs w:val="21"/>
              </w:rPr>
            </w:pPr>
            <w:r w:rsidRPr="00662249">
              <w:rPr>
                <w:rFonts w:eastAsia="Times New Roman"/>
                <w:sz w:val="21"/>
                <w:szCs w:val="21"/>
              </w:rPr>
              <w:t xml:space="preserve">Sensibilisation sur la sécurité et l’hygiène lors des travaux </w:t>
            </w:r>
          </w:p>
        </w:tc>
        <w:tc>
          <w:tcPr>
            <w:tcW w:w="1750" w:type="dxa"/>
            <w:shd w:val="clear" w:color="auto" w:fill="FFFFFF"/>
            <w:vAlign w:val="center"/>
          </w:tcPr>
          <w:p w:rsidR="00811DC9" w:rsidRPr="00662249" w:rsidRDefault="00811DC9" w:rsidP="00647D50">
            <w:pPr>
              <w:ind w:right="12"/>
              <w:jc w:val="center"/>
              <w:rPr>
                <w:sz w:val="21"/>
                <w:szCs w:val="21"/>
              </w:rPr>
            </w:pPr>
            <w:r w:rsidRPr="00662249">
              <w:rPr>
                <w:sz w:val="21"/>
                <w:szCs w:val="21"/>
              </w:rPr>
              <w:t>10 Campagnes de sensibilisation</w:t>
            </w:r>
          </w:p>
        </w:tc>
        <w:tc>
          <w:tcPr>
            <w:tcW w:w="1308" w:type="dxa"/>
            <w:shd w:val="clear" w:color="auto" w:fill="FFFFFF"/>
            <w:vAlign w:val="center"/>
          </w:tcPr>
          <w:p w:rsidR="00811DC9" w:rsidRPr="00662249" w:rsidRDefault="00811DC9" w:rsidP="00647D50">
            <w:pPr>
              <w:ind w:right="12"/>
              <w:jc w:val="center"/>
              <w:rPr>
                <w:sz w:val="21"/>
                <w:szCs w:val="21"/>
              </w:rPr>
            </w:pPr>
            <w:r w:rsidRPr="00662249">
              <w:rPr>
                <w:sz w:val="21"/>
                <w:szCs w:val="21"/>
              </w:rPr>
              <w:t>1 000 000</w:t>
            </w:r>
          </w:p>
        </w:tc>
        <w:tc>
          <w:tcPr>
            <w:tcW w:w="1312" w:type="dxa"/>
            <w:shd w:val="clear" w:color="auto" w:fill="FFFFFF"/>
            <w:vAlign w:val="center"/>
          </w:tcPr>
          <w:p w:rsidR="00811DC9" w:rsidRPr="00662249" w:rsidRDefault="00811DC9" w:rsidP="00647D50">
            <w:pPr>
              <w:ind w:right="12"/>
              <w:jc w:val="center"/>
              <w:rPr>
                <w:sz w:val="21"/>
                <w:szCs w:val="21"/>
              </w:rPr>
            </w:pPr>
            <w:r w:rsidRPr="00662249">
              <w:rPr>
                <w:sz w:val="21"/>
                <w:szCs w:val="21"/>
              </w:rPr>
              <w:t>10 000 000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60"/>
          <w:jc w:val="center"/>
        </w:trPr>
        <w:tc>
          <w:tcPr>
            <w:tcW w:w="7891" w:type="dxa"/>
            <w:gridSpan w:val="4"/>
            <w:shd w:val="clear" w:color="auto" w:fill="E2EFD9" w:themeFill="accent6" w:themeFillTint="33"/>
          </w:tcPr>
          <w:p w:rsidR="00811DC9" w:rsidRPr="00662249" w:rsidRDefault="00811DC9" w:rsidP="00647D50">
            <w:pPr>
              <w:ind w:right="12"/>
              <w:jc w:val="center"/>
              <w:rPr>
                <w:b/>
                <w:color w:val="FF0000"/>
                <w:sz w:val="21"/>
                <w:szCs w:val="21"/>
                <w:highlight w:val="yellow"/>
              </w:rPr>
            </w:pPr>
            <w:r w:rsidRPr="00662249">
              <w:rPr>
                <w:b/>
                <w:color w:val="FF0000"/>
                <w:sz w:val="21"/>
                <w:szCs w:val="21"/>
              </w:rPr>
              <w:t>Sous total 3</w:t>
            </w:r>
          </w:p>
        </w:tc>
        <w:tc>
          <w:tcPr>
            <w:tcW w:w="1312" w:type="dxa"/>
            <w:shd w:val="clear" w:color="auto" w:fill="E2EFD9" w:themeFill="accent6" w:themeFillTint="33"/>
          </w:tcPr>
          <w:p w:rsidR="00811DC9" w:rsidRPr="00662249" w:rsidRDefault="00811DC9" w:rsidP="00647D50">
            <w:pPr>
              <w:ind w:right="12"/>
              <w:jc w:val="center"/>
              <w:rPr>
                <w:b/>
                <w:color w:val="FF0000"/>
                <w:sz w:val="21"/>
                <w:szCs w:val="21"/>
              </w:rPr>
            </w:pPr>
            <w:r w:rsidRPr="00662249">
              <w:rPr>
                <w:b/>
                <w:color w:val="FF0000"/>
                <w:sz w:val="21"/>
                <w:szCs w:val="21"/>
              </w:rPr>
              <w:t>31 750 000</w:t>
            </w:r>
          </w:p>
        </w:tc>
      </w:tr>
      <w:tr w:rsidR="00811DC9" w:rsidRPr="00662249" w:rsidTr="00647D50">
        <w:trPr>
          <w:cnfStyle w:val="000000010000" w:firstRow="0" w:lastRow="0" w:firstColumn="0" w:lastColumn="0" w:oddVBand="0" w:evenVBand="0" w:oddHBand="0" w:evenHBand="1" w:firstRowFirstColumn="0" w:firstRowLastColumn="0" w:lastRowFirstColumn="0" w:lastRowLastColumn="0"/>
          <w:trHeight w:val="60"/>
          <w:jc w:val="center"/>
        </w:trPr>
        <w:tc>
          <w:tcPr>
            <w:tcW w:w="7891" w:type="dxa"/>
            <w:gridSpan w:val="4"/>
            <w:shd w:val="clear" w:color="auto" w:fill="DEEAF6" w:themeFill="accent1" w:themeFillTint="33"/>
            <w:vAlign w:val="center"/>
          </w:tcPr>
          <w:p w:rsidR="00811DC9" w:rsidRPr="00662249" w:rsidRDefault="00811DC9" w:rsidP="00647D50">
            <w:pPr>
              <w:ind w:right="12"/>
              <w:jc w:val="center"/>
              <w:rPr>
                <w:sz w:val="21"/>
                <w:szCs w:val="21"/>
              </w:rPr>
            </w:pPr>
            <w:r w:rsidRPr="00662249">
              <w:rPr>
                <w:sz w:val="21"/>
                <w:szCs w:val="21"/>
              </w:rPr>
              <w:t>TOTAL GENERAL</w:t>
            </w:r>
          </w:p>
        </w:tc>
        <w:tc>
          <w:tcPr>
            <w:tcW w:w="1312" w:type="dxa"/>
            <w:shd w:val="clear" w:color="auto" w:fill="DEEAF6" w:themeFill="accent1" w:themeFillTint="33"/>
            <w:vAlign w:val="center"/>
          </w:tcPr>
          <w:p w:rsidR="00811DC9" w:rsidRPr="00662249" w:rsidRDefault="00811DC9" w:rsidP="00647D50">
            <w:pPr>
              <w:ind w:right="12"/>
              <w:jc w:val="center"/>
              <w:rPr>
                <w:b/>
                <w:sz w:val="21"/>
                <w:szCs w:val="21"/>
              </w:rPr>
            </w:pPr>
            <w:r w:rsidRPr="00662249">
              <w:rPr>
                <w:b/>
                <w:sz w:val="21"/>
                <w:szCs w:val="21"/>
              </w:rPr>
              <w:t>1</w:t>
            </w:r>
            <w:r w:rsidR="00F92390">
              <w:rPr>
                <w:b/>
                <w:sz w:val="21"/>
                <w:szCs w:val="21"/>
              </w:rPr>
              <w:t>1</w:t>
            </w:r>
            <w:r w:rsidRPr="00662249">
              <w:rPr>
                <w:b/>
                <w:sz w:val="21"/>
                <w:szCs w:val="21"/>
              </w:rPr>
              <w:t>3 750 000</w:t>
            </w:r>
          </w:p>
        </w:tc>
      </w:tr>
      <w:tr w:rsidR="00811DC9" w:rsidRPr="00662249" w:rsidTr="00647D50">
        <w:trPr>
          <w:cnfStyle w:val="000000100000" w:firstRow="0" w:lastRow="0" w:firstColumn="0" w:lastColumn="0" w:oddVBand="0" w:evenVBand="0" w:oddHBand="1" w:evenHBand="0" w:firstRowFirstColumn="0" w:firstRowLastColumn="0" w:lastRowFirstColumn="0" w:lastRowLastColumn="0"/>
          <w:trHeight w:val="573"/>
          <w:jc w:val="center"/>
        </w:trPr>
        <w:tc>
          <w:tcPr>
            <w:tcW w:w="9203" w:type="dxa"/>
            <w:gridSpan w:val="5"/>
          </w:tcPr>
          <w:p w:rsidR="00811DC9" w:rsidRPr="00662249" w:rsidRDefault="00811DC9" w:rsidP="00647D50">
            <w:pPr>
              <w:autoSpaceDE w:val="0"/>
              <w:autoSpaceDN w:val="0"/>
              <w:adjustRightInd w:val="0"/>
              <w:ind w:right="12"/>
              <w:jc w:val="center"/>
              <w:rPr>
                <w:rFonts w:eastAsia="Times New Roman"/>
                <w:sz w:val="21"/>
                <w:szCs w:val="21"/>
              </w:rPr>
            </w:pPr>
            <w:r w:rsidRPr="00662249">
              <w:rPr>
                <w:rFonts w:eastAsia="Times New Roman"/>
                <w:bCs/>
                <w:sz w:val="21"/>
                <w:szCs w:val="21"/>
              </w:rPr>
              <w:t xml:space="preserve">Coût total de mise en œuvre du PCGES : </w:t>
            </w:r>
            <w:r w:rsidRPr="00662249">
              <w:rPr>
                <w:rFonts w:eastAsiaTheme="minorHAnsi"/>
                <w:b/>
                <w:color w:val="000000"/>
                <w:sz w:val="21"/>
                <w:szCs w:val="21"/>
              </w:rPr>
              <w:t>1</w:t>
            </w:r>
            <w:r w:rsidR="00F92390">
              <w:rPr>
                <w:rFonts w:eastAsiaTheme="minorHAnsi"/>
                <w:b/>
                <w:color w:val="000000"/>
                <w:sz w:val="21"/>
                <w:szCs w:val="21"/>
              </w:rPr>
              <w:t>1</w:t>
            </w:r>
            <w:r w:rsidRPr="00662249">
              <w:rPr>
                <w:rFonts w:eastAsiaTheme="minorHAnsi"/>
                <w:b/>
                <w:color w:val="000000"/>
                <w:sz w:val="21"/>
                <w:szCs w:val="21"/>
              </w:rPr>
              <w:t>3 750 000</w:t>
            </w:r>
            <w:r w:rsidRPr="00662249">
              <w:rPr>
                <w:color w:val="000000"/>
                <w:sz w:val="21"/>
                <w:szCs w:val="21"/>
              </w:rPr>
              <w:t xml:space="preserve"> </w:t>
            </w:r>
            <w:r w:rsidRPr="00662249">
              <w:rPr>
                <w:rFonts w:eastAsia="Times New Roman"/>
                <w:bCs/>
                <w:sz w:val="21"/>
                <w:szCs w:val="21"/>
              </w:rPr>
              <w:t>FCFA</w:t>
            </w:r>
          </w:p>
          <w:p w:rsidR="00811DC9" w:rsidRPr="00662249" w:rsidRDefault="00811DC9" w:rsidP="00647D50">
            <w:pPr>
              <w:ind w:right="12"/>
              <w:jc w:val="center"/>
              <w:rPr>
                <w:sz w:val="21"/>
                <w:szCs w:val="21"/>
              </w:rPr>
            </w:pPr>
            <w:r w:rsidRPr="00662249">
              <w:rPr>
                <w:rFonts w:eastAsiaTheme="minorHAnsi"/>
                <w:b/>
                <w:sz w:val="21"/>
                <w:szCs w:val="21"/>
              </w:rPr>
              <w:t>NOTA</w:t>
            </w:r>
            <w:r w:rsidRPr="00662249">
              <w:rPr>
                <w:sz w:val="21"/>
                <w:szCs w:val="21"/>
              </w:rPr>
              <w:t xml:space="preserve"> : Tous ces coûts devront être inclus dans les coûts du projet</w:t>
            </w:r>
          </w:p>
        </w:tc>
      </w:tr>
    </w:tbl>
    <w:p w:rsidR="00811DC9" w:rsidRPr="00861C29" w:rsidRDefault="00811DC9" w:rsidP="003D6FC3">
      <w:pPr>
        <w:jc w:val="both"/>
      </w:pPr>
    </w:p>
    <w:p w:rsidR="00337D92" w:rsidRPr="00861C29" w:rsidRDefault="00337D92" w:rsidP="00765892">
      <w:pPr>
        <w:pStyle w:val="PargrafodaLista"/>
        <w:numPr>
          <w:ilvl w:val="0"/>
          <w:numId w:val="254"/>
        </w:numPr>
        <w:spacing w:after="0" w:line="240" w:lineRule="auto"/>
        <w:ind w:left="709" w:hanging="283"/>
        <w:outlineLvl w:val="1"/>
        <w:rPr>
          <w:rFonts w:ascii="Times New Roman" w:hAnsi="Times New Roman"/>
          <w:b/>
          <w:bCs/>
          <w:sz w:val="24"/>
          <w:szCs w:val="24"/>
        </w:rPr>
      </w:pPr>
      <w:bookmarkStart w:id="41" w:name="_Toc75432228"/>
      <w:r w:rsidRPr="00861C29">
        <w:rPr>
          <w:rFonts w:ascii="Times New Roman" w:hAnsi="Times New Roman"/>
          <w:b/>
          <w:bCs/>
          <w:sz w:val="24"/>
          <w:szCs w:val="24"/>
        </w:rPr>
        <w:t>CONSULTATION DU PUBLIC</w:t>
      </w:r>
      <w:bookmarkEnd w:id="41"/>
    </w:p>
    <w:p w:rsidR="00FC396F" w:rsidRDefault="00337D92" w:rsidP="00486A3F">
      <w:pPr>
        <w:jc w:val="both"/>
      </w:pPr>
      <w:r w:rsidRPr="00861C29">
        <w:t xml:space="preserve">Vue la situation par rapport à l’évolution de la COVID-19, l’équipe a </w:t>
      </w:r>
      <w:r w:rsidR="00486A3F">
        <w:t>p</w:t>
      </w:r>
      <w:r w:rsidR="00486A3F" w:rsidRPr="00FC396F">
        <w:t>rocédé</w:t>
      </w:r>
      <w:r w:rsidR="00FC396F" w:rsidRPr="00FC396F">
        <w:t xml:space="preserve"> </w:t>
      </w:r>
      <w:r w:rsidR="00FC396F">
        <w:t xml:space="preserve">dans la phase suivante </w:t>
      </w:r>
      <w:r w:rsidR="00FC396F" w:rsidRPr="00FC396F">
        <w:t xml:space="preserve">(après </w:t>
      </w:r>
      <w:r w:rsidR="00FC396F">
        <w:t xml:space="preserve">le </w:t>
      </w:r>
      <w:r w:rsidR="00486A3F" w:rsidRPr="00FC396F">
        <w:t>dépistage)</w:t>
      </w:r>
      <w:r w:rsidR="00FC396F">
        <w:t xml:space="preserve"> à la </w:t>
      </w:r>
      <w:r w:rsidR="00FC396F" w:rsidRPr="00FC396F">
        <w:t xml:space="preserve">réalisation </w:t>
      </w:r>
      <w:r w:rsidR="00FC396F">
        <w:t xml:space="preserve">des consultations publiques </w:t>
      </w:r>
      <w:r w:rsidR="00FC396F" w:rsidRPr="00FC396F">
        <w:t xml:space="preserve">conformément </w:t>
      </w:r>
      <w:r w:rsidR="00FC396F">
        <w:t xml:space="preserve">au </w:t>
      </w:r>
      <w:r w:rsidR="00FC396F" w:rsidRPr="00486A3F">
        <w:t>décret n°5/2017</w:t>
      </w:r>
      <w:r w:rsidR="00FC396F" w:rsidRPr="00FC396F">
        <w:t xml:space="preserve">, en </w:t>
      </w:r>
      <w:r w:rsidR="00FC396F">
        <w:t>respectant</w:t>
      </w:r>
      <w:r w:rsidR="00FC396F" w:rsidRPr="00FC396F">
        <w:t xml:space="preserve"> </w:t>
      </w:r>
      <w:r w:rsidR="00FC396F">
        <w:t>les mesures</w:t>
      </w:r>
      <w:r w:rsidR="00FC396F" w:rsidRPr="00FC396F">
        <w:t xml:space="preserve"> </w:t>
      </w:r>
      <w:r w:rsidR="00FC396F">
        <w:t>de</w:t>
      </w:r>
      <w:r w:rsidR="00FC396F" w:rsidRPr="00FC396F">
        <w:t xml:space="preserve"> </w:t>
      </w:r>
      <w:r w:rsidR="00FC396F">
        <w:t>distanciation,</w:t>
      </w:r>
      <w:r w:rsidR="00FC396F" w:rsidRPr="00FC396F">
        <w:t xml:space="preserve"> </w:t>
      </w:r>
      <w:r w:rsidR="00FC396F">
        <w:t>l'utilisation</w:t>
      </w:r>
      <w:r w:rsidR="00FC396F" w:rsidRPr="00FC396F">
        <w:t xml:space="preserve"> </w:t>
      </w:r>
      <w:r w:rsidR="00FC396F">
        <w:t>obligatoire</w:t>
      </w:r>
      <w:r w:rsidR="00FC396F" w:rsidRPr="00FC396F">
        <w:t xml:space="preserve"> </w:t>
      </w:r>
      <w:r w:rsidR="00FC396F">
        <w:t>de</w:t>
      </w:r>
      <w:r w:rsidR="00FC396F" w:rsidRPr="00FC396F">
        <w:t xml:space="preserve"> </w:t>
      </w:r>
      <w:r w:rsidR="00FC396F">
        <w:t>masques,</w:t>
      </w:r>
      <w:r w:rsidR="00FC396F" w:rsidRPr="00FC396F">
        <w:t xml:space="preserve"> </w:t>
      </w:r>
      <w:r w:rsidR="00FC396F">
        <w:t>le</w:t>
      </w:r>
      <w:r w:rsidR="00FC396F" w:rsidRPr="00FC396F">
        <w:t xml:space="preserve"> </w:t>
      </w:r>
      <w:r w:rsidR="00FC396F">
        <w:t>lavage</w:t>
      </w:r>
      <w:r w:rsidR="00FC396F" w:rsidRPr="00FC396F">
        <w:t xml:space="preserve"> </w:t>
      </w:r>
      <w:r w:rsidR="00FC396F">
        <w:t>des</w:t>
      </w:r>
      <w:r w:rsidR="00FC396F" w:rsidRPr="00FC396F">
        <w:t xml:space="preserve"> </w:t>
      </w:r>
      <w:r w:rsidR="00FC396F">
        <w:t xml:space="preserve">mains et parmi de nombreuses autres mesures de </w:t>
      </w:r>
      <w:r w:rsidR="00FC396F" w:rsidRPr="00FC396F">
        <w:t xml:space="preserve">prévention proposées </w:t>
      </w:r>
      <w:r w:rsidR="00FC396F">
        <w:t>par le Haut-Commissaire du COVID-19, le MINSAP,</w:t>
      </w:r>
      <w:r w:rsidR="00FC396F" w:rsidRPr="00FC396F">
        <w:t xml:space="preserve"> </w:t>
      </w:r>
      <w:r w:rsidR="00FC396F">
        <w:t>l'OMS.</w:t>
      </w:r>
    </w:p>
    <w:p w:rsidR="00FC396F" w:rsidRDefault="00FC396F" w:rsidP="00486A3F">
      <w:pPr>
        <w:widowControl w:val="0"/>
        <w:tabs>
          <w:tab w:val="left" w:pos="2291"/>
          <w:tab w:val="left" w:pos="2292"/>
        </w:tabs>
        <w:autoSpaceDE w:val="0"/>
        <w:autoSpaceDN w:val="0"/>
        <w:spacing w:line="213" w:lineRule="auto"/>
        <w:ind w:right="149"/>
      </w:pPr>
    </w:p>
    <w:p w:rsidR="00337D92" w:rsidRPr="00861C29" w:rsidRDefault="00337D92" w:rsidP="005F5A9C">
      <w:pPr>
        <w:jc w:val="both"/>
      </w:pPr>
      <w:r w:rsidRPr="00861C29">
        <w:t xml:space="preserve">Lors des consultations, les services techniques et les acteurs concernés ont été très ouverts et ravis d’accueillir un projet d’urgence de sécurité alimentaire en Guinée Bissau. Ceci dans le but de soutenir l’Etat, les agricultures, l’ensemble des acteurs qui interviennent dans la production et la commercialisation des noix de cajou. De plus, il aide les jeunes et femmes sans emplois, la population en général à faire face aux effets négatifs sur le plan économique et social et qui risquent de conduire la Guinée Bissau dans une situation d’instabilité et d’insécurité alimentaire majeure.  </w:t>
      </w:r>
    </w:p>
    <w:p w:rsidR="00337D92" w:rsidRPr="00861C29" w:rsidRDefault="00337D92" w:rsidP="005F5A9C">
      <w:pPr>
        <w:jc w:val="both"/>
        <w:rPr>
          <w:rFonts w:eastAsia="Times New Roman"/>
        </w:rPr>
      </w:pPr>
      <w:r w:rsidRPr="00861C29">
        <w:t>L’ensemble des acteurs consultés ont beaucoup d’espoir à ce projet PUSA car, il apportera des améliorations dans leur condition de vie quotidienne, augmentera la création d’emplois et les revenus et engendrera le développement de l’agriculture. Le projet contribuera au r</w:t>
      </w:r>
      <w:r w:rsidRPr="00861C29">
        <w:rPr>
          <w:rFonts w:eastAsia="Times New Roman"/>
        </w:rPr>
        <w:t xml:space="preserve">enforcement de la valeur ajoutée des produits agricoles et de la noix de cajou, </w:t>
      </w:r>
      <w:r w:rsidRPr="00861C29">
        <w:t xml:space="preserve">à la réduction de </w:t>
      </w:r>
      <w:r w:rsidRPr="00861C29">
        <w:rPr>
          <w:rFonts w:eastAsia="Times New Roman"/>
        </w:rPr>
        <w:t>la dé</w:t>
      </w:r>
      <w:r w:rsidRPr="00861C29">
        <w:t xml:space="preserve">pendance aux </w:t>
      </w:r>
      <w:r w:rsidRPr="00861C29">
        <w:rPr>
          <w:rFonts w:eastAsia="Times New Roman"/>
        </w:rPr>
        <w:t>importations de produits agroalimentaires, à la lutter contre cette insécurité alimentaire et la malnutrition des enfants</w:t>
      </w:r>
      <w:r w:rsidRPr="00861C29">
        <w:rPr>
          <w:rFonts w:eastAsia="Times New Roman"/>
        </w:rPr>
        <w:tab/>
      </w:r>
    </w:p>
    <w:p w:rsidR="00337D92" w:rsidRPr="00861C29" w:rsidRDefault="00337D92" w:rsidP="005F5A9C">
      <w:pPr>
        <w:jc w:val="both"/>
      </w:pPr>
      <w:r w:rsidRPr="00861C29">
        <w:t>Toutefois, des préoccupations majeures et des recommandations ont été soulevées par les différents services ou directions techniques et acteurs concernés. Ainsi, ces préoccupations et recommandations doivent être prises en compte avant, pendant et après la mise en œuvre pour atteindre les objectifs du projet PUSA.</w:t>
      </w:r>
    </w:p>
    <w:p w:rsidR="00337D92" w:rsidRPr="00861C29" w:rsidRDefault="00337D92" w:rsidP="005F5A9C">
      <w:pPr>
        <w:jc w:val="both"/>
      </w:pPr>
    </w:p>
    <w:p w:rsidR="00337D92" w:rsidRPr="00861C29" w:rsidRDefault="00337D92" w:rsidP="005F5A9C">
      <w:pPr>
        <w:jc w:val="both"/>
      </w:pPr>
      <w:r w:rsidRPr="00861C29">
        <w:t>De plus, il est bien de prendre en compte lors du déroulement du projet, les inquiétudes des femmes et jeunes filles pour lutter contre les mariages précoces et forcés, l’Exploitation et les abus Sexuels, et le Harcèlement sexuel (NBP-EAS/HS) dans le cadre des activités du projet. Mais aussi au respect des lois pour permettre à la femme de pouvoir accéder à la terre sans discrétion et de violence ou conflit familiale.</w:t>
      </w:r>
    </w:p>
    <w:p w:rsidR="00337D92" w:rsidRPr="00861C29" w:rsidRDefault="00337D92" w:rsidP="00765892">
      <w:pPr>
        <w:ind w:left="-426"/>
        <w:jc w:val="both"/>
      </w:pPr>
    </w:p>
    <w:p w:rsidR="00337D92" w:rsidRPr="00861C29" w:rsidRDefault="00337D92" w:rsidP="005F5A9C">
      <w:pPr>
        <w:jc w:val="both"/>
        <w:rPr>
          <w:b/>
          <w:u w:val="single"/>
        </w:rPr>
      </w:pPr>
      <w:r w:rsidRPr="00861C29">
        <w:rPr>
          <w:b/>
          <w:u w:val="single"/>
        </w:rPr>
        <w:t>Recommandations spécifiques :</w:t>
      </w:r>
    </w:p>
    <w:p w:rsidR="00337D92" w:rsidRPr="00861C29" w:rsidRDefault="00337D92" w:rsidP="00765892">
      <w:pPr>
        <w:jc w:val="center"/>
        <w:rPr>
          <w:b/>
          <w:bCs/>
        </w:rPr>
      </w:pPr>
      <w:r w:rsidRPr="00861C29">
        <w:rPr>
          <w:b/>
          <w:bCs/>
        </w:rPr>
        <w:t>A l’endroit du Gouvernement :</w:t>
      </w:r>
    </w:p>
    <w:p w:rsidR="00337D92" w:rsidRPr="00861C29" w:rsidRDefault="00337D92" w:rsidP="00765892">
      <w:pPr>
        <w:numPr>
          <w:ilvl w:val="1"/>
          <w:numId w:val="114"/>
        </w:numPr>
        <w:ind w:left="426"/>
        <w:jc w:val="both"/>
        <w:rPr>
          <w:rFonts w:eastAsia="Calibri"/>
        </w:rPr>
      </w:pPr>
      <w:r w:rsidRPr="00861C29">
        <w:rPr>
          <w:rFonts w:eastAsia="Calibri"/>
        </w:rPr>
        <w:t>Allouer des ressources financières suffisantes au service des statistiques agricoles pour assurer les enquêtes agricoles régulières ;</w:t>
      </w:r>
    </w:p>
    <w:p w:rsidR="00337D92" w:rsidRPr="00861C29" w:rsidRDefault="00337D92" w:rsidP="00765892">
      <w:pPr>
        <w:numPr>
          <w:ilvl w:val="1"/>
          <w:numId w:val="114"/>
        </w:numPr>
        <w:ind w:left="426"/>
        <w:jc w:val="both"/>
        <w:rPr>
          <w:rFonts w:eastAsia="Calibri"/>
        </w:rPr>
      </w:pPr>
      <w:r w:rsidRPr="00861C29">
        <w:rPr>
          <w:rFonts w:eastAsia="Calibri"/>
        </w:rPr>
        <w:lastRenderedPageBreak/>
        <w:t>Appuyer davantage la réalisation des missions conjointes à travers la mise à disposition à temps des moyens adéquats pour couvrir tout le pays ;</w:t>
      </w:r>
    </w:p>
    <w:p w:rsidR="00337D92" w:rsidRPr="00861C29" w:rsidRDefault="00337D92" w:rsidP="00765892">
      <w:pPr>
        <w:numPr>
          <w:ilvl w:val="1"/>
          <w:numId w:val="114"/>
        </w:numPr>
        <w:ind w:left="426"/>
        <w:jc w:val="both"/>
        <w:rPr>
          <w:rFonts w:eastAsia="Calibri"/>
        </w:rPr>
      </w:pPr>
      <w:r w:rsidRPr="00861C29">
        <w:rPr>
          <w:rFonts w:eastAsia="Calibri"/>
        </w:rPr>
        <w:t>Elaborer un plan de contingence national Gouvernement/partenaires pour faire face à une éventuelle dégradation de la situation alimentaire et nutritionnelle dans les zones inondées des régions de Cacheu, Oio, Bafata, Tombali et Quinara et aussi en cas d’invasion du criquet pèlerin.</w:t>
      </w:r>
    </w:p>
    <w:p w:rsidR="00337D92" w:rsidRPr="00861C29" w:rsidRDefault="00337D92" w:rsidP="00765892">
      <w:pPr>
        <w:numPr>
          <w:ilvl w:val="1"/>
          <w:numId w:val="114"/>
        </w:numPr>
        <w:ind w:left="426"/>
        <w:jc w:val="both"/>
        <w:rPr>
          <w:rFonts w:eastAsia="Calibri"/>
        </w:rPr>
      </w:pPr>
      <w:r w:rsidRPr="00861C29">
        <w:rPr>
          <w:rFonts w:eastAsia="Calibri"/>
        </w:rPr>
        <w:t>Renforcer la campagne de production des cultures de contresaison (maraîchère et riz irrigué) ;</w:t>
      </w:r>
    </w:p>
    <w:p w:rsidR="00337D92" w:rsidRPr="00861C29" w:rsidRDefault="00337D92" w:rsidP="00765892">
      <w:pPr>
        <w:numPr>
          <w:ilvl w:val="1"/>
          <w:numId w:val="114"/>
        </w:numPr>
        <w:ind w:left="426"/>
        <w:jc w:val="both"/>
        <w:rPr>
          <w:rFonts w:eastAsia="Calibri"/>
        </w:rPr>
      </w:pPr>
      <w:r w:rsidRPr="00861C29">
        <w:rPr>
          <w:rFonts w:eastAsia="Calibri"/>
        </w:rPr>
        <w:t>Renforcer la surveillance et la lutte contre la progression de chenilles légionnaires et des maladies charbons bactériens et systématiques bovine, PPR (peste des petits ruminants), PPA (peste porcine africaine), et la maladie de Newcastle chez les volailles ;</w:t>
      </w:r>
    </w:p>
    <w:p w:rsidR="00337D92" w:rsidRPr="00861C29" w:rsidRDefault="00337D92" w:rsidP="00765892">
      <w:pPr>
        <w:numPr>
          <w:ilvl w:val="1"/>
          <w:numId w:val="114"/>
        </w:numPr>
        <w:ind w:left="426"/>
        <w:jc w:val="both"/>
        <w:rPr>
          <w:rFonts w:eastAsia="Calibri"/>
        </w:rPr>
      </w:pPr>
      <w:r w:rsidRPr="00861C29">
        <w:rPr>
          <w:rFonts w:eastAsia="Calibri"/>
        </w:rPr>
        <w:t>Intensifier la campagne de production des cultures de contresaison (maraîchère et riz irrigué) dans toutes les régions du pays ;</w:t>
      </w:r>
    </w:p>
    <w:p w:rsidR="00337D92" w:rsidRPr="00861C29" w:rsidRDefault="00337D92" w:rsidP="00765892">
      <w:pPr>
        <w:numPr>
          <w:ilvl w:val="1"/>
          <w:numId w:val="114"/>
        </w:numPr>
        <w:ind w:left="426"/>
        <w:jc w:val="both"/>
        <w:rPr>
          <w:rFonts w:eastAsia="Calibri"/>
        </w:rPr>
      </w:pPr>
      <w:r w:rsidRPr="00861C29">
        <w:rPr>
          <w:rFonts w:eastAsia="Calibri"/>
        </w:rPr>
        <w:t xml:space="preserve">Décentraliser </w:t>
      </w:r>
      <w:r w:rsidR="006C5578" w:rsidRPr="00861C29">
        <w:rPr>
          <w:rFonts w:eastAsia="Calibri"/>
        </w:rPr>
        <w:t xml:space="preserve">les agents concernés </w:t>
      </w:r>
      <w:r w:rsidRPr="00861C29">
        <w:rPr>
          <w:rFonts w:eastAsia="Calibri"/>
        </w:rPr>
        <w:t xml:space="preserve">dans les régions pour leur permettre de mieux jouer leur rôle de suivi de la campagne agropastorale et de diffusion des avis et conseils agro météorologique auprès des producteurs ; </w:t>
      </w:r>
    </w:p>
    <w:p w:rsidR="00337D92" w:rsidRPr="00861C29" w:rsidRDefault="00337D92" w:rsidP="00765892">
      <w:pPr>
        <w:numPr>
          <w:ilvl w:val="1"/>
          <w:numId w:val="114"/>
        </w:numPr>
        <w:ind w:left="426"/>
        <w:jc w:val="both"/>
        <w:rPr>
          <w:rFonts w:eastAsia="Calibri"/>
        </w:rPr>
      </w:pPr>
      <w:r w:rsidRPr="00861C29">
        <w:rPr>
          <w:rFonts w:eastAsia="Calibri"/>
        </w:rPr>
        <w:t>Renforcer en ressources humaines et techniques les structures régionales d’encadrements.</w:t>
      </w:r>
    </w:p>
    <w:p w:rsidR="00337D92" w:rsidRPr="00861C29" w:rsidRDefault="00337D92" w:rsidP="00765892">
      <w:pPr>
        <w:jc w:val="both"/>
      </w:pPr>
    </w:p>
    <w:p w:rsidR="00337D92" w:rsidRPr="00861C29" w:rsidRDefault="00337D92" w:rsidP="00765892">
      <w:pPr>
        <w:jc w:val="center"/>
        <w:rPr>
          <w:b/>
          <w:bCs/>
        </w:rPr>
      </w:pPr>
      <w:r w:rsidRPr="00861C29">
        <w:rPr>
          <w:b/>
          <w:bCs/>
        </w:rPr>
        <w:t>A l’endroit de la FAO :</w:t>
      </w:r>
    </w:p>
    <w:p w:rsidR="00337D92" w:rsidRPr="00861C29" w:rsidRDefault="00337D92" w:rsidP="00765892">
      <w:pPr>
        <w:numPr>
          <w:ilvl w:val="1"/>
          <w:numId w:val="114"/>
        </w:numPr>
        <w:tabs>
          <w:tab w:val="right" w:leader="dot" w:pos="10348"/>
        </w:tabs>
        <w:ind w:left="426"/>
        <w:rPr>
          <w:rFonts w:eastAsia="Calibri"/>
        </w:rPr>
      </w:pPr>
      <w:r w:rsidRPr="00861C29">
        <w:rPr>
          <w:rFonts w:eastAsia="Calibri"/>
        </w:rPr>
        <w:t>Soutenir les efforts de l’Etat dans la conduite régulière de l’enquête permanente agricole et le recensement national de l’agriculture et de l’élevage ;</w:t>
      </w:r>
    </w:p>
    <w:p w:rsidR="00337D92" w:rsidRPr="00861C29" w:rsidRDefault="00337D92" w:rsidP="00765892">
      <w:pPr>
        <w:numPr>
          <w:ilvl w:val="1"/>
          <w:numId w:val="114"/>
        </w:numPr>
        <w:tabs>
          <w:tab w:val="right" w:leader="dot" w:pos="10348"/>
        </w:tabs>
        <w:ind w:left="426"/>
        <w:rPr>
          <w:rFonts w:eastAsia="Calibri"/>
        </w:rPr>
      </w:pPr>
      <w:r w:rsidRPr="00861C29">
        <w:rPr>
          <w:rFonts w:eastAsia="Calibri"/>
        </w:rPr>
        <w:t>Appuyer la réalisation de l’enquête de vulnérabilité à l’insécurité Alimentaire et Nutritionnelle des ménages ;</w:t>
      </w:r>
    </w:p>
    <w:p w:rsidR="00337D92" w:rsidRPr="00861C29" w:rsidRDefault="00337D92" w:rsidP="00765892">
      <w:pPr>
        <w:numPr>
          <w:ilvl w:val="1"/>
          <w:numId w:val="114"/>
        </w:numPr>
        <w:tabs>
          <w:tab w:val="right" w:leader="dot" w:pos="10348"/>
        </w:tabs>
        <w:ind w:left="426"/>
        <w:rPr>
          <w:rFonts w:eastAsia="Calibri"/>
        </w:rPr>
      </w:pPr>
      <w:r w:rsidRPr="00861C29">
        <w:rPr>
          <w:rFonts w:eastAsia="Calibri"/>
        </w:rPr>
        <w:t>Mobiliser les appuis techniques et ressources financières pour assurer la collecte de données régulière et fiables pour améliorer les analyses du Cadre Harmonisé dans le pays ;</w:t>
      </w:r>
    </w:p>
    <w:p w:rsidR="00337D92" w:rsidRPr="00861C29" w:rsidRDefault="00337D92" w:rsidP="00765892">
      <w:pPr>
        <w:numPr>
          <w:ilvl w:val="1"/>
          <w:numId w:val="114"/>
        </w:numPr>
        <w:tabs>
          <w:tab w:val="right" w:leader="dot" w:pos="10348"/>
        </w:tabs>
        <w:ind w:left="426"/>
        <w:rPr>
          <w:rFonts w:eastAsia="Calibri"/>
        </w:rPr>
      </w:pPr>
      <w:r w:rsidRPr="00861C29">
        <w:rPr>
          <w:rFonts w:eastAsia="Calibri"/>
        </w:rPr>
        <w:t>Poursuivre l’accompagnement des missions conjointes d’évaluations des récoltes.</w:t>
      </w:r>
    </w:p>
    <w:p w:rsidR="00337D92" w:rsidRPr="00861C29" w:rsidRDefault="00337D92" w:rsidP="00765892">
      <w:pPr>
        <w:numPr>
          <w:ilvl w:val="1"/>
          <w:numId w:val="114"/>
        </w:numPr>
        <w:tabs>
          <w:tab w:val="right" w:leader="dot" w:pos="10348"/>
        </w:tabs>
        <w:ind w:left="426"/>
        <w:rPr>
          <w:rFonts w:eastAsia="Calibri"/>
        </w:rPr>
      </w:pPr>
      <w:r w:rsidRPr="00861C29">
        <w:rPr>
          <w:rFonts w:eastAsia="Calibri"/>
        </w:rPr>
        <w:t>Renforcer la campagne de production des cultures de contresaison (maraîchère et riz irrigué) ;</w:t>
      </w:r>
    </w:p>
    <w:p w:rsidR="00337D92" w:rsidRPr="00861C29" w:rsidRDefault="00337D92" w:rsidP="00765892">
      <w:pPr>
        <w:numPr>
          <w:ilvl w:val="1"/>
          <w:numId w:val="114"/>
        </w:numPr>
        <w:tabs>
          <w:tab w:val="right" w:leader="dot" w:pos="10348"/>
        </w:tabs>
        <w:ind w:left="426"/>
        <w:rPr>
          <w:rFonts w:eastAsia="Calibri"/>
        </w:rPr>
      </w:pPr>
      <w:r w:rsidRPr="00861C29">
        <w:rPr>
          <w:rFonts w:eastAsia="Calibri"/>
        </w:rPr>
        <w:t>Renforcer la surveillance et la lutte contre la progression de chenilles légionnaires et des maladies charbons bactériens et systématiques bovine, PPR (peste des petits ruminants), PPA (peste porcine africaine), et la maladie de Newcastle chez les volailles ;</w:t>
      </w:r>
    </w:p>
    <w:p w:rsidR="00337D92" w:rsidRPr="00861C29" w:rsidRDefault="00337D92" w:rsidP="00765892">
      <w:pPr>
        <w:numPr>
          <w:ilvl w:val="1"/>
          <w:numId w:val="114"/>
        </w:numPr>
        <w:tabs>
          <w:tab w:val="right" w:leader="dot" w:pos="10348"/>
        </w:tabs>
        <w:ind w:left="426"/>
        <w:rPr>
          <w:rFonts w:eastAsia="Calibri"/>
        </w:rPr>
      </w:pPr>
      <w:r w:rsidRPr="00861C29">
        <w:rPr>
          <w:rFonts w:eastAsia="Calibri"/>
        </w:rPr>
        <w:t>Intensifier la campagne de production des cultures de contresaison (maraîchère et riz irrigué) dans toutes les régions du pays ;</w:t>
      </w:r>
    </w:p>
    <w:p w:rsidR="00337D92" w:rsidRPr="00861C29" w:rsidRDefault="00337D92" w:rsidP="009B22F3">
      <w:pPr>
        <w:tabs>
          <w:tab w:val="right" w:leader="dot" w:pos="10348"/>
        </w:tabs>
        <w:ind w:left="426"/>
      </w:pPr>
      <w:r w:rsidRPr="00861C29">
        <w:rPr>
          <w:rFonts w:eastAsia="Calibri"/>
        </w:rPr>
        <w:t xml:space="preserve"> </w:t>
      </w:r>
    </w:p>
    <w:p w:rsidR="00337D92" w:rsidRPr="00861C29" w:rsidRDefault="00337D92" w:rsidP="00D47C37">
      <w:pPr>
        <w:pStyle w:val="PargrafodaLista"/>
        <w:numPr>
          <w:ilvl w:val="0"/>
          <w:numId w:val="254"/>
        </w:numPr>
        <w:spacing w:after="0" w:line="240" w:lineRule="auto"/>
        <w:ind w:left="709" w:hanging="283"/>
        <w:outlineLvl w:val="1"/>
        <w:rPr>
          <w:rFonts w:ascii="Times New Roman" w:hAnsi="Times New Roman"/>
          <w:b/>
          <w:bCs/>
          <w:sz w:val="24"/>
          <w:szCs w:val="24"/>
        </w:rPr>
      </w:pPr>
      <w:bookmarkStart w:id="42" w:name="_Toc75432229"/>
      <w:r w:rsidRPr="00861C29">
        <w:rPr>
          <w:rFonts w:ascii="Times New Roman" w:hAnsi="Times New Roman"/>
          <w:b/>
          <w:bCs/>
          <w:sz w:val="24"/>
          <w:szCs w:val="24"/>
        </w:rPr>
        <w:t>Plan de Mobilisation des Parties Prenantes (PMPP)</w:t>
      </w:r>
      <w:bookmarkEnd w:id="42"/>
    </w:p>
    <w:p w:rsidR="00337D92" w:rsidRPr="00861C29" w:rsidRDefault="00337D92" w:rsidP="005F5A9C">
      <w:pPr>
        <w:jc w:val="both"/>
      </w:pPr>
      <w:r w:rsidRPr="00861C29">
        <w:t xml:space="preserve">Le projet de sécurité alimentaire d'urgence en Guinée-Bissau qui est déjà préparé dans le cadre du Cadre environnemental et social (FSE) de la Banque mondiale. Conformément à la norme environnementale et sociale NES N°10 </w:t>
      </w:r>
      <w:r w:rsidR="00811DC9" w:rsidRPr="00861C29">
        <w:t>engagements</w:t>
      </w:r>
      <w:r w:rsidRPr="00861C29">
        <w:t xml:space="preserve"> des parties prenantes et divulgation d'informations, les agences de mise en œuvre devraient fournir aux parties prenantes des informations opportunes, pertinentes, compréhensibles et accessibles, et les consulter d'une manière culturellement appropriée, sans manipulation, interférence, coercition, discrimination et intimidation.</w:t>
      </w:r>
    </w:p>
    <w:p w:rsidR="00337D92" w:rsidRPr="00861C29" w:rsidRDefault="00337D92" w:rsidP="005F5A9C">
      <w:pPr>
        <w:jc w:val="both"/>
      </w:pPr>
    </w:p>
    <w:p w:rsidR="00337D92" w:rsidRPr="00861C29" w:rsidRDefault="00337D92" w:rsidP="005F5A9C">
      <w:pPr>
        <w:jc w:val="both"/>
      </w:pPr>
      <w:r w:rsidRPr="00861C29">
        <w:t xml:space="preserve">L'objectif général de ce plan de mobilisation des parties prenantes (PMPP) est de définir un programme d'engagement des parties prenantes, y compris la divulgation d'informations publiques et la consultation, tout au long du cycle du projet. Le PMPP décrit les moyens par lesquels l'équipe de projet communiquera avec les parties prenantes et comprend un mécanisme par lequel les personnes peuvent soulever des préoccupations, fournir des commentaires ou déposer des plaintes concernant le projet et toute activité liée au projet. </w:t>
      </w:r>
    </w:p>
    <w:p w:rsidR="00337D92" w:rsidRPr="00861C29" w:rsidRDefault="00337D92" w:rsidP="005F5A9C">
      <w:pPr>
        <w:jc w:val="both"/>
      </w:pPr>
    </w:p>
    <w:p w:rsidR="00337D92" w:rsidRPr="00861C29" w:rsidRDefault="00337D92" w:rsidP="005F5A9C">
      <w:pPr>
        <w:jc w:val="both"/>
      </w:pPr>
      <w:r w:rsidRPr="00861C29">
        <w:t>Les parties directement affectées par le projet PUSA sont : Les agriculteurs (les femmes agricultrices) en général, les producteurs d’anacardier et de culture vivrières, les personnes intervenant dans la chaine de commercialisation des noix de cajou et d’autre produit agricole, les transformateurs de produits agro-alimentaires, les jeunes et femmes dans les localités, la population, les groupes vulnérables (Personnes âgées et jeunes, Personnes handicapées, Ménages dirigés par des femmes ou mères célibataires avec enfants mineurs) etc. Pour ces groupes, des mesures spécifiques seront prises afin de faciliter leur accès aux bénéfices du projet PUSA.</w:t>
      </w:r>
    </w:p>
    <w:p w:rsidR="00337D92" w:rsidRPr="00861C29" w:rsidRDefault="00337D92" w:rsidP="00D47C37">
      <w:pPr>
        <w:ind w:left="-284"/>
        <w:jc w:val="both"/>
      </w:pPr>
    </w:p>
    <w:p w:rsidR="00337D92" w:rsidRPr="00861C29" w:rsidRDefault="00337D92" w:rsidP="005F5A9C">
      <w:pPr>
        <w:jc w:val="both"/>
      </w:pPr>
      <w:r w:rsidRPr="00861C29">
        <w:t>Les autres parties intéressées par le projet sont : le ministère de l'agriculture et du développement rural développement et ses services et des directions régionales et nationale, les représentants des communautés locales : les autorités traditionnelles, les autorités locales (Mairies), les leaders religieux, les associations des agriculteurs, les associations des Jeunes et des Femmes, la société civiles (ONGs locales), les médias traditionnels et sociaux, les partenaires de développement, les entreprises de cajou, etc</w:t>
      </w:r>
      <w:r w:rsidR="00CC52A1" w:rsidRPr="00861C29">
        <w:t>.</w:t>
      </w:r>
      <w:r w:rsidRPr="00861C29">
        <w:t xml:space="preserve">Ces parties, particulièrement les représentants des communautés joueront un important rôle dans la sensibilisation et la mobilisation des communautés locales. Ces parties seront identifiées et impliquées dans le projet PUSA aussi à la phase de préparation que de mise en œuvre. L’UCP du Projet PUSA travaillera en étroite collaboration avec ces parties intéressées du projet. </w:t>
      </w:r>
    </w:p>
    <w:p w:rsidR="00337D92" w:rsidRPr="00861C29" w:rsidRDefault="00337D92" w:rsidP="00D47C37">
      <w:pPr>
        <w:tabs>
          <w:tab w:val="right" w:leader="dot" w:pos="10348"/>
        </w:tabs>
        <w:rPr>
          <w:bCs/>
        </w:rPr>
      </w:pPr>
    </w:p>
    <w:p w:rsidR="00337D92" w:rsidRPr="00861C29" w:rsidRDefault="00337D92" w:rsidP="00D47C37">
      <w:pPr>
        <w:pStyle w:val="PargrafodaLista"/>
        <w:numPr>
          <w:ilvl w:val="0"/>
          <w:numId w:val="254"/>
        </w:numPr>
        <w:spacing w:after="0" w:line="240" w:lineRule="auto"/>
        <w:ind w:left="709" w:hanging="283"/>
        <w:outlineLvl w:val="1"/>
        <w:rPr>
          <w:rFonts w:ascii="Times New Roman" w:hAnsi="Times New Roman"/>
          <w:b/>
          <w:bCs/>
          <w:sz w:val="24"/>
          <w:szCs w:val="24"/>
        </w:rPr>
      </w:pPr>
      <w:bookmarkStart w:id="43" w:name="_Toc75432230"/>
      <w:r w:rsidRPr="00861C29">
        <w:rPr>
          <w:rFonts w:ascii="Times New Roman" w:hAnsi="Times New Roman"/>
          <w:b/>
          <w:bCs/>
          <w:sz w:val="24"/>
          <w:szCs w:val="24"/>
        </w:rPr>
        <w:t>Mécanisme de Gestion des Plaintes</w:t>
      </w:r>
      <w:bookmarkEnd w:id="43"/>
    </w:p>
    <w:p w:rsidR="00337D92" w:rsidRPr="00861C29" w:rsidRDefault="00337D92" w:rsidP="00D47C37">
      <w:pPr>
        <w:autoSpaceDE w:val="0"/>
        <w:autoSpaceDN w:val="0"/>
        <w:adjustRightInd w:val="0"/>
        <w:ind w:left="142"/>
        <w:jc w:val="both"/>
      </w:pPr>
      <w:r w:rsidRPr="00861C29">
        <w:t xml:space="preserve">Le principal objectif d'un mécanisme de gestion des plaintes (MGP) est d'aider à résoudre les plaintes et les griefs d'une manière opportune, efficace et efficiente qui satisfait toutes les parties concernées. </w:t>
      </w:r>
    </w:p>
    <w:p w:rsidR="00337D92" w:rsidRPr="00861C29" w:rsidRDefault="00337D92" w:rsidP="00D47C37">
      <w:pPr>
        <w:ind w:left="-284"/>
        <w:jc w:val="both"/>
      </w:pPr>
    </w:p>
    <w:p w:rsidR="00337D92" w:rsidRPr="00861C29" w:rsidRDefault="00337D92" w:rsidP="00D47C37">
      <w:pPr>
        <w:autoSpaceDE w:val="0"/>
        <w:autoSpaceDN w:val="0"/>
        <w:adjustRightInd w:val="0"/>
        <w:ind w:left="142"/>
        <w:jc w:val="both"/>
      </w:pPr>
      <w:r w:rsidRPr="00861C29">
        <w:t xml:space="preserve">Plus précisément, le </w:t>
      </w:r>
      <w:r w:rsidR="00CC52A1" w:rsidRPr="00861C29">
        <w:t xml:space="preserve">MGP </w:t>
      </w:r>
      <w:r w:rsidRPr="00861C29">
        <w:t>:</w:t>
      </w:r>
    </w:p>
    <w:p w:rsidR="00337D92" w:rsidRPr="00861C29" w:rsidRDefault="00337D92" w:rsidP="00D47C37">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jc w:val="both"/>
        <w:rPr>
          <w:rFonts w:ascii="Times New Roman" w:hAnsi="Times New Roman"/>
          <w:sz w:val="24"/>
          <w:szCs w:val="24"/>
        </w:rPr>
      </w:pPr>
      <w:r w:rsidRPr="00861C29">
        <w:rPr>
          <w:rFonts w:ascii="Times New Roman" w:hAnsi="Times New Roman"/>
          <w:sz w:val="24"/>
          <w:szCs w:val="24"/>
        </w:rPr>
        <w:t>Fournit aux personnes concernées des moyens de déposer une plainte ou de résoudre tout différend pouvant survenir au cours de la mise en œuvre des projets ;</w:t>
      </w:r>
    </w:p>
    <w:p w:rsidR="00337D92" w:rsidRPr="00861C29" w:rsidRDefault="00337D92" w:rsidP="00D47C37">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jc w:val="both"/>
        <w:rPr>
          <w:rFonts w:ascii="Times New Roman" w:hAnsi="Times New Roman"/>
          <w:sz w:val="24"/>
          <w:szCs w:val="24"/>
        </w:rPr>
      </w:pPr>
      <w:r w:rsidRPr="00861C29">
        <w:rPr>
          <w:rFonts w:ascii="Times New Roman" w:hAnsi="Times New Roman"/>
          <w:sz w:val="24"/>
          <w:szCs w:val="24"/>
        </w:rPr>
        <w:t xml:space="preserve">S'assure que des actions de réparation appropriées et mutuellement acceptables sont identifiées et mises en œuvre à la satisfaction des plaignants ; </w:t>
      </w:r>
    </w:p>
    <w:p w:rsidR="00337D92" w:rsidRPr="00861C29" w:rsidRDefault="00337D92" w:rsidP="00D47C37">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jc w:val="both"/>
        <w:rPr>
          <w:rFonts w:ascii="Times New Roman" w:hAnsi="Times New Roman"/>
          <w:sz w:val="24"/>
          <w:szCs w:val="24"/>
        </w:rPr>
      </w:pPr>
      <w:r w:rsidRPr="00861C29">
        <w:rPr>
          <w:rFonts w:ascii="Times New Roman" w:hAnsi="Times New Roman"/>
          <w:sz w:val="24"/>
          <w:szCs w:val="24"/>
        </w:rPr>
        <w:t>Fournit des références aux services pour les suivis et</w:t>
      </w:r>
    </w:p>
    <w:p w:rsidR="00337D92" w:rsidRPr="00861C29" w:rsidRDefault="00337D92" w:rsidP="00D47C37">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61C29">
        <w:rPr>
          <w:rFonts w:ascii="Times New Roman" w:hAnsi="Times New Roman"/>
          <w:sz w:val="24"/>
          <w:szCs w:val="24"/>
        </w:rPr>
        <w:t>Évite la nécessité de recourir à des procédures judiciaires.</w:t>
      </w:r>
    </w:p>
    <w:p w:rsidR="00337D92" w:rsidRPr="00861C29" w:rsidRDefault="00337D92" w:rsidP="00D47C37">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337D92" w:rsidRPr="00861C29" w:rsidRDefault="00337D92" w:rsidP="00D47C37">
      <w:pPr>
        <w:autoSpaceDE w:val="0"/>
        <w:autoSpaceDN w:val="0"/>
        <w:adjustRightInd w:val="0"/>
        <w:ind w:left="142"/>
        <w:jc w:val="both"/>
      </w:pPr>
      <w:r w:rsidRPr="00861C29">
        <w:t xml:space="preserve">Ce mécanisme se justifie par le fait que dans la mise en œuvre des travaux et des mesures compensatoires y relatives, plusieurs conflits peuvent surgir. Ces conflits peuvent être liés aux problèmes suivants : </w:t>
      </w:r>
    </w:p>
    <w:p w:rsidR="00337D92" w:rsidRPr="00861C29" w:rsidRDefault="00337D92" w:rsidP="00D47C37">
      <w:pPr>
        <w:pStyle w:val="Listecouleur-Accent12"/>
        <w:numPr>
          <w:ilvl w:val="0"/>
          <w:numId w:val="94"/>
        </w:numPr>
        <w:spacing w:after="200"/>
        <w:ind w:left="1276"/>
        <w:rPr>
          <w:szCs w:val="24"/>
          <w:lang w:val="fr-FR"/>
        </w:rPr>
      </w:pPr>
      <w:r w:rsidRPr="00861C29">
        <w:rPr>
          <w:szCs w:val="24"/>
          <w:lang w:val="fr-FR"/>
        </w:rPr>
        <w:t xml:space="preserve">conflit sur la propriété d’un bien ou sur le titre de succession, à l’issue d’un divorce, conflits entre héritiers ; </w:t>
      </w:r>
    </w:p>
    <w:p w:rsidR="00337D92" w:rsidRPr="00861C29" w:rsidRDefault="00337D92" w:rsidP="00D47C37">
      <w:pPr>
        <w:pStyle w:val="Listecouleur-Accent12"/>
        <w:numPr>
          <w:ilvl w:val="0"/>
          <w:numId w:val="94"/>
        </w:numPr>
        <w:spacing w:after="200"/>
        <w:ind w:left="1276"/>
        <w:rPr>
          <w:szCs w:val="24"/>
          <w:lang w:val="fr-FR"/>
        </w:rPr>
      </w:pPr>
      <w:r w:rsidRPr="00861C29">
        <w:rPr>
          <w:szCs w:val="24"/>
          <w:lang w:val="fr-FR"/>
        </w:rPr>
        <w:t xml:space="preserve">divergences dans l’acquisition et l’occupation des terres ; </w:t>
      </w:r>
    </w:p>
    <w:p w:rsidR="00337D92" w:rsidRPr="00861C29" w:rsidRDefault="00337D92" w:rsidP="00D47C37">
      <w:pPr>
        <w:pStyle w:val="Listecouleur-Accent12"/>
        <w:numPr>
          <w:ilvl w:val="0"/>
          <w:numId w:val="94"/>
        </w:numPr>
        <w:spacing w:after="200"/>
        <w:ind w:left="1276"/>
        <w:rPr>
          <w:szCs w:val="24"/>
          <w:lang w:val="fr-FR"/>
        </w:rPr>
      </w:pPr>
      <w:r w:rsidRPr="00861C29">
        <w:rPr>
          <w:szCs w:val="24"/>
          <w:lang w:val="fr-FR"/>
        </w:rPr>
        <w:t xml:space="preserve">atteinte à une activité commerciale d’un riverain ; </w:t>
      </w:r>
    </w:p>
    <w:p w:rsidR="00337D92" w:rsidRPr="00861C29" w:rsidRDefault="00337D92" w:rsidP="00D47C37">
      <w:pPr>
        <w:pStyle w:val="Listecouleur-Accent12"/>
        <w:numPr>
          <w:ilvl w:val="0"/>
          <w:numId w:val="94"/>
        </w:numPr>
        <w:spacing w:after="200"/>
        <w:ind w:left="1276"/>
        <w:rPr>
          <w:szCs w:val="24"/>
          <w:lang w:val="fr-FR"/>
        </w:rPr>
      </w:pPr>
      <w:r w:rsidRPr="00861C29">
        <w:rPr>
          <w:szCs w:val="24"/>
          <w:lang w:val="fr-FR"/>
        </w:rPr>
        <w:t>dégradation des biens au-delà de l’emprise du projet ;</w:t>
      </w:r>
    </w:p>
    <w:p w:rsidR="00337D92" w:rsidRPr="00861C29" w:rsidRDefault="00337D92" w:rsidP="00D47C37">
      <w:pPr>
        <w:pStyle w:val="Listecouleur-Accent12"/>
        <w:numPr>
          <w:ilvl w:val="0"/>
          <w:numId w:val="94"/>
        </w:numPr>
        <w:spacing w:after="200"/>
        <w:ind w:left="1276"/>
        <w:rPr>
          <w:szCs w:val="24"/>
          <w:lang w:val="fr-FR"/>
        </w:rPr>
      </w:pPr>
      <w:r w:rsidRPr="00861C29">
        <w:rPr>
          <w:szCs w:val="24"/>
          <w:lang w:val="fr-FR"/>
        </w:rPr>
        <w:t xml:space="preserve">nuisances et perturbations permanentes des riverains par les travaux </w:t>
      </w:r>
    </w:p>
    <w:p w:rsidR="00337D92" w:rsidRPr="00861C29" w:rsidRDefault="00337D92" w:rsidP="00D47C37">
      <w:pPr>
        <w:pStyle w:val="Listecouleur-Accent12"/>
        <w:numPr>
          <w:ilvl w:val="0"/>
          <w:numId w:val="94"/>
        </w:numPr>
        <w:spacing w:after="200"/>
        <w:ind w:left="1276"/>
        <w:rPr>
          <w:szCs w:val="24"/>
          <w:lang w:val="fr-FR"/>
        </w:rPr>
      </w:pPr>
      <w:r w:rsidRPr="00861C29">
        <w:rPr>
          <w:szCs w:val="24"/>
          <w:lang w:val="fr-FR"/>
        </w:rPr>
        <w:t>Exploitation et abus sexuels et le harcèlement sexuel, pédophilie, etc. ;</w:t>
      </w:r>
    </w:p>
    <w:p w:rsidR="00337D92" w:rsidRPr="00861C29" w:rsidRDefault="00337D92" w:rsidP="00D47C37">
      <w:pPr>
        <w:pStyle w:val="Listecouleur-Accent12"/>
        <w:numPr>
          <w:ilvl w:val="0"/>
          <w:numId w:val="94"/>
        </w:numPr>
        <w:spacing w:after="200"/>
        <w:ind w:left="1276"/>
        <w:rPr>
          <w:szCs w:val="24"/>
          <w:lang w:val="fr-FR"/>
        </w:rPr>
      </w:pPr>
      <w:r w:rsidRPr="00861C29">
        <w:rPr>
          <w:szCs w:val="24"/>
          <w:lang w:val="fr-FR"/>
        </w:rPr>
        <w:t>Discrimination basée sur le genre ou la vulnérabilité ;</w:t>
      </w:r>
    </w:p>
    <w:p w:rsidR="00337D92" w:rsidRPr="00861C29" w:rsidRDefault="00337D92" w:rsidP="00D47C37">
      <w:pPr>
        <w:pStyle w:val="Listecouleur-Accent12"/>
        <w:rPr>
          <w:szCs w:val="24"/>
          <w:lang w:val="fr-FR"/>
        </w:rPr>
      </w:pPr>
    </w:p>
    <w:p w:rsidR="00337D92" w:rsidRPr="00861C29" w:rsidRDefault="00337D92" w:rsidP="00D47C37">
      <w:pPr>
        <w:pStyle w:val="PargrafodaLista"/>
        <w:numPr>
          <w:ilvl w:val="0"/>
          <w:numId w:val="254"/>
        </w:numPr>
        <w:spacing w:after="0" w:line="240" w:lineRule="auto"/>
        <w:ind w:left="0" w:hanging="283"/>
        <w:outlineLvl w:val="1"/>
        <w:rPr>
          <w:rFonts w:ascii="Times New Roman" w:hAnsi="Times New Roman"/>
          <w:b/>
          <w:bCs/>
          <w:sz w:val="24"/>
          <w:szCs w:val="24"/>
        </w:rPr>
      </w:pPr>
      <w:bookmarkStart w:id="44" w:name="_Toc75432231"/>
      <w:r w:rsidRPr="00861C29">
        <w:rPr>
          <w:rFonts w:ascii="Times New Roman" w:hAnsi="Times New Roman"/>
          <w:b/>
          <w:bCs/>
          <w:sz w:val="24"/>
          <w:szCs w:val="24"/>
        </w:rPr>
        <w:t>CODES DE CONDUITE ET PLAN D’ACTION POUR LA MISE EN ŒUVRE DES NORMES ESHS ET HST, ET LA PREVENTION DES VIOLENCES BASEES SUR LE GENRE ET LES VIOLENCES CONTRE LES ENFANTS</w:t>
      </w:r>
      <w:bookmarkEnd w:id="44"/>
      <w:r w:rsidRPr="00861C29">
        <w:rPr>
          <w:rFonts w:ascii="Times New Roman" w:hAnsi="Times New Roman"/>
          <w:b/>
          <w:bCs/>
          <w:sz w:val="24"/>
          <w:szCs w:val="24"/>
        </w:rPr>
        <w:t xml:space="preserve"> </w:t>
      </w:r>
    </w:p>
    <w:p w:rsidR="00337D92" w:rsidRPr="00861C29" w:rsidRDefault="00337D92" w:rsidP="00D47C37">
      <w:pPr>
        <w:rPr>
          <w:rFonts w:eastAsia="Times New Roman"/>
        </w:rPr>
      </w:pPr>
    </w:p>
    <w:p w:rsidR="00337D92" w:rsidRPr="00861C29" w:rsidRDefault="00337D92" w:rsidP="00D47C37">
      <w:pPr>
        <w:jc w:val="both"/>
        <w:rPr>
          <w:rFonts w:eastAsia="Times New Roman"/>
        </w:rPr>
      </w:pPr>
      <w:r w:rsidRPr="00861C29">
        <w:rPr>
          <w:rFonts w:eastAsia="Times New Roman"/>
        </w:rPr>
        <w:lastRenderedPageBreak/>
        <w:t>Le but des présents Codes de conduite et plan d’action pour la mise en œuvre des normes Environnementales et sociales, d’hygiène et de sécurité (ESHS), d’Hygiène et de sécurité au travail (HST), la prévention des violences basées sur le genre (VBG) et les violences contre les enfants (VCE) consiste à introduire un ensemble de définitions clefs, des codes de conduite et des lignes directrices afin de :</w:t>
      </w:r>
    </w:p>
    <w:p w:rsidR="00337D92" w:rsidRPr="00861C29" w:rsidRDefault="00337D92" w:rsidP="00D47C37">
      <w:pPr>
        <w:jc w:val="both"/>
        <w:rPr>
          <w:rFonts w:eastAsia="Times New Roman"/>
        </w:rPr>
      </w:pPr>
    </w:p>
    <w:p w:rsidR="00337D92" w:rsidRPr="00861C29" w:rsidRDefault="00337D92" w:rsidP="00927C67">
      <w:pPr>
        <w:pStyle w:val="PargrafodaLista"/>
        <w:numPr>
          <w:ilvl w:val="0"/>
          <w:numId w:val="98"/>
        </w:numPr>
        <w:spacing w:after="0" w:line="240" w:lineRule="auto"/>
        <w:ind w:left="426"/>
        <w:jc w:val="both"/>
        <w:rPr>
          <w:rFonts w:ascii="Times New Roman" w:eastAsia="Times New Roman" w:hAnsi="Times New Roman"/>
          <w:sz w:val="24"/>
          <w:szCs w:val="24"/>
        </w:rPr>
      </w:pPr>
      <w:r w:rsidRPr="00861C29">
        <w:rPr>
          <w:rFonts w:ascii="Times New Roman" w:eastAsia="Times New Roman" w:hAnsi="Times New Roman"/>
          <w:sz w:val="24"/>
          <w:szCs w:val="24"/>
        </w:rPr>
        <w:t xml:space="preserve">Définir clairement les obligations de tous les membres du personnel du projet (y compris les sous-traitants et les journaliers) concernant la mise en œuvre des normes environnementales, sociales, de santé et de sécurité (ESHS) et d’hygiène et de sécurité au travail (HST) ; et </w:t>
      </w:r>
    </w:p>
    <w:p w:rsidR="00337D92" w:rsidRPr="00861C29" w:rsidRDefault="00337D92" w:rsidP="00927C67">
      <w:pPr>
        <w:pStyle w:val="PargrafodaLista"/>
        <w:numPr>
          <w:ilvl w:val="0"/>
          <w:numId w:val="98"/>
        </w:numPr>
        <w:spacing w:after="0" w:line="240" w:lineRule="auto"/>
        <w:ind w:left="426"/>
        <w:jc w:val="both"/>
        <w:rPr>
          <w:rFonts w:ascii="Times New Roman" w:eastAsia="Times New Roman" w:hAnsi="Times New Roman"/>
          <w:sz w:val="24"/>
          <w:szCs w:val="24"/>
        </w:rPr>
      </w:pPr>
      <w:r w:rsidRPr="00861C29">
        <w:rPr>
          <w:rFonts w:ascii="Times New Roman" w:eastAsia="Times New Roman" w:hAnsi="Times New Roman"/>
          <w:sz w:val="24"/>
          <w:szCs w:val="24"/>
        </w:rPr>
        <w:t>Contribuer à prévenir, identifier et combattre la VBG et la VCE sur le chantier et dans les communautés avoisinantes.</w:t>
      </w:r>
    </w:p>
    <w:p w:rsidR="00337D92" w:rsidRPr="00861C29" w:rsidRDefault="00337D92" w:rsidP="00D47C37">
      <w:pPr>
        <w:jc w:val="both"/>
        <w:rPr>
          <w:rFonts w:eastAsia="Times New Roman"/>
        </w:rPr>
      </w:pPr>
      <w:r w:rsidRPr="00861C29">
        <w:rPr>
          <w:rFonts w:eastAsia="Times New Roman"/>
        </w:rPr>
        <w:t>L’application de ces Codes de Conduites permettra de faire en sorte que le projet atteigne ses objectifs en matière de normes ESHS et HST, ainsi que de prévenir et/ou atténuer les risques de VBG et de VCE sur le site du projet et dans les communautés locales. Les personnes travaillant dans le projet doivent adopter ces Codes de conduite qui vise à :</w:t>
      </w:r>
    </w:p>
    <w:p w:rsidR="00337D92" w:rsidRPr="00861C29" w:rsidRDefault="00337D92" w:rsidP="00D47C37">
      <w:pPr>
        <w:jc w:val="both"/>
        <w:rPr>
          <w:rFonts w:eastAsia="Times New Roman"/>
        </w:rPr>
      </w:pPr>
      <w:r w:rsidRPr="00861C29">
        <w:rPr>
          <w:rFonts w:eastAsia="Times New Roman"/>
        </w:rPr>
        <w:t xml:space="preserve"> i. Sensibiliser le personnel opérant dans le projet aux attentes en matière de ESHS et de HST ; et</w:t>
      </w:r>
    </w:p>
    <w:p w:rsidR="00337D92" w:rsidRPr="00861C29" w:rsidRDefault="00337D92" w:rsidP="00D47C37">
      <w:pPr>
        <w:jc w:val="both"/>
        <w:rPr>
          <w:rFonts w:eastAsia="Times New Roman"/>
        </w:rPr>
      </w:pPr>
      <w:r w:rsidRPr="00861C29">
        <w:rPr>
          <w:rFonts w:eastAsia="Times New Roman"/>
        </w:rPr>
        <w:t xml:space="preserve"> ii. Créer une prise de conscience concernant les VBG et de VCE, et : </w:t>
      </w:r>
    </w:p>
    <w:p w:rsidR="00337D92" w:rsidRPr="00861C29" w:rsidRDefault="00337D92" w:rsidP="00D47C37">
      <w:pPr>
        <w:jc w:val="both"/>
        <w:rPr>
          <w:rFonts w:eastAsia="Times New Roman"/>
        </w:rPr>
      </w:pPr>
      <w:r w:rsidRPr="00861C29">
        <w:rPr>
          <w:rFonts w:eastAsia="Times New Roman"/>
        </w:rPr>
        <w:t xml:space="preserve">a) Créer un consensus sur le fait que tels actes n’ont pas leur place dans le projet ; et </w:t>
      </w:r>
    </w:p>
    <w:p w:rsidR="00337D92" w:rsidRPr="00861C29" w:rsidRDefault="00337D92" w:rsidP="00D47C37">
      <w:pPr>
        <w:jc w:val="both"/>
        <w:rPr>
          <w:rFonts w:eastAsia="Times New Roman"/>
        </w:rPr>
      </w:pPr>
      <w:r w:rsidRPr="00861C29">
        <w:rPr>
          <w:rFonts w:eastAsia="Times New Roman"/>
        </w:rPr>
        <w:t xml:space="preserve">b) Etablir un protocole pour identifier les incidents de VBG et de VCE ; répondre à tels incidents ; et les sanctionner. </w:t>
      </w:r>
    </w:p>
    <w:p w:rsidR="00337D92" w:rsidRPr="00861C29" w:rsidRDefault="00337D92" w:rsidP="00D47C37">
      <w:pPr>
        <w:rPr>
          <w:rFonts w:eastAsia="Times New Roman"/>
        </w:rPr>
      </w:pPr>
    </w:p>
    <w:p w:rsidR="00337D92" w:rsidRDefault="00337D92" w:rsidP="00D47C37">
      <w:pPr>
        <w:jc w:val="both"/>
        <w:rPr>
          <w:rFonts w:eastAsia="Times New Roman"/>
        </w:rPr>
      </w:pPr>
      <w:r w:rsidRPr="00861C29">
        <w:rPr>
          <w:rFonts w:eastAsia="Times New Roman"/>
        </w:rPr>
        <w:t xml:space="preserve">L’objectif des Codes de Conduite est de s'assurer que tout le personnel du projet comprenne les valeurs morales du projet, les conduites que tout employé est tenu à suivre et les conséquences des violations de ces valeurs. Cette compréhension contribuera à une mise en œuvre du projet plus harmonieuse, plus respectueuse et plus productive, pour faire en sorte que les objectifs du projet soient atteints. </w:t>
      </w: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F56310" w:rsidRDefault="00F56310" w:rsidP="00D47C37">
      <w:pPr>
        <w:jc w:val="both"/>
        <w:rPr>
          <w:rFonts w:eastAsia="Times New Roman"/>
        </w:rPr>
      </w:pPr>
    </w:p>
    <w:p w:rsidR="00217F2D" w:rsidRDefault="00217F2D" w:rsidP="00D47C37">
      <w:pPr>
        <w:jc w:val="both"/>
        <w:rPr>
          <w:rFonts w:eastAsia="Times New Roman"/>
        </w:rPr>
      </w:pPr>
    </w:p>
    <w:p w:rsidR="00217F2D" w:rsidRDefault="00217F2D" w:rsidP="00D47C37">
      <w:pPr>
        <w:jc w:val="both"/>
        <w:rPr>
          <w:rFonts w:eastAsia="Times New Roman"/>
        </w:rPr>
      </w:pPr>
    </w:p>
    <w:p w:rsidR="00217F2D" w:rsidRDefault="00217F2D" w:rsidP="00D47C37">
      <w:pPr>
        <w:jc w:val="both"/>
        <w:rPr>
          <w:rFonts w:eastAsia="Times New Roman"/>
        </w:rPr>
      </w:pPr>
    </w:p>
    <w:p w:rsidR="00217F2D" w:rsidRDefault="00217F2D" w:rsidP="00D47C37">
      <w:pPr>
        <w:jc w:val="both"/>
        <w:rPr>
          <w:rFonts w:eastAsia="Times New Roman"/>
        </w:rPr>
      </w:pPr>
    </w:p>
    <w:p w:rsidR="00217F2D" w:rsidRDefault="00217F2D" w:rsidP="00D47C37">
      <w:pPr>
        <w:jc w:val="both"/>
        <w:rPr>
          <w:rFonts w:eastAsia="Times New Roman"/>
        </w:rPr>
      </w:pPr>
    </w:p>
    <w:p w:rsidR="00217F2D" w:rsidRDefault="00217F2D" w:rsidP="00D47C37">
      <w:pPr>
        <w:jc w:val="both"/>
        <w:rPr>
          <w:rFonts w:eastAsia="Times New Roman"/>
        </w:rPr>
      </w:pPr>
    </w:p>
    <w:p w:rsidR="00F56310" w:rsidRDefault="00F56310" w:rsidP="00D47C37">
      <w:pPr>
        <w:jc w:val="both"/>
        <w:rPr>
          <w:rFonts w:eastAsia="Times New Roman"/>
        </w:rPr>
      </w:pPr>
    </w:p>
    <w:p w:rsidR="00F56310" w:rsidRPr="00861C29" w:rsidRDefault="00F56310" w:rsidP="00D47C37">
      <w:pPr>
        <w:jc w:val="both"/>
        <w:rPr>
          <w:rFonts w:eastAsia="Times New Roman"/>
        </w:rPr>
      </w:pPr>
    </w:p>
    <w:p w:rsidR="00337D92" w:rsidRPr="00861C29" w:rsidRDefault="00337D92" w:rsidP="00D47C37">
      <w:pPr>
        <w:jc w:val="both"/>
        <w:rPr>
          <w:rFonts w:eastAsia="Times New Roman"/>
        </w:rPr>
      </w:pPr>
    </w:p>
    <w:p w:rsidR="00337D92" w:rsidRPr="00927C67" w:rsidRDefault="00337D92" w:rsidP="005F5A9C">
      <w:pPr>
        <w:pStyle w:val="PargrafodaLista"/>
        <w:keepNext/>
        <w:keepLines/>
        <w:pBdr>
          <w:bottom w:val="thickThinSmallGap" w:sz="24" w:space="1" w:color="auto"/>
        </w:pBdr>
        <w:shd w:val="clear" w:color="auto" w:fill="DEEAF6" w:themeFill="accent1" w:themeFillTint="33"/>
        <w:spacing w:after="0" w:line="240" w:lineRule="auto"/>
        <w:ind w:left="76" w:right="-142"/>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5" w:name="_Toc75432232"/>
      <w:r w:rsidRPr="00927C67">
        <w:rPr>
          <w:rFonts w:ascii="Times New Roman" w:hAnsi="Times New Roman"/>
          <w:b/>
          <w:color w:val="002060"/>
          <w:sz w:val="32"/>
          <w:szCs w:val="32"/>
          <w:lang w:val="pt-BR"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RESUMO NÃO TÉCNICO</w:t>
      </w:r>
      <w:bookmarkEnd w:id="45"/>
      <w:r w:rsidRPr="00927C67">
        <w:rPr>
          <w:rFonts w:ascii="Times New Roman" w:hAnsi="Times New Roman"/>
          <w:b/>
          <w:color w:val="002060"/>
          <w:sz w:val="32"/>
          <w:szCs w:val="32"/>
          <w:lang w:val="pt-BR"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337D92" w:rsidRPr="00861C29" w:rsidRDefault="00337D92" w:rsidP="00337D92">
      <w:pPr>
        <w:tabs>
          <w:tab w:val="right" w:leader="dot" w:pos="10348"/>
        </w:tabs>
        <w:ind w:right="-993"/>
        <w:rPr>
          <w:bCs/>
        </w:rPr>
      </w:pPr>
    </w:p>
    <w:p w:rsidR="00337D92" w:rsidRPr="00861C29" w:rsidRDefault="00337D92" w:rsidP="004977FF">
      <w:pPr>
        <w:pStyle w:val="PargrafodaLista"/>
        <w:numPr>
          <w:ilvl w:val="0"/>
          <w:numId w:val="246"/>
        </w:numPr>
        <w:tabs>
          <w:tab w:val="left" w:pos="1418"/>
          <w:tab w:val="left" w:pos="1843"/>
        </w:tabs>
        <w:spacing w:after="0" w:line="240" w:lineRule="auto"/>
        <w:ind w:right="-993"/>
        <w:contextualSpacing w:val="0"/>
        <w:rPr>
          <w:rFonts w:ascii="Times New Roman" w:hAnsi="Times New Roman"/>
          <w:b/>
          <w:bCs/>
          <w:i/>
          <w:sz w:val="24"/>
          <w:szCs w:val="24"/>
        </w:rPr>
      </w:pPr>
      <w:r w:rsidRPr="00861C29">
        <w:rPr>
          <w:rFonts w:ascii="Times New Roman" w:hAnsi="Times New Roman"/>
          <w:b/>
          <w:bCs/>
          <w:i/>
          <w:sz w:val="24"/>
          <w:szCs w:val="24"/>
        </w:rPr>
        <w:t>CONTEXTO E JUSTIFICAÇÃO DO PROJETO</w:t>
      </w:r>
    </w:p>
    <w:p w:rsidR="00337D92" w:rsidRPr="00861C29" w:rsidRDefault="00337D92" w:rsidP="00BD6FE0">
      <w:pPr>
        <w:tabs>
          <w:tab w:val="left" w:pos="547"/>
        </w:tabs>
        <w:autoSpaceDE w:val="0"/>
        <w:autoSpaceDN w:val="0"/>
        <w:adjustRightInd w:val="0"/>
        <w:spacing w:after="120"/>
        <w:ind w:right="-144"/>
        <w:jc w:val="both"/>
        <w:rPr>
          <w:lang w:val="pt-BR"/>
        </w:rPr>
      </w:pPr>
      <w:r w:rsidRPr="00861C29">
        <w:rPr>
          <w:lang w:val="pt-BR"/>
        </w:rPr>
        <w:t xml:space="preserve">A Guiné-Bissau é um dos países da África </w:t>
      </w:r>
      <w:r w:rsidR="00330C99" w:rsidRPr="00861C29">
        <w:rPr>
          <w:lang w:val="pt-BR"/>
        </w:rPr>
        <w:t>Subsaariana</w:t>
      </w:r>
      <w:r w:rsidRPr="00861C29">
        <w:rPr>
          <w:lang w:val="pt-BR"/>
        </w:rPr>
        <w:t xml:space="preserve"> com um nível de pobreza muito elevado. Em 2019, a taxa de insegurança alimentar era de 30,7% (368.458 pessoas afetadas) em todo o país com exceção do setor autónomo de Bissau que não foi incluído no inquérito. A taxa era de 34,2% nas áreas rurais e 19,2% nas áreas urbanas. As regiões de Gabu, Biombo, Oio e Cacheu foram as mais </w:t>
      </w:r>
      <w:r w:rsidR="00330C99" w:rsidRPr="00861C29">
        <w:rPr>
          <w:lang w:val="pt-BR"/>
        </w:rPr>
        <w:t>afetadas</w:t>
      </w:r>
      <w:r w:rsidRPr="00861C29">
        <w:rPr>
          <w:lang w:val="pt-BR"/>
        </w:rPr>
        <w:t xml:space="preserve"> com taxas de insegurança alimentar superiores a 36%, enquanto Bafata, Quinara</w:t>
      </w:r>
      <w:r w:rsidR="00330C99">
        <w:rPr>
          <w:lang w:val="pt-BR"/>
        </w:rPr>
        <w:t>,</w:t>
      </w:r>
      <w:r w:rsidRPr="00861C29">
        <w:rPr>
          <w:lang w:val="pt-BR"/>
        </w:rPr>
        <w:t xml:space="preserve"> </w:t>
      </w:r>
      <w:r w:rsidR="00330C99" w:rsidRPr="00330C99">
        <w:rPr>
          <w:lang w:val="pt-BR"/>
        </w:rPr>
        <w:t>Tombali</w:t>
      </w:r>
      <w:r w:rsidR="00330C99" w:rsidRPr="00861C29">
        <w:rPr>
          <w:lang w:val="pt-BR"/>
        </w:rPr>
        <w:t xml:space="preserve"> </w:t>
      </w:r>
      <w:r w:rsidRPr="00861C29">
        <w:rPr>
          <w:lang w:val="pt-BR"/>
        </w:rPr>
        <w:t xml:space="preserve">e Bolama Bijagós foram as menos </w:t>
      </w:r>
      <w:r w:rsidR="00330C99" w:rsidRPr="00861C29">
        <w:rPr>
          <w:lang w:val="pt-BR"/>
        </w:rPr>
        <w:t>afetadas</w:t>
      </w:r>
      <w:r w:rsidRPr="00861C29">
        <w:rPr>
          <w:lang w:val="pt-BR"/>
        </w:rPr>
        <w:t xml:space="preserve"> com taxas inferiores a 22%. Esta situação o torna um dos países mais pobres do mundo. A pobreza está mais arraigada nas áreas rurais, onde é agravada pela falta de acesso a serviços sociais, capital humano e infraestrutura.</w:t>
      </w:r>
    </w:p>
    <w:p w:rsidR="00337D92" w:rsidRPr="00861C29" w:rsidRDefault="00337D92" w:rsidP="00BD6FE0">
      <w:pPr>
        <w:spacing w:before="120" w:after="120"/>
        <w:ind w:right="-144"/>
        <w:jc w:val="both"/>
        <w:rPr>
          <w:spacing w:val="-2"/>
          <w:lang w:val="pt-BR"/>
        </w:rPr>
      </w:pPr>
      <w:r w:rsidRPr="00861C29">
        <w:rPr>
          <w:spacing w:val="-2"/>
          <w:lang w:val="pt-BR"/>
        </w:rPr>
        <w:t xml:space="preserve">Assim, a pandemia COVID 19 faz com que a situação econômica e a segurança alimentar do país se tornem mais vulneráveis ​​e muito </w:t>
      </w:r>
      <w:r w:rsidRPr="00861C29">
        <w:rPr>
          <w:lang w:val="pt-BR"/>
        </w:rPr>
        <w:t xml:space="preserve">perturbado porque agravado pelo confinamento e pelo impacto direto na saúde das populações. Além disso, durante esses períodos, na </w:t>
      </w:r>
      <w:r w:rsidR="00330C99" w:rsidRPr="00861C29">
        <w:rPr>
          <w:lang w:val="pt-BR"/>
        </w:rPr>
        <w:t>Guiné-Bissau,</w:t>
      </w:r>
      <w:r w:rsidR="00330C99" w:rsidRPr="00861C29">
        <w:rPr>
          <w:rFonts w:eastAsia="Times New Roman"/>
          <w:color w:val="040404"/>
          <w:shd w:val="clear" w:color="auto" w:fill="FFFFFF"/>
          <w:lang w:val="pt-BR"/>
        </w:rPr>
        <w:t xml:space="preserve"> o</w:t>
      </w:r>
      <w:r w:rsidRPr="00861C29">
        <w:rPr>
          <w:rFonts w:eastAsia="Times New Roman"/>
          <w:color w:val="040404"/>
          <w:shd w:val="clear" w:color="auto" w:fill="FFFFFF"/>
          <w:lang w:val="pt-BR"/>
        </w:rPr>
        <w:t xml:space="preserve"> comércio ocorre em uma área geográfica muito limitada e os mercados foram fechados. O transporte e a circulação de pessoas entre as regiões foram suspensos. O comércio internacional (importação e exportação) foi drasticamente reduzido. Esse impacto foi sentido de forma mais severa no setor de comércio da castanha de caju, o principal produto de exportação do país.</w:t>
      </w:r>
    </w:p>
    <w:p w:rsidR="00337D92" w:rsidRPr="00861C29" w:rsidRDefault="00337D92" w:rsidP="00BD6FE0">
      <w:pPr>
        <w:ind w:right="-144"/>
        <w:jc w:val="both"/>
        <w:rPr>
          <w:rFonts w:eastAsia="Times New Roman"/>
          <w:lang w:val="pt-BR"/>
        </w:rPr>
      </w:pPr>
      <w:r w:rsidRPr="00861C29">
        <w:rPr>
          <w:lang w:val="pt-BR"/>
        </w:rPr>
        <w:t xml:space="preserve">A castanha de caju in natura é o principal produto agrícola do país e a principal fonte de renda para mais de dois terços das famílias. </w:t>
      </w:r>
      <w:r w:rsidRPr="00861C29">
        <w:rPr>
          <w:rFonts w:eastAsia="Times New Roman"/>
          <w:color w:val="040404"/>
          <w:shd w:val="clear" w:color="auto" w:fill="FFFFFF"/>
          <w:lang w:val="pt-BR"/>
        </w:rPr>
        <w:t>Mais de 80% da população guineense depende direta ou indiretamente da campanha de marketing da castanha de caju, que também representa uma contribuição de 11% para as receitas do estado e 95% das receitas totais de exportação do país.</w:t>
      </w:r>
    </w:p>
    <w:p w:rsidR="00337D92" w:rsidRPr="00861C29" w:rsidRDefault="00337D92" w:rsidP="00BD6FE0">
      <w:pPr>
        <w:spacing w:before="120" w:after="120"/>
        <w:ind w:right="-144"/>
        <w:jc w:val="both"/>
        <w:rPr>
          <w:lang w:val="pt-BR"/>
        </w:rPr>
      </w:pPr>
      <w:r w:rsidRPr="00861C29">
        <w:rPr>
          <w:lang w:val="pt-BR"/>
        </w:rPr>
        <w:t xml:space="preserve">É essencial para a segurança alimentar do país porque: </w:t>
      </w:r>
    </w:p>
    <w:p w:rsidR="00337D92" w:rsidRPr="00861C29" w:rsidRDefault="00337D92" w:rsidP="00172460">
      <w:pPr>
        <w:pStyle w:val="PargrafodaLista"/>
        <w:numPr>
          <w:ilvl w:val="0"/>
          <w:numId w:val="271"/>
        </w:numPr>
        <w:spacing w:before="120" w:after="120" w:line="240" w:lineRule="auto"/>
        <w:ind w:left="851" w:right="-144" w:hanging="425"/>
        <w:jc w:val="both"/>
        <w:rPr>
          <w:rFonts w:ascii="Times New Roman" w:hAnsi="Times New Roman"/>
          <w:sz w:val="24"/>
          <w:szCs w:val="24"/>
          <w:lang w:val="pt-BR"/>
        </w:rPr>
      </w:pPr>
      <w:r w:rsidRPr="00861C29">
        <w:rPr>
          <w:rFonts w:ascii="Times New Roman" w:hAnsi="Times New Roman"/>
          <w:sz w:val="24"/>
          <w:szCs w:val="24"/>
          <w:lang w:val="pt-BR"/>
        </w:rPr>
        <w:t>uma pluralidade de agricultores usa as receitas do caju para financiar a produção de alimentos básicos para o mercado interno;</w:t>
      </w:r>
    </w:p>
    <w:p w:rsidR="00337D92" w:rsidRPr="00861C29" w:rsidRDefault="00337D92" w:rsidP="00172460">
      <w:pPr>
        <w:pStyle w:val="PargrafodaLista"/>
        <w:numPr>
          <w:ilvl w:val="0"/>
          <w:numId w:val="271"/>
        </w:numPr>
        <w:spacing w:before="120" w:after="120" w:line="240" w:lineRule="auto"/>
        <w:ind w:left="851" w:right="-144" w:hanging="425"/>
        <w:jc w:val="both"/>
        <w:rPr>
          <w:rFonts w:ascii="Times New Roman" w:hAnsi="Times New Roman"/>
          <w:spacing w:val="-2"/>
          <w:sz w:val="24"/>
          <w:szCs w:val="24"/>
          <w:lang w:val="pt-BR"/>
        </w:rPr>
      </w:pPr>
      <w:r w:rsidRPr="00861C29">
        <w:rPr>
          <w:rFonts w:ascii="Times New Roman" w:hAnsi="Times New Roman"/>
          <w:sz w:val="24"/>
          <w:szCs w:val="24"/>
          <w:lang w:val="pt-BR"/>
        </w:rPr>
        <w:t>muitos agricultores que, por várias razões, não conseguem atender às suas necessidades alimentares com a sua própria produção, dependem da renda do caju para ter acesso aos alimentos nos mercados e;</w:t>
      </w:r>
    </w:p>
    <w:p w:rsidR="00337D92" w:rsidRPr="00861C29" w:rsidRDefault="00337D92" w:rsidP="00172460">
      <w:pPr>
        <w:pStyle w:val="PargrafodaLista"/>
        <w:numPr>
          <w:ilvl w:val="0"/>
          <w:numId w:val="271"/>
        </w:numPr>
        <w:spacing w:before="120" w:after="120" w:line="240" w:lineRule="auto"/>
        <w:ind w:left="851" w:right="-144" w:hanging="425"/>
        <w:jc w:val="both"/>
        <w:rPr>
          <w:rFonts w:ascii="Times New Roman" w:hAnsi="Times New Roman"/>
          <w:spacing w:val="-2"/>
          <w:sz w:val="24"/>
          <w:szCs w:val="24"/>
          <w:lang w:val="pt-BR"/>
        </w:rPr>
      </w:pPr>
      <w:r w:rsidRPr="00861C29">
        <w:rPr>
          <w:rFonts w:ascii="Times New Roman" w:hAnsi="Times New Roman"/>
          <w:sz w:val="24"/>
          <w:szCs w:val="24"/>
          <w:lang w:val="pt-BR"/>
        </w:rPr>
        <w:t>Alguns agricultores trocam cajus in natura por arroz.</w:t>
      </w:r>
    </w:p>
    <w:p w:rsidR="00337D92" w:rsidRPr="00861C29" w:rsidRDefault="00337D92" w:rsidP="00172460">
      <w:pPr>
        <w:pStyle w:val="NormalWeb"/>
        <w:shd w:val="clear" w:color="auto" w:fill="FFFFFF"/>
        <w:spacing w:after="120"/>
        <w:ind w:right="-144"/>
        <w:jc w:val="both"/>
        <w:rPr>
          <w:color w:val="040404"/>
          <w:lang w:val="pt-BR"/>
        </w:rPr>
      </w:pPr>
      <w:r w:rsidRPr="00861C29">
        <w:rPr>
          <w:spacing w:val="-2"/>
          <w:lang w:val="pt-BR"/>
        </w:rPr>
        <w:t xml:space="preserve">Assim, com a pandemia que assola desde março e abril de 2020 coincidindo com o início da campanha de marketing da castanha de caju, bem como </w:t>
      </w:r>
      <w:r w:rsidR="00330C99" w:rsidRPr="00861C29">
        <w:rPr>
          <w:spacing w:val="-2"/>
          <w:lang w:val="pt-BR"/>
        </w:rPr>
        <w:t>a baixa</w:t>
      </w:r>
      <w:r w:rsidRPr="00861C29">
        <w:rPr>
          <w:color w:val="040404"/>
          <w:lang w:val="pt-BR"/>
        </w:rPr>
        <w:t xml:space="preserve"> demanda no mercado internacional de castanhas in natura (Índia e Vietnã), os operadores nacionais são forçados a continuar comprando castanhas ainda disponíveis de produtores nacionais e sub-regionais que ainda têm grandes estoques para exportar.</w:t>
      </w:r>
    </w:p>
    <w:p w:rsidR="00337D92" w:rsidRPr="00861C29" w:rsidRDefault="00337D92" w:rsidP="00172460">
      <w:pPr>
        <w:spacing w:after="120"/>
        <w:ind w:right="-144"/>
        <w:jc w:val="both"/>
        <w:rPr>
          <w:rFonts w:eastAsia="Times New Roman"/>
          <w:color w:val="040404"/>
          <w:shd w:val="clear" w:color="auto" w:fill="FFFFFF"/>
          <w:lang w:val="pt-BR"/>
        </w:rPr>
      </w:pPr>
      <w:r w:rsidRPr="00861C29">
        <w:rPr>
          <w:rFonts w:eastAsia="Times New Roman"/>
          <w:color w:val="040404"/>
          <w:shd w:val="clear" w:color="auto" w:fill="FFFFFF"/>
          <w:lang w:val="pt-BR"/>
        </w:rPr>
        <w:t>Para reanimar a economia e lutar contra a insegurança alimentar, o governo guineense apresentou recentemente um programa urgente de desenvolvimento, orçado em cerca de 263 milhões de euros, que necessita do apoio de parceiros internacionais.</w:t>
      </w:r>
    </w:p>
    <w:p w:rsidR="00337D92" w:rsidRPr="00861C29" w:rsidRDefault="00337D92" w:rsidP="00172460">
      <w:pPr>
        <w:spacing w:after="120"/>
        <w:ind w:right="-144"/>
        <w:jc w:val="both"/>
        <w:rPr>
          <w:rFonts w:eastAsia="Times New Roman"/>
          <w:color w:val="040404"/>
          <w:shd w:val="clear" w:color="auto" w:fill="FFFFFF"/>
          <w:lang w:val="pt-BR"/>
        </w:rPr>
      </w:pPr>
      <w:r w:rsidRPr="00861C29">
        <w:rPr>
          <w:rFonts w:eastAsia="Times New Roman"/>
          <w:color w:val="040404"/>
          <w:shd w:val="clear" w:color="auto" w:fill="FFFFFF"/>
          <w:lang w:val="pt-BR"/>
        </w:rPr>
        <w:t xml:space="preserve">É neste contexto que o Banco Mundial (promotor) criou um projeto de Segurança Alimentar de Emergência na Guiné-Bissau com financiamento de $ 15 milhões incluindo a Organização das Nações Unidas para a Alimentação e Agricultura, sendo a Agricultura (FAO) a agência de implementação do projeto. Isto visa ajudar o governo da Guiné-Bissau a aliviar de forma </w:t>
      </w:r>
      <w:r w:rsidRPr="00861C29">
        <w:rPr>
          <w:rFonts w:eastAsia="Times New Roman"/>
          <w:color w:val="040404"/>
          <w:shd w:val="clear" w:color="auto" w:fill="FFFFFF"/>
          <w:lang w:val="pt-BR"/>
        </w:rPr>
        <w:lastRenderedPageBreak/>
        <w:t>proativa os problemas de insegurança alimentar de curto e médio prazo que o país enfrenta devido aos efeitos da Covid-19 na produção e comercialização da castanha de caju e na produção e preços dos alimentos.</w:t>
      </w:r>
    </w:p>
    <w:p w:rsidR="00337D92" w:rsidRPr="00861C29" w:rsidRDefault="00330C99" w:rsidP="00172460">
      <w:pPr>
        <w:spacing w:before="120" w:after="120"/>
        <w:ind w:right="-144"/>
        <w:jc w:val="both"/>
        <w:rPr>
          <w:spacing w:val="-2"/>
          <w:lang w:val="pt-BR"/>
        </w:rPr>
      </w:pPr>
      <w:r w:rsidRPr="00861C29">
        <w:rPr>
          <w:spacing w:val="-2"/>
          <w:lang w:val="pt-BR"/>
        </w:rPr>
        <w:t>É</w:t>
      </w:r>
      <w:r w:rsidR="00337D92" w:rsidRPr="00861C29">
        <w:rPr>
          <w:spacing w:val="-2"/>
          <w:lang w:val="pt-BR"/>
        </w:rPr>
        <w:t xml:space="preserve"> provável que </w:t>
      </w:r>
      <w:r w:rsidR="004F3DF9">
        <w:rPr>
          <w:spacing w:val="-2"/>
          <w:lang w:val="pt-BR"/>
        </w:rPr>
        <w:t xml:space="preserve">o </w:t>
      </w:r>
      <w:r w:rsidR="004F3DF9" w:rsidRPr="00861C29">
        <w:rPr>
          <w:rFonts w:eastAsia="Times New Roman"/>
          <w:color w:val="040404"/>
          <w:shd w:val="clear" w:color="auto" w:fill="FFFFFF"/>
          <w:lang w:val="pt-BR"/>
        </w:rPr>
        <w:t>projeto</w:t>
      </w:r>
      <w:r w:rsidR="004F3DF9" w:rsidRPr="00861C29">
        <w:rPr>
          <w:bCs/>
          <w:iCs/>
          <w:lang w:val="pt-BR"/>
        </w:rPr>
        <w:t xml:space="preserve"> Segurança Alimentar de Emergência</w:t>
      </w:r>
      <w:r w:rsidR="004F3DF9" w:rsidRPr="00861C29">
        <w:rPr>
          <w:spacing w:val="-2"/>
          <w:lang w:val="pt-BR"/>
        </w:rPr>
        <w:t xml:space="preserve"> </w:t>
      </w:r>
      <w:r w:rsidR="004F3DF9">
        <w:rPr>
          <w:spacing w:val="-2"/>
          <w:lang w:val="pt-BR"/>
        </w:rPr>
        <w:t xml:space="preserve">- </w:t>
      </w:r>
      <w:r w:rsidR="00337D92" w:rsidRPr="00861C29">
        <w:rPr>
          <w:spacing w:val="-2"/>
          <w:lang w:val="pt-BR"/>
        </w:rPr>
        <w:t xml:space="preserve">PUSA gere direta ou indiretamente riscos e efeitos (positivos e negativos) no meio ambiente ou social. Com efeito, será </w:t>
      </w:r>
      <w:r w:rsidR="004F3DF9">
        <w:rPr>
          <w:spacing w:val="-2"/>
          <w:lang w:val="pt-BR"/>
        </w:rPr>
        <w:t xml:space="preserve">desenvolvido sob </w:t>
      </w:r>
      <w:r w:rsidR="00337D92" w:rsidRPr="00861C29">
        <w:rPr>
          <w:spacing w:val="-2"/>
          <w:lang w:val="pt-BR"/>
        </w:rPr>
        <w:t>um Quadro de Gestão Ambiental e Social (</w:t>
      </w:r>
      <w:r w:rsidR="007125D8">
        <w:rPr>
          <w:spacing w:val="-2"/>
          <w:lang w:val="pt-BR"/>
        </w:rPr>
        <w:t>Q</w:t>
      </w:r>
      <w:r w:rsidR="00337D92" w:rsidRPr="00861C29">
        <w:rPr>
          <w:spacing w:val="-2"/>
          <w:lang w:val="pt-BR"/>
        </w:rPr>
        <w:t>G</w:t>
      </w:r>
      <w:r w:rsidR="00264F95" w:rsidRPr="00861C29">
        <w:rPr>
          <w:spacing w:val="-2"/>
          <w:lang w:val="pt-BR"/>
        </w:rPr>
        <w:t>A</w:t>
      </w:r>
      <w:r w:rsidR="00337D92" w:rsidRPr="00861C29">
        <w:rPr>
          <w:spacing w:val="-2"/>
          <w:lang w:val="pt-BR"/>
        </w:rPr>
        <w:t xml:space="preserve">S), de acordo com as diretrizes e políticas do Banco Mundial em matéria ambiental e </w:t>
      </w:r>
      <w:r w:rsidR="004F3DF9">
        <w:rPr>
          <w:spacing w:val="-2"/>
          <w:lang w:val="pt-BR"/>
        </w:rPr>
        <w:t xml:space="preserve">social, </w:t>
      </w:r>
      <w:r w:rsidR="00337D92" w:rsidRPr="00861C29">
        <w:rPr>
          <w:spacing w:val="-2"/>
          <w:lang w:val="pt-BR"/>
        </w:rPr>
        <w:t>de acordo com o quadro legislativo e regulamentar em vigor na Guiné-Bissau.</w:t>
      </w:r>
    </w:p>
    <w:p w:rsidR="00337D92" w:rsidRPr="00861C29" w:rsidRDefault="00337D92" w:rsidP="004977FF">
      <w:pPr>
        <w:pStyle w:val="PargrafodaLista"/>
        <w:numPr>
          <w:ilvl w:val="0"/>
          <w:numId w:val="246"/>
        </w:numPr>
        <w:tabs>
          <w:tab w:val="left" w:pos="1418"/>
          <w:tab w:val="left" w:pos="1843"/>
        </w:tabs>
        <w:spacing w:after="0" w:line="240" w:lineRule="auto"/>
        <w:ind w:right="-993"/>
        <w:contextualSpacing w:val="0"/>
        <w:rPr>
          <w:rFonts w:ascii="Times New Roman" w:hAnsi="Times New Roman"/>
          <w:b/>
          <w:bCs/>
          <w:i/>
          <w:sz w:val="24"/>
          <w:szCs w:val="24"/>
        </w:rPr>
      </w:pPr>
      <w:r w:rsidRPr="00861C29">
        <w:rPr>
          <w:rFonts w:ascii="Times New Roman" w:hAnsi="Times New Roman"/>
          <w:b/>
          <w:bCs/>
          <w:i/>
          <w:sz w:val="24"/>
          <w:szCs w:val="24"/>
        </w:rPr>
        <w:t>METODOLOGIA</w:t>
      </w:r>
    </w:p>
    <w:p w:rsidR="003230B5" w:rsidRPr="00861C29" w:rsidRDefault="003230B5" w:rsidP="001C6919">
      <w:pPr>
        <w:autoSpaceDE w:val="0"/>
        <w:autoSpaceDN w:val="0"/>
        <w:adjustRightInd w:val="0"/>
        <w:ind w:left="-426"/>
        <w:jc w:val="both"/>
        <w:rPr>
          <w:lang w:val="pt-BR"/>
        </w:rPr>
      </w:pPr>
    </w:p>
    <w:p w:rsidR="001C6919" w:rsidRPr="00861C29" w:rsidRDefault="00337D92" w:rsidP="00172460">
      <w:pPr>
        <w:autoSpaceDE w:val="0"/>
        <w:autoSpaceDN w:val="0"/>
        <w:adjustRightInd w:val="0"/>
        <w:jc w:val="both"/>
        <w:rPr>
          <w:lang w:val="pt-BR"/>
        </w:rPr>
      </w:pPr>
      <w:r w:rsidRPr="00861C29">
        <w:rPr>
          <w:lang w:val="pt-BR"/>
        </w:rPr>
        <w:t xml:space="preserve">A metodologia </w:t>
      </w:r>
      <w:r w:rsidR="001C6919" w:rsidRPr="00861C29">
        <w:rPr>
          <w:lang w:val="pt-BR"/>
        </w:rPr>
        <w:t xml:space="preserve">segue as </w:t>
      </w:r>
      <w:r w:rsidRPr="00861C29">
        <w:rPr>
          <w:lang w:val="pt-BR"/>
        </w:rPr>
        <w:t>disposições regulamentares sobre o Enquadramento Ambiental e Social (</w:t>
      </w:r>
      <w:r w:rsidR="00CA1D79">
        <w:rPr>
          <w:lang w:val="pt-BR"/>
        </w:rPr>
        <w:t>QAS</w:t>
      </w:r>
      <w:r w:rsidR="001C6919" w:rsidRPr="00861C29">
        <w:rPr>
          <w:lang w:val="pt-BR"/>
        </w:rPr>
        <w:t>do Banco Mundial.</w:t>
      </w:r>
      <w:r w:rsidR="001C6919" w:rsidRPr="00861C29">
        <w:rPr>
          <w:lang w:val="pt-PT"/>
        </w:rPr>
        <w:t xml:space="preserve"> </w:t>
      </w:r>
      <w:r w:rsidR="001C6919" w:rsidRPr="00861C29">
        <w:rPr>
          <w:lang w:val="pt-BR"/>
        </w:rPr>
        <w:t xml:space="preserve">O </w:t>
      </w:r>
      <w:r w:rsidR="007125D8">
        <w:rPr>
          <w:lang w:val="pt-BR"/>
        </w:rPr>
        <w:t>Q</w:t>
      </w:r>
      <w:r w:rsidR="001C6919" w:rsidRPr="00861C29">
        <w:rPr>
          <w:lang w:val="pt-BR"/>
        </w:rPr>
        <w:t xml:space="preserve">GAS é uma ferramenta de avaliação ambiental e social que examina os riscos e impactos quando um </w:t>
      </w:r>
      <w:r w:rsidR="00330C99" w:rsidRPr="00861C29">
        <w:rPr>
          <w:lang w:val="pt-BR"/>
        </w:rPr>
        <w:t>projeto</w:t>
      </w:r>
      <w:r w:rsidR="001C6919" w:rsidRPr="00861C29">
        <w:rPr>
          <w:lang w:val="pt-BR"/>
        </w:rPr>
        <w:t xml:space="preserve"> consiste num programa e/ou numa série de </w:t>
      </w:r>
      <w:r w:rsidR="00330C99" w:rsidRPr="00861C29">
        <w:rPr>
          <w:lang w:val="pt-BR"/>
        </w:rPr>
        <w:t>subprojetos</w:t>
      </w:r>
      <w:r w:rsidR="001C6919" w:rsidRPr="00861C29">
        <w:rPr>
          <w:lang w:val="pt-BR"/>
        </w:rPr>
        <w:t xml:space="preserve">, e estes riscos e efeitos não podem ser determinados até que os detalhes do programa ou </w:t>
      </w:r>
      <w:r w:rsidR="00330C99" w:rsidRPr="00861C29">
        <w:rPr>
          <w:lang w:val="pt-BR"/>
        </w:rPr>
        <w:t>subprojeto</w:t>
      </w:r>
      <w:r w:rsidR="001C6919" w:rsidRPr="00861C29">
        <w:rPr>
          <w:lang w:val="pt-BR"/>
        </w:rPr>
        <w:t xml:space="preserve"> sejam identificados. O </w:t>
      </w:r>
      <w:r w:rsidR="007125D8">
        <w:rPr>
          <w:lang w:val="pt-BR"/>
        </w:rPr>
        <w:t>Q</w:t>
      </w:r>
      <w:r w:rsidR="003230B5" w:rsidRPr="00861C29">
        <w:rPr>
          <w:lang w:val="pt-BR"/>
        </w:rPr>
        <w:t>GAS</w:t>
      </w:r>
      <w:r w:rsidR="001C6919" w:rsidRPr="00861C29">
        <w:rPr>
          <w:lang w:val="pt-BR"/>
        </w:rPr>
        <w:t xml:space="preserve"> define os princípios, </w:t>
      </w:r>
      <w:r w:rsidR="003230B5" w:rsidRPr="00861C29">
        <w:rPr>
          <w:lang w:val="pt-BR"/>
        </w:rPr>
        <w:t xml:space="preserve">as </w:t>
      </w:r>
      <w:r w:rsidR="001C6919" w:rsidRPr="00861C29">
        <w:rPr>
          <w:lang w:val="pt-BR"/>
        </w:rPr>
        <w:t xml:space="preserve">regras, </w:t>
      </w:r>
      <w:r w:rsidR="00330C99" w:rsidRPr="00861C29">
        <w:rPr>
          <w:lang w:val="pt-BR"/>
        </w:rPr>
        <w:t>diretrizes</w:t>
      </w:r>
      <w:r w:rsidR="001C6919" w:rsidRPr="00861C29">
        <w:rPr>
          <w:lang w:val="pt-BR"/>
        </w:rPr>
        <w:t xml:space="preserve"> e procedimentos para avaliar os riscos e </w:t>
      </w:r>
      <w:r w:rsidR="003230B5" w:rsidRPr="00861C29">
        <w:rPr>
          <w:lang w:val="pt-BR"/>
        </w:rPr>
        <w:t>impactos</w:t>
      </w:r>
      <w:r w:rsidR="001C6919" w:rsidRPr="00861C29">
        <w:rPr>
          <w:lang w:val="pt-BR"/>
        </w:rPr>
        <w:t xml:space="preserve"> ambientais e sociais. Contém medidas e planos para reduzir, mitigar e/ou compensar os riscos e impactos adversos, disposições para a estimativa e orçament</w:t>
      </w:r>
      <w:r w:rsidR="003230B5" w:rsidRPr="00861C29">
        <w:rPr>
          <w:lang w:val="pt-BR"/>
        </w:rPr>
        <w:t>o</w:t>
      </w:r>
      <w:r w:rsidR="001C6919" w:rsidRPr="00861C29">
        <w:rPr>
          <w:lang w:val="pt-BR"/>
        </w:rPr>
        <w:t xml:space="preserve"> do custo destas medidas, e informação sobre a agência ou agências responsáveis pela gestão dos riscos e impactos do </w:t>
      </w:r>
      <w:r w:rsidR="00330C99" w:rsidRPr="00861C29">
        <w:rPr>
          <w:lang w:val="pt-BR"/>
        </w:rPr>
        <w:t>projeto</w:t>
      </w:r>
      <w:r w:rsidR="001C6919" w:rsidRPr="00861C29">
        <w:rPr>
          <w:lang w:val="pt-BR"/>
        </w:rPr>
        <w:t xml:space="preserve">, incluindo as suas capacidades correspondentes. Fornece informações relevantes sobre a área em que se espera que os </w:t>
      </w:r>
      <w:r w:rsidR="00330C99" w:rsidRPr="00861C29">
        <w:rPr>
          <w:lang w:val="pt-BR"/>
        </w:rPr>
        <w:t>subprojetos</w:t>
      </w:r>
      <w:r w:rsidR="001C6919" w:rsidRPr="00861C29">
        <w:rPr>
          <w:lang w:val="pt-BR"/>
        </w:rPr>
        <w:t xml:space="preserve"> sejam realizados, bem como sobre </w:t>
      </w:r>
      <w:r w:rsidR="004F3DF9">
        <w:rPr>
          <w:lang w:val="pt-BR"/>
        </w:rPr>
        <w:t>a</w:t>
      </w:r>
      <w:r w:rsidR="00330C99" w:rsidRPr="00861C29">
        <w:rPr>
          <w:lang w:val="pt-BR"/>
        </w:rPr>
        <w:t>s potenciais</w:t>
      </w:r>
      <w:r w:rsidR="001C6919" w:rsidRPr="00861C29">
        <w:rPr>
          <w:lang w:val="pt-BR"/>
        </w:rPr>
        <w:t xml:space="preserve"> vulnerabilidades ambientais e sociais dessa área; e sobre os efeitos que podem ocorrer e as medidas de mitigação que se pode esperar que sejam aplicadas.</w:t>
      </w:r>
    </w:p>
    <w:p w:rsidR="00337D92" w:rsidRPr="00861C29" w:rsidRDefault="00337D92" w:rsidP="00D47C37">
      <w:pPr>
        <w:autoSpaceDE w:val="0"/>
        <w:autoSpaceDN w:val="0"/>
        <w:adjustRightInd w:val="0"/>
        <w:ind w:left="-426"/>
        <w:jc w:val="both"/>
        <w:rPr>
          <w:lang w:val="pt-BR"/>
        </w:rPr>
      </w:pPr>
    </w:p>
    <w:p w:rsidR="00337D92" w:rsidRPr="00861C29" w:rsidRDefault="004F3DF9" w:rsidP="004977FF">
      <w:pPr>
        <w:pStyle w:val="PargrafodaLista"/>
        <w:numPr>
          <w:ilvl w:val="0"/>
          <w:numId w:val="246"/>
        </w:numPr>
        <w:tabs>
          <w:tab w:val="left" w:pos="1418"/>
          <w:tab w:val="left" w:pos="1843"/>
        </w:tabs>
        <w:spacing w:after="0" w:line="240" w:lineRule="auto"/>
        <w:ind w:right="-993"/>
        <w:contextualSpacing w:val="0"/>
        <w:rPr>
          <w:rFonts w:ascii="Times New Roman" w:hAnsi="Times New Roman"/>
          <w:b/>
          <w:bCs/>
          <w:i/>
          <w:sz w:val="24"/>
          <w:szCs w:val="24"/>
        </w:rPr>
      </w:pPr>
      <w:r>
        <w:rPr>
          <w:rFonts w:ascii="Times New Roman" w:hAnsi="Times New Roman"/>
          <w:b/>
          <w:bCs/>
          <w:i/>
          <w:sz w:val="24"/>
          <w:szCs w:val="24"/>
        </w:rPr>
        <w:t>OBJETIVOS</w:t>
      </w:r>
      <w:r w:rsidR="00337D92" w:rsidRPr="00861C29">
        <w:rPr>
          <w:rFonts w:ascii="Times New Roman" w:hAnsi="Times New Roman"/>
          <w:b/>
          <w:bCs/>
          <w:i/>
          <w:sz w:val="24"/>
          <w:szCs w:val="24"/>
        </w:rPr>
        <w:t xml:space="preserve"> DE PROJETO</w:t>
      </w:r>
    </w:p>
    <w:p w:rsidR="00337D92" w:rsidRPr="00861C29" w:rsidRDefault="00337D92" w:rsidP="00172460">
      <w:pPr>
        <w:autoSpaceDE w:val="0"/>
        <w:autoSpaceDN w:val="0"/>
        <w:adjustRightInd w:val="0"/>
        <w:ind w:right="-144"/>
        <w:jc w:val="both"/>
        <w:rPr>
          <w:lang w:val="pt-BR"/>
        </w:rPr>
      </w:pPr>
      <w:r w:rsidRPr="00861C29">
        <w:rPr>
          <w:lang w:val="pt-BR"/>
        </w:rPr>
        <w:t xml:space="preserve">O </w:t>
      </w:r>
      <w:r w:rsidR="00330C99" w:rsidRPr="00861C29">
        <w:rPr>
          <w:lang w:val="pt-BR"/>
        </w:rPr>
        <w:t>Projeto</w:t>
      </w:r>
      <w:r w:rsidRPr="00861C29">
        <w:rPr>
          <w:lang w:val="pt-BR"/>
        </w:rPr>
        <w:t xml:space="preserve"> de Emergência de Segurança Alimentar da Guiné-Bissau tem como principal </w:t>
      </w:r>
      <w:r w:rsidR="00330C99" w:rsidRPr="00861C29">
        <w:rPr>
          <w:lang w:val="pt-BR"/>
        </w:rPr>
        <w:t>objetivo</w:t>
      </w:r>
      <w:r w:rsidRPr="00861C29">
        <w:rPr>
          <w:lang w:val="pt-BR"/>
        </w:rPr>
        <w:t xml:space="preserve"> mitigar o impacto da pandemia COVID-19 na segurança alimentar e nutricional da Guiné-Bissau. Além disso, visa minimizar os riscos associados à comercialização da castanha de caju. Em geral, o projeto, portanto, contribui para o cumprimento dos Objetivos de Desenvolvimento Sustentável (ODS) sobre a eliminação da fome, segurança alimentar e melhoria da nutrição (ODS2) e o ODS1 sobre a eliminação da pobreza em todas as suas formas. Todos os objetivos do projeto estão em linha com o objetivo estratégico do Banco Mundial de erradicar a pobreza extrema.</w:t>
      </w:r>
    </w:p>
    <w:p w:rsidR="00337D92" w:rsidRPr="00861C29" w:rsidRDefault="00337D92" w:rsidP="00337D92">
      <w:pPr>
        <w:tabs>
          <w:tab w:val="right" w:leader="dot" w:pos="10348"/>
        </w:tabs>
        <w:ind w:right="-993"/>
        <w:rPr>
          <w:bCs/>
          <w:lang w:val="pt-BR"/>
        </w:rPr>
      </w:pPr>
    </w:p>
    <w:p w:rsidR="00337D92" w:rsidRPr="00861C29" w:rsidRDefault="00337D92" w:rsidP="004977FF">
      <w:pPr>
        <w:pStyle w:val="PargrafodaLista"/>
        <w:numPr>
          <w:ilvl w:val="0"/>
          <w:numId w:val="246"/>
        </w:numPr>
        <w:tabs>
          <w:tab w:val="left" w:pos="1418"/>
          <w:tab w:val="left" w:pos="1843"/>
        </w:tabs>
        <w:spacing w:after="0" w:line="240" w:lineRule="auto"/>
        <w:ind w:right="-993"/>
        <w:contextualSpacing w:val="0"/>
        <w:rPr>
          <w:rFonts w:ascii="Times New Roman" w:hAnsi="Times New Roman"/>
          <w:b/>
          <w:bCs/>
          <w:i/>
          <w:sz w:val="24"/>
          <w:szCs w:val="24"/>
        </w:rPr>
      </w:pPr>
      <w:r w:rsidRPr="00861C29">
        <w:rPr>
          <w:rFonts w:ascii="Times New Roman" w:hAnsi="Times New Roman"/>
          <w:b/>
          <w:bCs/>
          <w:i/>
          <w:sz w:val="24"/>
          <w:szCs w:val="24"/>
          <w:lang w:val="pt-BR"/>
        </w:rPr>
        <w:t xml:space="preserve"> </w:t>
      </w:r>
      <w:r w:rsidRPr="00861C29">
        <w:rPr>
          <w:rFonts w:ascii="Times New Roman" w:hAnsi="Times New Roman"/>
          <w:b/>
          <w:bCs/>
          <w:i/>
          <w:sz w:val="24"/>
          <w:szCs w:val="24"/>
        </w:rPr>
        <w:t>COMPONENTES DO PROJETO</w:t>
      </w:r>
    </w:p>
    <w:p w:rsidR="00337D92" w:rsidRPr="00861C29" w:rsidRDefault="00337D92" w:rsidP="00337D92">
      <w:pPr>
        <w:pStyle w:val="PargrafodaLista"/>
        <w:tabs>
          <w:tab w:val="left" w:pos="547"/>
          <w:tab w:val="left" w:pos="720"/>
        </w:tabs>
        <w:spacing w:after="0" w:line="240" w:lineRule="auto"/>
        <w:ind w:left="0" w:right="-993"/>
        <w:contextualSpacing w:val="0"/>
        <w:jc w:val="both"/>
        <w:rPr>
          <w:rFonts w:ascii="Times New Roman" w:hAnsi="Times New Roman"/>
          <w:sz w:val="24"/>
          <w:szCs w:val="24"/>
          <w:lang w:val="pt-BR"/>
        </w:rPr>
      </w:pPr>
      <w:r w:rsidRPr="00861C29">
        <w:rPr>
          <w:rFonts w:ascii="Times New Roman" w:hAnsi="Times New Roman"/>
          <w:sz w:val="24"/>
          <w:szCs w:val="24"/>
          <w:lang w:val="pt-BR"/>
        </w:rPr>
        <w:t>O projeto será organizado em torno de três componentes principais descritos abaixo.</w:t>
      </w:r>
    </w:p>
    <w:p w:rsidR="00337D92" w:rsidRPr="00861C29" w:rsidRDefault="00337D92" w:rsidP="009B22F3">
      <w:pPr>
        <w:tabs>
          <w:tab w:val="left" w:pos="547"/>
        </w:tabs>
        <w:ind w:left="360" w:right="-993"/>
        <w:jc w:val="both"/>
        <w:outlineLvl w:val="0"/>
        <w:rPr>
          <w:b/>
          <w:u w:val="single"/>
          <w:lang w:val="pt-BR"/>
        </w:rPr>
      </w:pPr>
      <w:bookmarkStart w:id="46" w:name="_Toc75432233"/>
      <w:r w:rsidRPr="00861C29">
        <w:rPr>
          <w:b/>
          <w:u w:val="single"/>
          <w:lang w:val="pt-BR"/>
        </w:rPr>
        <w:t>Componente 1: Apoio à produção agrícola (US $ 10 milhões)</w:t>
      </w:r>
      <w:bookmarkEnd w:id="46"/>
    </w:p>
    <w:p w:rsidR="00337D92" w:rsidRPr="00861C29" w:rsidRDefault="00337D92" w:rsidP="00172460">
      <w:pPr>
        <w:spacing w:before="120"/>
        <w:jc w:val="both"/>
        <w:rPr>
          <w:lang w:val="pt-BR"/>
        </w:rPr>
      </w:pPr>
      <w:r w:rsidRPr="00861C29">
        <w:rPr>
          <w:lang w:val="pt-BR"/>
        </w:rPr>
        <w:t>O valor agregado comparativamente mais alto da mão de obra agrícola investida na produção de cajus em comparação com as safras de alimentos tem, ao longo do tempo, fomentado um sistema no qual a maioria dos agricultores se concentra na produção de cajus. Esses agricultores usam o produto do caju para financiar insumos, mão de obra e aluguel de equipamentos necessários para a produção de alimentos. Ao limitar a produção e a comercialização da castanha de caju, a pandemia de Covid-19 basicamente desestabilizou esse equilíbrio. Os agricultores agora enfrentam dificuldades em arcar com os custos de produção de alimentos.</w:t>
      </w:r>
    </w:p>
    <w:p w:rsidR="00337D92" w:rsidRPr="00861C29" w:rsidRDefault="00337D92" w:rsidP="00172460">
      <w:pPr>
        <w:spacing w:before="120"/>
        <w:jc w:val="both"/>
        <w:rPr>
          <w:lang w:val="pt-BR"/>
        </w:rPr>
      </w:pPr>
      <w:r w:rsidRPr="00861C29">
        <w:rPr>
          <w:lang w:val="pt-BR"/>
        </w:rPr>
        <w:t xml:space="preserve">O objetivo desta componente é apoiar uma resposta acelerada de abastecimento centrada na preservação / restauração da capacidade de produção dos agricultores elegíveis, de forma a </w:t>
      </w:r>
      <w:r w:rsidRPr="00861C29">
        <w:rPr>
          <w:lang w:val="pt-BR"/>
        </w:rPr>
        <w:lastRenderedPageBreak/>
        <w:t xml:space="preserve">permitir-lhes uma efetiva participação na produção continuada e ampliada de alimentos de base essencial no curto - ou médio prazo (6-24 meses). </w:t>
      </w:r>
    </w:p>
    <w:p w:rsidR="00337D92" w:rsidRPr="00861C29" w:rsidRDefault="00337D92" w:rsidP="00D47C37">
      <w:pPr>
        <w:pStyle w:val="PargrafodaLista"/>
        <w:tabs>
          <w:tab w:val="left" w:pos="547"/>
          <w:tab w:val="left" w:pos="720"/>
        </w:tabs>
        <w:spacing w:after="0" w:line="240" w:lineRule="auto"/>
        <w:ind w:left="0"/>
        <w:contextualSpacing w:val="0"/>
        <w:jc w:val="both"/>
        <w:rPr>
          <w:rFonts w:ascii="Times New Roman" w:hAnsi="Times New Roman"/>
          <w:b/>
          <w:sz w:val="24"/>
          <w:szCs w:val="24"/>
          <w:u w:val="single"/>
        </w:rPr>
      </w:pPr>
      <w:r w:rsidRPr="00861C29">
        <w:rPr>
          <w:rFonts w:ascii="Times New Roman" w:hAnsi="Times New Roman"/>
          <w:b/>
          <w:sz w:val="24"/>
          <w:szCs w:val="24"/>
          <w:u w:val="single"/>
        </w:rPr>
        <w:t>O projeto financiará:</w:t>
      </w:r>
    </w:p>
    <w:p w:rsidR="00337D92" w:rsidRPr="00861C29" w:rsidRDefault="00337D92" w:rsidP="009B22F3">
      <w:pPr>
        <w:pStyle w:val="PargrafodaLista"/>
        <w:numPr>
          <w:ilvl w:val="0"/>
          <w:numId w:val="27"/>
        </w:numPr>
        <w:tabs>
          <w:tab w:val="left" w:pos="547"/>
          <w:tab w:val="left" w:pos="720"/>
        </w:tabs>
        <w:spacing w:after="0" w:line="240" w:lineRule="auto"/>
        <w:ind w:left="1418"/>
        <w:contextualSpacing w:val="0"/>
        <w:jc w:val="both"/>
        <w:rPr>
          <w:rFonts w:ascii="Times New Roman" w:hAnsi="Times New Roman"/>
          <w:sz w:val="24"/>
          <w:szCs w:val="24"/>
          <w:lang w:val="pt-BR"/>
        </w:rPr>
      </w:pPr>
      <w:r w:rsidRPr="00861C29">
        <w:rPr>
          <w:rFonts w:ascii="Times New Roman" w:hAnsi="Times New Roman"/>
          <w:sz w:val="24"/>
          <w:szCs w:val="24"/>
          <w:lang w:val="pt-BR"/>
        </w:rPr>
        <w:t>a compra e distribuição de sementes melhoradas e material de plantio, com ênfase em safras e hortaliças essenciais para a segurança alimentar;</w:t>
      </w:r>
    </w:p>
    <w:p w:rsidR="00337D92" w:rsidRPr="00861C29" w:rsidRDefault="00337D92" w:rsidP="009B22F3">
      <w:pPr>
        <w:pStyle w:val="PargrafodaLista"/>
        <w:numPr>
          <w:ilvl w:val="0"/>
          <w:numId w:val="27"/>
        </w:numPr>
        <w:tabs>
          <w:tab w:val="left" w:pos="547"/>
          <w:tab w:val="left" w:pos="720"/>
        </w:tabs>
        <w:spacing w:after="0" w:line="240" w:lineRule="auto"/>
        <w:ind w:left="1418" w:right="-144"/>
        <w:contextualSpacing w:val="0"/>
        <w:jc w:val="both"/>
        <w:rPr>
          <w:rFonts w:ascii="Times New Roman" w:hAnsi="Times New Roman"/>
          <w:sz w:val="24"/>
          <w:szCs w:val="24"/>
          <w:lang w:val="pt-BR"/>
        </w:rPr>
      </w:pPr>
      <w:r w:rsidRPr="00861C29">
        <w:rPr>
          <w:rFonts w:ascii="Times New Roman" w:hAnsi="Times New Roman"/>
          <w:sz w:val="24"/>
          <w:szCs w:val="24"/>
          <w:lang w:val="pt-BR"/>
        </w:rPr>
        <w:t>acesso ao equipamento agrícola e mão de obra necessários; e</w:t>
      </w:r>
    </w:p>
    <w:p w:rsidR="00337D92" w:rsidRPr="00861C29" w:rsidRDefault="00337D92" w:rsidP="009B22F3">
      <w:pPr>
        <w:pStyle w:val="PargrafodaLista"/>
        <w:numPr>
          <w:ilvl w:val="0"/>
          <w:numId w:val="27"/>
        </w:numPr>
        <w:tabs>
          <w:tab w:val="left" w:pos="547"/>
          <w:tab w:val="left" w:pos="720"/>
        </w:tabs>
        <w:spacing w:after="0" w:line="240" w:lineRule="auto"/>
        <w:ind w:left="1418" w:right="-144"/>
        <w:contextualSpacing w:val="0"/>
        <w:jc w:val="both"/>
        <w:rPr>
          <w:rFonts w:ascii="Times New Roman" w:hAnsi="Times New Roman"/>
          <w:sz w:val="24"/>
          <w:szCs w:val="24"/>
          <w:lang w:val="pt-BR"/>
        </w:rPr>
      </w:pPr>
      <w:r w:rsidRPr="00861C29">
        <w:rPr>
          <w:rFonts w:ascii="Times New Roman" w:hAnsi="Times New Roman"/>
          <w:sz w:val="24"/>
          <w:szCs w:val="24"/>
          <w:lang w:val="pt-BR"/>
        </w:rPr>
        <w:t xml:space="preserve">fornecer os serviços de consultoria necessários para apoiar a melhoria da produção, produtividade e a resiliência dos sistemas de produção às mudanças climáticas. </w:t>
      </w:r>
    </w:p>
    <w:p w:rsidR="00337D92" w:rsidRPr="00861C29" w:rsidRDefault="00337D92" w:rsidP="00172460">
      <w:pPr>
        <w:spacing w:before="120"/>
        <w:ind w:right="-144"/>
        <w:jc w:val="both"/>
        <w:rPr>
          <w:lang w:val="pt-BR"/>
        </w:rPr>
      </w:pPr>
      <w:r w:rsidRPr="00861C29">
        <w:rPr>
          <w:lang w:val="pt-BR"/>
        </w:rPr>
        <w:t>As atividades sob este componente serão implementadas em parceria com a FAO e apoiadas por dois anos-safra, começando com o ano-safra atual.</w:t>
      </w:r>
    </w:p>
    <w:p w:rsidR="00337D92" w:rsidRPr="00861C29" w:rsidRDefault="00337D92" w:rsidP="00D47C37">
      <w:pPr>
        <w:tabs>
          <w:tab w:val="left" w:pos="547"/>
          <w:tab w:val="left" w:pos="720"/>
        </w:tabs>
        <w:ind w:left="360" w:right="-993"/>
        <w:jc w:val="both"/>
        <w:outlineLvl w:val="0"/>
        <w:rPr>
          <w:b/>
          <w:u w:val="single"/>
          <w:lang w:val="pt-BR"/>
        </w:rPr>
      </w:pPr>
      <w:bookmarkStart w:id="47" w:name="_Toc75432234"/>
      <w:r w:rsidRPr="00861C29">
        <w:rPr>
          <w:b/>
          <w:u w:val="single"/>
          <w:lang w:val="pt-BR"/>
        </w:rPr>
        <w:t>Componente 2: Suporte para redes de segurança da comunidade (US $ 2,5 milhões)</w:t>
      </w:r>
      <w:bookmarkEnd w:id="47"/>
    </w:p>
    <w:p w:rsidR="00337D92" w:rsidRPr="00861C29" w:rsidRDefault="00337D92" w:rsidP="00172460">
      <w:pPr>
        <w:spacing w:before="120"/>
        <w:jc w:val="both"/>
        <w:rPr>
          <w:lang w:val="pt-BR"/>
        </w:rPr>
      </w:pPr>
      <w:r w:rsidRPr="00861C29">
        <w:rPr>
          <w:lang w:val="pt-BR"/>
        </w:rPr>
        <w:t>Os investimentos feitos sob este componente visam garantir a segurança alimentar das famílias para partes das comunidades afetadas pela perda de empregos, reduzindo os déficits de renda que são esperados através do apoio a obras públicas. O foco estará na criação de bens públicos que contribuirão ou aumentarão o impacto da assistência fornecida no Componente 1. Esses ativos podem incluir suporte para a distribuição de insumos, reabilitação de estruturas de armazenamento, abertura de estradas de acesso às áreas de produção agrícola, construção de mercados locais, etc. Os salários diários para atividades em dinheiro por trabalho serão menores do que aqueles para mão de obra não qualificada em nível local,</w:t>
      </w:r>
    </w:p>
    <w:p w:rsidR="00337D92" w:rsidRPr="00861C29" w:rsidRDefault="00337D92" w:rsidP="00172460">
      <w:pPr>
        <w:spacing w:before="120"/>
        <w:jc w:val="both"/>
        <w:rPr>
          <w:lang w:val="pt-BR"/>
        </w:rPr>
      </w:pPr>
      <w:r w:rsidRPr="00861C29">
        <w:rPr>
          <w:lang w:val="pt-BR"/>
        </w:rPr>
        <w:t xml:space="preserve">Este componente, que será implementado pela FAO em parceria com o Ministério da Agricultura e Desenvolvimento Rural (MARD), financiará principalmente salários (em dinheiro ou em espécie), ferramentas e equipamentos, bem como outros custos não salariais, que iriam ser necessário para obras públicas específicas. </w:t>
      </w:r>
    </w:p>
    <w:p w:rsidR="00337D92" w:rsidRPr="00861C29" w:rsidRDefault="00337D92" w:rsidP="00D47C37">
      <w:pPr>
        <w:pStyle w:val="PargrafodaLista"/>
        <w:tabs>
          <w:tab w:val="left" w:pos="547"/>
          <w:tab w:val="left" w:pos="720"/>
        </w:tabs>
        <w:spacing w:after="0" w:line="240" w:lineRule="auto"/>
        <w:ind w:right="-993"/>
        <w:contextualSpacing w:val="0"/>
        <w:jc w:val="both"/>
        <w:outlineLvl w:val="0"/>
        <w:rPr>
          <w:rFonts w:ascii="Times New Roman" w:hAnsi="Times New Roman"/>
          <w:b/>
          <w:sz w:val="24"/>
          <w:szCs w:val="24"/>
          <w:u w:val="single"/>
          <w:lang w:val="pt-BR"/>
        </w:rPr>
      </w:pPr>
      <w:bookmarkStart w:id="48" w:name="_Toc75432235"/>
      <w:r w:rsidRPr="00861C29">
        <w:rPr>
          <w:rFonts w:ascii="Times New Roman" w:hAnsi="Times New Roman"/>
          <w:b/>
          <w:sz w:val="24"/>
          <w:szCs w:val="24"/>
          <w:u w:val="single"/>
          <w:lang w:val="pt-BR"/>
        </w:rPr>
        <w:t>Componente 3: Suporte para mitigação de risco ($ 1,5 milhão)</w:t>
      </w:r>
      <w:bookmarkEnd w:id="48"/>
    </w:p>
    <w:p w:rsidR="00337D92" w:rsidRPr="00861C29" w:rsidRDefault="00337D92" w:rsidP="00172460">
      <w:pPr>
        <w:spacing w:before="120"/>
        <w:jc w:val="both"/>
        <w:rPr>
          <w:lang w:val="pt-BR"/>
        </w:rPr>
      </w:pPr>
      <w:r w:rsidRPr="00861C29">
        <w:rPr>
          <w:lang w:val="pt-BR"/>
        </w:rPr>
        <w:t xml:space="preserve">A pandemia de Covid-19 evidenciou a grande vulnerabilidade da economia da Guiné-Bissau aos choques, devido à sua forte dependência de uma quase monocultura. Embora a diversificação seja a </w:t>
      </w:r>
      <w:r w:rsidR="00330C99" w:rsidRPr="00861C29">
        <w:rPr>
          <w:lang w:val="pt-BR"/>
        </w:rPr>
        <w:t>panaceia</w:t>
      </w:r>
      <w:r w:rsidRPr="00861C29">
        <w:rPr>
          <w:lang w:val="pt-BR"/>
        </w:rPr>
        <w:t xml:space="preserve"> definitiva para esta vulnerabilidade, uma série de medidas exatas de gestão de risco (por exemplo, futuros, seguros, hedging, armazenamento aprimorado, etc.), bem como instrumentos de gestão de risco ex</w:t>
      </w:r>
      <w:r w:rsidR="004F3DF9">
        <w:rPr>
          <w:lang w:val="pt-BR"/>
        </w:rPr>
        <w:t>-post</w:t>
      </w:r>
      <w:r w:rsidRPr="00861C29">
        <w:rPr>
          <w:lang w:val="pt-BR"/>
        </w:rPr>
        <w:t xml:space="preserve"> (por exemplo, financiamento de risco contingente) podem reduzir </w:t>
      </w:r>
      <w:r w:rsidR="00322F89" w:rsidRPr="00861C29">
        <w:rPr>
          <w:lang w:val="pt-BR"/>
        </w:rPr>
        <w:t>as vulnerabilidades específicas</w:t>
      </w:r>
      <w:r w:rsidRPr="00861C29">
        <w:rPr>
          <w:lang w:val="pt-BR"/>
        </w:rPr>
        <w:t xml:space="preserve"> do setor do caju aos riscos de mercado. A proposta é explorar a viabilidade e, então, testar a implementação de medidas de gestão de risco de mercado localmente apropriadas para o setor do caju.</w:t>
      </w:r>
    </w:p>
    <w:p w:rsidR="00337D92" w:rsidRPr="00861C29" w:rsidRDefault="00337D92" w:rsidP="00D47C37">
      <w:pPr>
        <w:tabs>
          <w:tab w:val="left" w:pos="547"/>
          <w:tab w:val="left" w:pos="720"/>
        </w:tabs>
        <w:ind w:left="360" w:right="-993"/>
        <w:jc w:val="both"/>
        <w:rPr>
          <w:b/>
          <w:u w:val="single"/>
          <w:lang w:val="pt-BR"/>
        </w:rPr>
      </w:pPr>
      <w:r w:rsidRPr="00861C29">
        <w:rPr>
          <w:b/>
          <w:u w:val="single"/>
          <w:lang w:val="pt-BR"/>
        </w:rPr>
        <w:t>Componente 4: Gerenciamento de projetos (US $ 1,0 milhão).</w:t>
      </w:r>
    </w:p>
    <w:p w:rsidR="00337D92" w:rsidRPr="00861C29" w:rsidRDefault="00337D92" w:rsidP="002473A6">
      <w:pPr>
        <w:spacing w:before="120"/>
        <w:jc w:val="both"/>
        <w:rPr>
          <w:lang w:val="pt-BR"/>
        </w:rPr>
      </w:pPr>
      <w:r w:rsidRPr="00861C29">
        <w:rPr>
          <w:lang w:val="pt-BR"/>
        </w:rPr>
        <w:t>O objetivo deste componente é facilitar a implementação efetiva das atividades do projeto e o monitoramento dos resultados. Este componente financiará atividades relacionadas à coordenação e gestão do projeto, incluindo o desenvolvimento de planos de trabalho e orçamentos anuais, gestão financeira (FM) e aquisições, cumprimento de garantias, monitoramento e avaliação (M&amp;E), engajamento dos cidadãos, bem como mecanismo de reclamações</w:t>
      </w:r>
      <w:r w:rsidR="00BC111E">
        <w:rPr>
          <w:lang w:val="pt-BR"/>
        </w:rPr>
        <w:t>.</w:t>
      </w:r>
    </w:p>
    <w:p w:rsidR="00337D92" w:rsidRPr="00861C29" w:rsidRDefault="00337D92" w:rsidP="00D47C37">
      <w:pPr>
        <w:pStyle w:val="Default"/>
        <w:tabs>
          <w:tab w:val="left" w:pos="547"/>
          <w:tab w:val="left" w:pos="720"/>
        </w:tabs>
        <w:autoSpaceDE/>
        <w:autoSpaceDN/>
        <w:adjustRightInd/>
        <w:spacing w:before="120"/>
        <w:ind w:left="720" w:right="-993"/>
        <w:jc w:val="both"/>
        <w:rPr>
          <w:rFonts w:ascii="Times New Roman" w:hAnsi="Times New Roman" w:cs="Times New Roman"/>
          <w:b/>
          <w:color w:val="172D5F"/>
          <w:u w:val="single"/>
          <w:lang w:val="pt-BR"/>
        </w:rPr>
      </w:pPr>
      <w:r w:rsidRPr="00861C29">
        <w:rPr>
          <w:rFonts w:ascii="Times New Roman" w:hAnsi="Times New Roman" w:cs="Times New Roman"/>
          <w:b/>
          <w:noProof/>
          <w:u w:val="single"/>
          <w:lang w:val="pt-BR"/>
        </w:rPr>
        <w:t>Componente 5: Resposta de emergência contingente (US $ 0 milhões)</w:t>
      </w:r>
    </w:p>
    <w:p w:rsidR="00337D92" w:rsidRPr="00861C29" w:rsidRDefault="00337D92" w:rsidP="002473A6">
      <w:pPr>
        <w:spacing w:before="120"/>
        <w:jc w:val="both"/>
        <w:rPr>
          <w:lang w:val="pt-BR"/>
        </w:rPr>
      </w:pPr>
      <w:r w:rsidRPr="00861C29">
        <w:rPr>
          <w:lang w:val="pt-BR"/>
        </w:rPr>
        <w:t xml:space="preserve">Este componente de resposta a emergências contingente de custo zero (CERC) financiará despesas elegíveis em caso de crises naturais ou provocadas pelo homem, desastres, choques econômicos graves ou outras crises e emergências na Guiné-Bissau. A implementação deste componente seguirá um plano de implementação de resposta contingente de emergência </w:t>
      </w:r>
      <w:r w:rsidRPr="00861C29">
        <w:rPr>
          <w:lang w:val="pt-BR"/>
        </w:rPr>
        <w:lastRenderedPageBreak/>
        <w:t>(CERIP) detalhado e satisfatório para o Banco Mundial, que será preparado para cada crise elegível.</w:t>
      </w:r>
    </w:p>
    <w:p w:rsidR="00337D92" w:rsidRPr="00861C29" w:rsidRDefault="00337D92" w:rsidP="00337D92">
      <w:pPr>
        <w:tabs>
          <w:tab w:val="right" w:leader="dot" w:pos="10348"/>
        </w:tabs>
        <w:ind w:right="-993"/>
        <w:rPr>
          <w:bCs/>
          <w:lang w:val="pt-BR"/>
        </w:rPr>
      </w:pPr>
    </w:p>
    <w:p w:rsidR="00337D92" w:rsidRPr="00861C29" w:rsidRDefault="00337D92" w:rsidP="004977FF">
      <w:pPr>
        <w:pStyle w:val="PargrafodaLista"/>
        <w:numPr>
          <w:ilvl w:val="0"/>
          <w:numId w:val="246"/>
        </w:numPr>
        <w:tabs>
          <w:tab w:val="left" w:pos="1418"/>
          <w:tab w:val="left" w:pos="1843"/>
        </w:tabs>
        <w:spacing w:after="0" w:line="240" w:lineRule="auto"/>
        <w:ind w:right="-993"/>
        <w:contextualSpacing w:val="0"/>
        <w:rPr>
          <w:rFonts w:ascii="Times New Roman" w:hAnsi="Times New Roman"/>
          <w:b/>
          <w:bCs/>
          <w:i/>
          <w:sz w:val="24"/>
          <w:szCs w:val="24"/>
          <w:lang w:val="pt-BR"/>
        </w:rPr>
      </w:pPr>
      <w:r w:rsidRPr="00861C29">
        <w:rPr>
          <w:rFonts w:ascii="Times New Roman" w:hAnsi="Times New Roman"/>
          <w:b/>
          <w:bCs/>
          <w:i/>
          <w:sz w:val="24"/>
          <w:szCs w:val="24"/>
          <w:lang w:val="pt-BR"/>
        </w:rPr>
        <w:t>BENEFICIÁRIOS DO PROJETO</w:t>
      </w:r>
    </w:p>
    <w:p w:rsidR="00337D92" w:rsidRPr="00861C29" w:rsidRDefault="00337D92" w:rsidP="0073711A">
      <w:pPr>
        <w:spacing w:before="120"/>
        <w:jc w:val="both"/>
        <w:rPr>
          <w:lang w:val="pt-BR"/>
        </w:rPr>
      </w:pPr>
      <w:r w:rsidRPr="00861C29">
        <w:rPr>
          <w:lang w:val="pt-BR"/>
        </w:rPr>
        <w:t xml:space="preserve">Os beneficiários diretos dos projetos são, em particular: </w:t>
      </w:r>
    </w:p>
    <w:p w:rsidR="00337D92" w:rsidRPr="00861C29" w:rsidRDefault="004F3DF9" w:rsidP="0073711A">
      <w:pPr>
        <w:pStyle w:val="PargrafodaLista"/>
        <w:numPr>
          <w:ilvl w:val="0"/>
          <w:numId w:val="29"/>
        </w:numPr>
        <w:tabs>
          <w:tab w:val="left" w:pos="547"/>
          <w:tab w:val="left" w:pos="720"/>
        </w:tabs>
        <w:spacing w:after="0" w:line="240" w:lineRule="auto"/>
        <w:contextualSpacing w:val="0"/>
        <w:jc w:val="both"/>
        <w:rPr>
          <w:rFonts w:ascii="Times New Roman" w:hAnsi="Times New Roman"/>
          <w:sz w:val="24"/>
          <w:szCs w:val="24"/>
          <w:lang w:val="pt-BR"/>
        </w:rPr>
      </w:pPr>
      <w:r>
        <w:rPr>
          <w:rFonts w:ascii="Times New Roman" w:hAnsi="Times New Roman"/>
          <w:sz w:val="24"/>
          <w:szCs w:val="24"/>
          <w:lang w:val="pt-BR"/>
        </w:rPr>
        <w:t xml:space="preserve"> </w:t>
      </w:r>
      <w:r w:rsidR="00337D92" w:rsidRPr="00861C29">
        <w:rPr>
          <w:rFonts w:ascii="Times New Roman" w:hAnsi="Times New Roman"/>
          <w:sz w:val="24"/>
          <w:szCs w:val="24"/>
          <w:lang w:val="pt-BR"/>
        </w:rPr>
        <w:t xml:space="preserve">Pequenos agricultores, para os quais a produção de cajus é parte integrante da segurança alimentar; </w:t>
      </w:r>
    </w:p>
    <w:p w:rsidR="00337D92" w:rsidRPr="00861C29" w:rsidRDefault="00337D92" w:rsidP="0073711A">
      <w:pPr>
        <w:pStyle w:val="PargrafodaLista"/>
        <w:numPr>
          <w:ilvl w:val="0"/>
          <w:numId w:val="29"/>
        </w:numPr>
        <w:tabs>
          <w:tab w:val="left" w:pos="547"/>
          <w:tab w:val="left" w:pos="720"/>
        </w:tabs>
        <w:spacing w:after="0" w:line="240" w:lineRule="auto"/>
        <w:contextualSpacing w:val="0"/>
        <w:jc w:val="both"/>
        <w:rPr>
          <w:rFonts w:ascii="Times New Roman" w:hAnsi="Times New Roman"/>
          <w:sz w:val="24"/>
          <w:szCs w:val="24"/>
          <w:lang w:val="pt-BR"/>
        </w:rPr>
      </w:pPr>
      <w:r w:rsidRPr="00861C29">
        <w:rPr>
          <w:rFonts w:ascii="Times New Roman" w:hAnsi="Times New Roman"/>
          <w:sz w:val="24"/>
          <w:szCs w:val="24"/>
          <w:lang w:val="pt-BR"/>
        </w:rPr>
        <w:t xml:space="preserve"> </w:t>
      </w:r>
      <w:r w:rsidR="004F3DF9">
        <w:rPr>
          <w:rFonts w:ascii="Times New Roman" w:hAnsi="Times New Roman"/>
          <w:sz w:val="24"/>
          <w:szCs w:val="24"/>
          <w:lang w:val="pt-BR"/>
        </w:rPr>
        <w:t>F</w:t>
      </w:r>
      <w:r w:rsidRPr="00861C29">
        <w:rPr>
          <w:rFonts w:ascii="Times New Roman" w:hAnsi="Times New Roman"/>
          <w:sz w:val="24"/>
          <w:szCs w:val="24"/>
          <w:lang w:val="pt-BR"/>
        </w:rPr>
        <w:t xml:space="preserve">amílias com insegurança alimentar que dependem de trabalho sazonal ou de salários diários para sua segurança alimentar; </w:t>
      </w:r>
    </w:p>
    <w:p w:rsidR="00337D92" w:rsidRPr="00861C29" w:rsidRDefault="00337D92" w:rsidP="0073711A">
      <w:pPr>
        <w:pStyle w:val="PargrafodaLista"/>
        <w:numPr>
          <w:ilvl w:val="0"/>
          <w:numId w:val="29"/>
        </w:numPr>
        <w:tabs>
          <w:tab w:val="left" w:pos="547"/>
          <w:tab w:val="left" w:pos="720"/>
        </w:tabs>
        <w:spacing w:after="0" w:line="240" w:lineRule="auto"/>
        <w:contextualSpacing w:val="0"/>
        <w:jc w:val="both"/>
        <w:rPr>
          <w:rFonts w:ascii="Times New Roman" w:hAnsi="Times New Roman"/>
          <w:sz w:val="24"/>
          <w:szCs w:val="24"/>
        </w:rPr>
      </w:pPr>
      <w:r w:rsidRPr="00861C29">
        <w:rPr>
          <w:rFonts w:ascii="Times New Roman" w:hAnsi="Times New Roman"/>
          <w:sz w:val="24"/>
          <w:szCs w:val="24"/>
          <w:lang w:val="pt-BR"/>
        </w:rPr>
        <w:t xml:space="preserve"> </w:t>
      </w:r>
      <w:r w:rsidR="004F3DF9">
        <w:rPr>
          <w:rFonts w:ascii="Times New Roman" w:hAnsi="Times New Roman"/>
          <w:sz w:val="24"/>
          <w:szCs w:val="24"/>
          <w:lang w:val="pt-BR"/>
        </w:rPr>
        <w:t>J</w:t>
      </w:r>
      <w:r w:rsidRPr="00861C29">
        <w:rPr>
          <w:rFonts w:ascii="Times New Roman" w:hAnsi="Times New Roman"/>
          <w:sz w:val="24"/>
          <w:szCs w:val="24"/>
        </w:rPr>
        <w:t xml:space="preserve">ardineiros de mercado. </w:t>
      </w:r>
    </w:p>
    <w:p w:rsidR="00337D92" w:rsidRPr="00861C29" w:rsidRDefault="00337D92" w:rsidP="002473A6">
      <w:pPr>
        <w:spacing w:before="120"/>
        <w:jc w:val="both"/>
        <w:rPr>
          <w:lang w:val="pt-BR"/>
        </w:rPr>
      </w:pPr>
      <w:r w:rsidRPr="00861C29">
        <w:rPr>
          <w:lang w:val="pt-BR"/>
        </w:rPr>
        <w:t>Pelo menos 50.000 famílias se beneficiarão de apoio a insumos e outras 10.000 famílias se beneficiarão de atividades de trabalho em dinheiro. Com base no tamanho médio da família na Guiné-Bissau, isso representa cerca de 378.000 pessoas.</w:t>
      </w:r>
    </w:p>
    <w:p w:rsidR="00337D92" w:rsidRPr="00861C29" w:rsidRDefault="00337D92" w:rsidP="002473A6">
      <w:pPr>
        <w:spacing w:before="120"/>
        <w:jc w:val="both"/>
        <w:rPr>
          <w:lang w:val="pt-BR"/>
        </w:rPr>
      </w:pPr>
      <w:r w:rsidRPr="00861C29">
        <w:rPr>
          <w:lang w:val="pt-BR"/>
        </w:rPr>
        <w:t xml:space="preserve">Os beneficiários indiretos incluem trabalhadores, consumidores que terão acesso aos alimentos do excedente de produção e fornecedores de insumos. </w:t>
      </w:r>
    </w:p>
    <w:p w:rsidR="00337D92" w:rsidRPr="00861C29" w:rsidRDefault="00337D92" w:rsidP="002473A6">
      <w:pPr>
        <w:spacing w:before="120"/>
        <w:jc w:val="both"/>
        <w:rPr>
          <w:lang w:val="pt-BR"/>
        </w:rPr>
      </w:pPr>
      <w:r w:rsidRPr="00861C29">
        <w:rPr>
          <w:lang w:val="pt-BR"/>
        </w:rPr>
        <w:t xml:space="preserve">Dada a fluidez da situação, o projeto também teria abrangência nacional, embora o direcionamento permita focar nas regiões mais afetadas pela insegurança alimentar, evitando a duplicação da ajuda prestada por outros países, outras agências e por meio de financiamento governamental. </w:t>
      </w:r>
    </w:p>
    <w:p w:rsidR="00337D92" w:rsidRPr="00861C29" w:rsidRDefault="00337D92" w:rsidP="002473A6">
      <w:pPr>
        <w:spacing w:before="120"/>
        <w:jc w:val="both"/>
        <w:rPr>
          <w:lang w:val="pt-BR"/>
        </w:rPr>
      </w:pPr>
      <w:r w:rsidRPr="00861C29">
        <w:rPr>
          <w:lang w:val="pt-BR"/>
        </w:rPr>
        <w:t>Este projeto analisará a partir de uma perspectiva de gênero para melhorar a sensibilidade deste aspecto. A análise também garantirá salvaguardas adequadas para reduzir os riscos de violência de gênero (VBG), incluindo exploração e abuso sexual (SEA), bem como assédio sexual (HS).</w:t>
      </w:r>
    </w:p>
    <w:p w:rsidR="00337D92" w:rsidRPr="00861C29" w:rsidRDefault="00337D92" w:rsidP="00337D92">
      <w:pPr>
        <w:pStyle w:val="PargrafodaLista"/>
        <w:autoSpaceDE w:val="0"/>
        <w:autoSpaceDN w:val="0"/>
        <w:adjustRightInd w:val="0"/>
        <w:spacing w:after="0" w:line="240" w:lineRule="auto"/>
        <w:ind w:right="-993"/>
        <w:jc w:val="both"/>
        <w:rPr>
          <w:rFonts w:ascii="Times New Roman" w:hAnsi="Times New Roman"/>
          <w:sz w:val="24"/>
          <w:szCs w:val="24"/>
          <w:lang w:val="pt-BR"/>
        </w:rPr>
      </w:pPr>
    </w:p>
    <w:p w:rsidR="00337D92" w:rsidRPr="00861C29" w:rsidRDefault="00264F95" w:rsidP="004977FF">
      <w:pPr>
        <w:pStyle w:val="PargrafodaLista"/>
        <w:numPr>
          <w:ilvl w:val="0"/>
          <w:numId w:val="246"/>
        </w:numPr>
        <w:tabs>
          <w:tab w:val="left" w:pos="1418"/>
          <w:tab w:val="left" w:pos="1843"/>
        </w:tabs>
        <w:spacing w:after="0" w:line="240" w:lineRule="auto"/>
        <w:ind w:right="-993"/>
        <w:contextualSpacing w:val="0"/>
        <w:rPr>
          <w:rFonts w:ascii="Times New Roman" w:hAnsi="Times New Roman"/>
          <w:b/>
          <w:bCs/>
          <w:i/>
          <w:sz w:val="24"/>
          <w:szCs w:val="24"/>
        </w:rPr>
      </w:pPr>
      <w:r w:rsidRPr="00861C29">
        <w:rPr>
          <w:rFonts w:ascii="Times New Roman" w:hAnsi="Times New Roman"/>
          <w:b/>
          <w:bCs/>
          <w:i/>
          <w:sz w:val="24"/>
          <w:szCs w:val="24"/>
        </w:rPr>
        <w:t xml:space="preserve">RISCOS </w:t>
      </w:r>
      <w:r w:rsidR="00337D92" w:rsidRPr="00861C29">
        <w:rPr>
          <w:rFonts w:ascii="Times New Roman" w:hAnsi="Times New Roman"/>
          <w:b/>
          <w:bCs/>
          <w:i/>
          <w:sz w:val="24"/>
          <w:szCs w:val="24"/>
        </w:rPr>
        <w:t>AMBIENTAIS E SOCIAIS</w:t>
      </w:r>
    </w:p>
    <w:p w:rsidR="00337D92" w:rsidRPr="00861C29" w:rsidRDefault="00337D92" w:rsidP="009B22F3">
      <w:pPr>
        <w:tabs>
          <w:tab w:val="right" w:leader="dot" w:pos="10348"/>
        </w:tabs>
        <w:ind w:right="-142"/>
        <w:jc w:val="both"/>
        <w:rPr>
          <w:bCs/>
          <w:lang w:val="pt-BR"/>
        </w:rPr>
      </w:pPr>
      <w:r w:rsidRPr="00861C29">
        <w:rPr>
          <w:lang w:val="pt-BR"/>
        </w:rPr>
        <w:t xml:space="preserve">De várias formas, as atividades previstas na implementação do projeto PUSA podem esbarrar em questões de meio ambiente e atividades socioeconômicas. Podemos citar em particular efeitos como o risco de interrupção das atividades agrícolas, o risco de degradação avançada das terras agrícolas, as apostas na comercialização da castanha de caju e produtos alimentares com a pandemia, a perda de recursos florestais consideráveis, </w:t>
      </w:r>
      <w:r w:rsidR="00353112" w:rsidRPr="00861C29">
        <w:rPr>
          <w:lang w:val="pt-BR"/>
        </w:rPr>
        <w:t>C</w:t>
      </w:r>
      <w:r w:rsidRPr="00861C29">
        <w:rPr>
          <w:lang w:val="pt-BR"/>
        </w:rPr>
        <w:t>ultivo inadequado</w:t>
      </w:r>
      <w:r w:rsidR="00353112" w:rsidRPr="00861C29">
        <w:rPr>
          <w:lang w:val="pt-BR"/>
        </w:rPr>
        <w:t>,</w:t>
      </w:r>
      <w:r w:rsidRPr="00861C29">
        <w:rPr>
          <w:lang w:val="pt-BR"/>
        </w:rPr>
        <w:t xml:space="preserve"> práticas com o uso de agrotóxicos, </w:t>
      </w:r>
      <w:r w:rsidR="00353112" w:rsidRPr="00861C29">
        <w:rPr>
          <w:lang w:val="pt-BR"/>
        </w:rPr>
        <w:t xml:space="preserve">degradação de terra e </w:t>
      </w:r>
      <w:r w:rsidRPr="00861C29">
        <w:rPr>
          <w:lang w:val="pt-BR"/>
        </w:rPr>
        <w:t xml:space="preserve">erosão, gestão sustentável dos recursos hídricos, disponibilidade de qualidade e quantidade de sementes, escassez de agricultores, produção de resíduos (sólidos e líquidos), efeitos </w:t>
      </w:r>
      <w:r w:rsidR="00353112" w:rsidRPr="00861C29">
        <w:rPr>
          <w:lang w:val="pt-BR"/>
        </w:rPr>
        <w:t xml:space="preserve">da </w:t>
      </w:r>
      <w:r w:rsidR="00353112" w:rsidRPr="00861C29">
        <w:rPr>
          <w:color w:val="000000"/>
          <w:shd w:val="clear" w:color="auto" w:fill="FFFFFF"/>
          <w:lang w:val="pt-PT"/>
        </w:rPr>
        <w:t>mudança climática</w:t>
      </w:r>
      <w:r w:rsidRPr="00861C29">
        <w:rPr>
          <w:lang w:val="pt-BR"/>
        </w:rPr>
        <w:t>, etc.</w:t>
      </w:r>
      <w:r w:rsidR="00353112" w:rsidRPr="00861C29">
        <w:rPr>
          <w:lang w:val="pt-BR"/>
        </w:rPr>
        <w:t xml:space="preserve"> </w:t>
      </w:r>
    </w:p>
    <w:p w:rsidR="00337D92" w:rsidRPr="00861C29" w:rsidRDefault="00337D92" w:rsidP="00337D92">
      <w:pPr>
        <w:pStyle w:val="PargrafodaLista"/>
        <w:spacing w:after="0" w:line="240" w:lineRule="auto"/>
        <w:ind w:right="-993"/>
        <w:rPr>
          <w:rFonts w:ascii="Times New Roman" w:hAnsi="Times New Roman"/>
          <w:sz w:val="24"/>
          <w:szCs w:val="24"/>
          <w:lang w:val="pt-PT"/>
        </w:rPr>
      </w:pPr>
    </w:p>
    <w:p w:rsidR="00337D92" w:rsidRPr="00861C29" w:rsidRDefault="00337D92" w:rsidP="00927C67">
      <w:pPr>
        <w:pStyle w:val="PargrafodaLista"/>
        <w:numPr>
          <w:ilvl w:val="0"/>
          <w:numId w:val="246"/>
        </w:numPr>
        <w:tabs>
          <w:tab w:val="left" w:pos="1418"/>
          <w:tab w:val="left" w:pos="1843"/>
        </w:tabs>
        <w:spacing w:after="0" w:line="240" w:lineRule="auto"/>
        <w:ind w:right="-142"/>
        <w:contextualSpacing w:val="0"/>
        <w:rPr>
          <w:rFonts w:ascii="Times New Roman" w:hAnsi="Times New Roman"/>
          <w:b/>
          <w:bCs/>
          <w:i/>
          <w:sz w:val="24"/>
          <w:szCs w:val="24"/>
          <w:lang w:val="pt-BR"/>
        </w:rPr>
      </w:pPr>
      <w:r w:rsidRPr="00861C29">
        <w:rPr>
          <w:rFonts w:ascii="Times New Roman" w:hAnsi="Times New Roman"/>
          <w:b/>
          <w:bCs/>
          <w:i/>
          <w:sz w:val="24"/>
          <w:szCs w:val="24"/>
          <w:lang w:val="pt-BR"/>
        </w:rPr>
        <w:t>ANÁLISE DE IMPACTOS PREVISTOS E MEDIDAS DE MITIGAÇÃO E / OU EVITAR</w:t>
      </w:r>
    </w:p>
    <w:p w:rsidR="00337D92" w:rsidRPr="00861C29" w:rsidRDefault="00337D92" w:rsidP="002473A6">
      <w:pPr>
        <w:spacing w:before="120"/>
        <w:jc w:val="both"/>
        <w:rPr>
          <w:lang w:val="pt-BR"/>
        </w:rPr>
      </w:pPr>
      <w:r w:rsidRPr="00861C29">
        <w:rPr>
          <w:lang w:val="pt-BR"/>
        </w:rPr>
        <w:t>No âmbito deste estudo, a análise dos impactos do projeto PUSA através dos seus componentes principais é feita de acordo com uma abordagem global porque são objetivos globais que pretendemos atingir através desta avaliação ambiental estratégica.</w:t>
      </w:r>
    </w:p>
    <w:p w:rsidR="00337D92" w:rsidRPr="00861C29" w:rsidRDefault="00337D92" w:rsidP="00927C67">
      <w:pPr>
        <w:pStyle w:val="Primeiroavanodecorpodetexto2"/>
        <w:spacing w:after="0" w:line="240" w:lineRule="auto"/>
        <w:jc w:val="center"/>
        <w:rPr>
          <w:rFonts w:ascii="Times New Roman" w:hAnsi="Times New Roman"/>
          <w:b/>
          <w:sz w:val="24"/>
          <w:szCs w:val="24"/>
          <w:lang w:val="pt-BR"/>
        </w:rPr>
      </w:pPr>
      <w:r w:rsidRPr="00861C29">
        <w:rPr>
          <w:rFonts w:ascii="Times New Roman" w:hAnsi="Times New Roman"/>
          <w:b/>
          <w:sz w:val="24"/>
          <w:szCs w:val="24"/>
          <w:lang w:val="pt-BR"/>
        </w:rPr>
        <w:t>Resumo dos potenciais impactos positivos da implementação das atividades do projeto</w:t>
      </w:r>
    </w:p>
    <w:tbl>
      <w:tblPr>
        <w:tblStyle w:val="TableauGrille2-Accentuation61"/>
        <w:tblW w:w="5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912"/>
      </w:tblGrid>
      <w:tr w:rsidR="00337D92" w:rsidRPr="002623EB" w:rsidTr="009B22F3">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2060" w:type="dxa"/>
            <w:tcBorders>
              <w:top w:val="single" w:sz="4" w:space="0" w:color="auto"/>
            </w:tcBorders>
            <w:shd w:val="clear" w:color="auto" w:fill="EDEDED" w:themeFill="accent3" w:themeFillTint="33"/>
            <w:vAlign w:val="center"/>
          </w:tcPr>
          <w:p w:rsidR="00337D92" w:rsidRPr="00861C29" w:rsidRDefault="00337D92" w:rsidP="00337D92">
            <w:pPr>
              <w:autoSpaceDE w:val="0"/>
              <w:autoSpaceDN w:val="0"/>
              <w:adjustRightInd w:val="0"/>
              <w:jc w:val="center"/>
              <w:rPr>
                <w:rFonts w:eastAsia="Calibri"/>
                <w:color w:val="000000"/>
              </w:rPr>
            </w:pPr>
            <w:r w:rsidRPr="00861C29">
              <w:rPr>
                <w:rFonts w:eastAsia="Calibri"/>
                <w:color w:val="000000"/>
              </w:rPr>
              <w:t>Atividades</w:t>
            </w:r>
          </w:p>
        </w:tc>
        <w:tc>
          <w:tcPr>
            <w:tcW w:w="8567" w:type="dxa"/>
            <w:tcBorders>
              <w:top w:val="single" w:sz="4" w:space="0" w:color="auto"/>
            </w:tcBorders>
            <w:shd w:val="clear" w:color="auto" w:fill="EDEDED" w:themeFill="accent3" w:themeFillTint="33"/>
          </w:tcPr>
          <w:p w:rsidR="00337D92" w:rsidRPr="00861C29" w:rsidRDefault="00337D92" w:rsidP="00337D9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olor w:val="000000"/>
                <w:lang w:val="pt-BR"/>
              </w:rPr>
            </w:pPr>
            <w:r w:rsidRPr="00861C29">
              <w:rPr>
                <w:rFonts w:eastAsia="Calibri"/>
                <w:color w:val="000000"/>
                <w:lang w:val="pt-BR"/>
              </w:rPr>
              <w:t>Principais impactos positivos do projeto</w:t>
            </w:r>
          </w:p>
        </w:tc>
      </w:tr>
      <w:tr w:rsidR="00337D92" w:rsidRPr="00861C29" w:rsidTr="009B2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0" w:type="dxa"/>
            <w:vMerge w:val="restart"/>
            <w:shd w:val="clear" w:color="auto" w:fill="FFFFFF"/>
            <w:vAlign w:val="center"/>
          </w:tcPr>
          <w:p w:rsidR="00337D92" w:rsidRPr="00861C29" w:rsidRDefault="00337D92" w:rsidP="00337D92">
            <w:pPr>
              <w:spacing w:before="60" w:after="60"/>
              <w:jc w:val="center"/>
            </w:pPr>
            <w:r w:rsidRPr="00861C29">
              <w:rPr>
                <w:u w:val="single"/>
              </w:rPr>
              <w:t>Apoio à produção agrícola</w:t>
            </w:r>
          </w:p>
          <w:p w:rsidR="00337D92" w:rsidRPr="00861C29" w:rsidRDefault="00337D92" w:rsidP="00337D92">
            <w:pPr>
              <w:jc w:val="center"/>
              <w:rPr>
                <w:rFonts w:eastAsia="Calibri"/>
                <w:color w:val="000000"/>
              </w:rPr>
            </w:pPr>
          </w:p>
        </w:tc>
        <w:tc>
          <w:tcPr>
            <w:tcW w:w="8567" w:type="dxa"/>
            <w:shd w:val="clear" w:color="auto" w:fill="DEEAF6" w:themeFill="accent1" w:themeFillTint="33"/>
          </w:tcPr>
          <w:p w:rsidR="00337D92" w:rsidRPr="00861C29" w:rsidRDefault="00337D92" w:rsidP="00337D9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861C29">
              <w:rPr>
                <w:rFonts w:eastAsia="Calibri"/>
                <w:b/>
              </w:rPr>
              <w:t>Fase de operação</w:t>
            </w:r>
          </w:p>
        </w:tc>
      </w:tr>
      <w:tr w:rsidR="00337D92" w:rsidRPr="002623EB" w:rsidTr="009B22F3">
        <w:trPr>
          <w:jc w:val="center"/>
        </w:trPr>
        <w:tc>
          <w:tcPr>
            <w:cnfStyle w:val="001000000000" w:firstRow="0" w:lastRow="0" w:firstColumn="1" w:lastColumn="0" w:oddVBand="0" w:evenVBand="0" w:oddHBand="0" w:evenHBand="0" w:firstRowFirstColumn="0" w:firstRowLastColumn="0" w:lastRowFirstColumn="0" w:lastRowLastColumn="0"/>
            <w:tcW w:w="2060" w:type="dxa"/>
            <w:vMerge/>
            <w:shd w:val="clear" w:color="auto" w:fill="FFFFFF"/>
            <w:vAlign w:val="center"/>
          </w:tcPr>
          <w:p w:rsidR="00337D92" w:rsidRPr="00861C29" w:rsidRDefault="00337D92" w:rsidP="00337D92">
            <w:pPr>
              <w:rPr>
                <w:rFonts w:eastAsia="Calibri"/>
                <w:color w:val="000000"/>
              </w:rPr>
            </w:pPr>
          </w:p>
        </w:tc>
        <w:tc>
          <w:tcPr>
            <w:tcW w:w="8567" w:type="dxa"/>
          </w:tcPr>
          <w:p w:rsidR="00337D92" w:rsidRPr="00861C29" w:rsidRDefault="00337D92" w:rsidP="009B22F3">
            <w:pPr>
              <w:ind w:right="41"/>
              <w:jc w:val="both"/>
              <w:cnfStyle w:val="000000000000" w:firstRow="0" w:lastRow="0" w:firstColumn="0" w:lastColumn="0" w:oddVBand="0" w:evenVBand="0" w:oddHBand="0" w:evenHBand="0" w:firstRowFirstColumn="0" w:firstRowLastColumn="0" w:lastRowFirstColumn="0" w:lastRowLastColumn="0"/>
              <w:rPr>
                <w:lang w:val="pt-BR"/>
              </w:rPr>
            </w:pPr>
            <w:r w:rsidRPr="00861C29">
              <w:rPr>
                <w:b/>
                <w:lang w:val="pt-BR"/>
              </w:rPr>
              <w:t>O aumento da popularização de novas técnicas agrícolas</w:t>
            </w:r>
            <w:r w:rsidRPr="00861C29">
              <w:rPr>
                <w:lang w:val="pt-BR"/>
              </w:rPr>
              <w:t xml:space="preserve"> contribuirá para a otimização dos rendimentos sem aumento das áreas de cultivo em detrimento das pastagens.</w:t>
            </w:r>
          </w:p>
          <w:p w:rsidR="00337D92" w:rsidRPr="00861C29" w:rsidRDefault="00337D92" w:rsidP="009B22F3">
            <w:pPr>
              <w:ind w:right="41"/>
              <w:jc w:val="both"/>
              <w:cnfStyle w:val="000000000000" w:firstRow="0" w:lastRow="0" w:firstColumn="0" w:lastColumn="0" w:oddVBand="0" w:evenVBand="0" w:oddHBand="0" w:evenHBand="0" w:firstRowFirstColumn="0" w:firstRowLastColumn="0" w:lastRowFirstColumn="0" w:lastRowLastColumn="0"/>
              <w:rPr>
                <w:b/>
                <w:lang w:val="pt-BR"/>
              </w:rPr>
            </w:pPr>
            <w:r w:rsidRPr="00861C29">
              <w:rPr>
                <w:lang w:val="pt-BR"/>
              </w:rPr>
              <w:t xml:space="preserve"> </w:t>
            </w:r>
            <w:r w:rsidRPr="00861C29">
              <w:rPr>
                <w:b/>
                <w:lang w:val="pt-BR"/>
              </w:rPr>
              <w:t>Avaliação e Organização no setor agrícola</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lastRenderedPageBreak/>
              <w:t>Uma melhor organização do segmento de produção e comercialização da castanha de caju e produtos à base de cereais permitirá uma melhor valorização desses produtos.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 xml:space="preserve">O projeto permitirá eliminar alguns dos principais constrangimentos em relação à comercialização da castanha de caju e impulsionar as culturas alimentares. </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 xml:space="preserve">A redução de especuladores nos mercados locais, </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 xml:space="preserve">Restauração da confiança do produtor nos operadores por meio de mecanismos de contratualização mais adequados. </w:t>
            </w:r>
          </w:p>
          <w:p w:rsidR="00337D92" w:rsidRPr="00861C29" w:rsidRDefault="00337D92" w:rsidP="004111B4">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 xml:space="preserve">A intensificação do cultivo do arroz estabelecerá a diversificação da produção agrícola permitindo não apenas a autossuficiência alimentar, mas também o enriquecimento das áreas de cultivo por meio da rotação de culturas. </w:t>
            </w:r>
          </w:p>
          <w:p w:rsidR="00337D92" w:rsidRPr="00861C29" w:rsidRDefault="00337D92" w:rsidP="009B22F3">
            <w:pPr>
              <w:ind w:right="41"/>
              <w:jc w:val="both"/>
              <w:cnfStyle w:val="000000000000" w:firstRow="0" w:lastRow="0" w:firstColumn="0" w:lastColumn="0" w:oddVBand="0" w:evenVBand="0" w:oddHBand="0" w:evenHBand="0" w:firstRowFirstColumn="0" w:firstRowLastColumn="0" w:lastRowFirstColumn="0" w:lastRowLastColumn="0"/>
              <w:rPr>
                <w:b/>
                <w:lang w:val="pt-BR"/>
              </w:rPr>
            </w:pPr>
            <w:r w:rsidRPr="00861C29">
              <w:rPr>
                <w:b/>
                <w:lang w:val="pt-BR"/>
              </w:rPr>
              <w:t>O fornecimento de sementes e fertilizantes contribuirá para impulsionar o sistema de produção agrícola com vistas à autossuficiência alimentar;</w:t>
            </w:r>
          </w:p>
          <w:p w:rsidR="00337D92" w:rsidRPr="00861C29" w:rsidRDefault="00337D92" w:rsidP="009B22F3">
            <w:pPr>
              <w:ind w:right="41"/>
              <w:jc w:val="both"/>
              <w:cnfStyle w:val="000000000000" w:firstRow="0" w:lastRow="0" w:firstColumn="0" w:lastColumn="0" w:oddVBand="0" w:evenVBand="0" w:oddHBand="0" w:evenHBand="0" w:firstRowFirstColumn="0" w:firstRowLastColumn="0" w:lastRowFirstColumn="0" w:lastRowLastColumn="0"/>
              <w:rPr>
                <w:b/>
                <w:lang w:val="pt-BR"/>
              </w:rPr>
            </w:pPr>
          </w:p>
          <w:p w:rsidR="00337D92" w:rsidRPr="00861C29" w:rsidRDefault="00337D92" w:rsidP="009B22F3">
            <w:pPr>
              <w:ind w:right="41"/>
              <w:jc w:val="both"/>
              <w:cnfStyle w:val="000000000000" w:firstRow="0" w:lastRow="0" w:firstColumn="0" w:lastColumn="0" w:oddVBand="0" w:evenVBand="0" w:oddHBand="0" w:evenHBand="0" w:firstRowFirstColumn="0" w:firstRowLastColumn="0" w:lastRowFirstColumn="0" w:lastRowLastColumn="0"/>
              <w:rPr>
                <w:b/>
                <w:lang w:val="pt-BR"/>
              </w:rPr>
            </w:pPr>
            <w:r w:rsidRPr="00861C29">
              <w:rPr>
                <w:b/>
                <w:lang w:val="pt-BR"/>
              </w:rPr>
              <w:t>A infraestrutura de produção e equipamentos como os perfilhos são um vetor importante para o desenvolvimento de capacidades, melhoria da produtividade, ganho de competitividade e, em última instância, desenvolvimento econômico e melhoria das condições de vida e renda dos produtores;</w:t>
            </w:r>
          </w:p>
          <w:p w:rsidR="00337D92" w:rsidRPr="00861C29" w:rsidRDefault="00337D92" w:rsidP="009B22F3">
            <w:pPr>
              <w:ind w:right="41"/>
              <w:jc w:val="both"/>
              <w:cnfStyle w:val="000000000000" w:firstRow="0" w:lastRow="0" w:firstColumn="0" w:lastColumn="0" w:oddVBand="0" w:evenVBand="0" w:oddHBand="0" w:evenHBand="0" w:firstRowFirstColumn="0" w:firstRowLastColumn="0" w:lastRowFirstColumn="0" w:lastRowLastColumn="0"/>
              <w:rPr>
                <w:b/>
                <w:lang w:val="pt-BR"/>
              </w:rPr>
            </w:pPr>
          </w:p>
          <w:p w:rsidR="00337D92" w:rsidRPr="00861C29" w:rsidRDefault="00337D92" w:rsidP="009B22F3">
            <w:pPr>
              <w:ind w:right="41"/>
              <w:jc w:val="both"/>
              <w:cnfStyle w:val="000000000000" w:firstRow="0" w:lastRow="0" w:firstColumn="0" w:lastColumn="0" w:oddVBand="0" w:evenVBand="0" w:oddHBand="0" w:evenHBand="0" w:firstRowFirstColumn="0" w:firstRowLastColumn="0" w:lastRowFirstColumn="0" w:lastRowLastColumn="0"/>
              <w:rPr>
                <w:b/>
                <w:lang w:val="pt-BR"/>
              </w:rPr>
            </w:pPr>
            <w:r w:rsidRPr="00861C29">
              <w:rPr>
                <w:b/>
                <w:color w:val="000000"/>
                <w:lang w:val="pt-BR" w:eastAsia="en-US"/>
              </w:rPr>
              <w:t>A assessoria aos produtores permitirá um melhor controle da produção e da produtividade das áreas arrozeiras ao permitir não só a autossuficiência alimentar;</w:t>
            </w:r>
          </w:p>
          <w:p w:rsidR="00337D92" w:rsidRPr="00861C29" w:rsidRDefault="00337D92" w:rsidP="009B22F3">
            <w:pPr>
              <w:spacing w:before="120" w:after="120"/>
              <w:ind w:right="41"/>
              <w:jc w:val="both"/>
              <w:cnfStyle w:val="000000000000" w:firstRow="0" w:lastRow="0" w:firstColumn="0" w:lastColumn="0" w:oddVBand="0" w:evenVBand="0" w:oddHBand="0" w:evenHBand="0" w:firstRowFirstColumn="0" w:firstRowLastColumn="0" w:lastRowFirstColumn="0" w:lastRowLastColumn="0"/>
              <w:rPr>
                <w:rFonts w:eastAsia="Calibri"/>
                <w:b/>
                <w:lang w:val="pt-BR"/>
              </w:rPr>
            </w:pPr>
            <w:r w:rsidRPr="00861C29">
              <w:rPr>
                <w:rFonts w:eastAsia="Calibri"/>
                <w:b/>
                <w:lang w:val="pt-BR"/>
              </w:rPr>
              <w:t>Melhoria das condições de vida da população:</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Redução da pobreza entre as populações vulneráveis ​​expostas à insegurança alimentar</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Melhorar as condições de vida dos agricultores;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A sedentarização de populações em busca de terras adequadas para sua escolha de cultura;</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Melhorar a saúde das populações;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À redução dos conflitos de uso e exploração entre criadores, agricultores e transumantes;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 xml:space="preserve">Fortalecimento das capacidades financeiras dos beneficiários para melhor lutar contra a pobreza </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Melhorar a situação nutricional das populações;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Melhorar a renda financeira das mulheres.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Capacitação e treinamento para mulheres em atividades de processamento de produtos agrícolas;</w:t>
            </w:r>
          </w:p>
          <w:p w:rsidR="00337D92" w:rsidRPr="00861C29" w:rsidRDefault="00337D92" w:rsidP="009B22F3">
            <w:pPr>
              <w:spacing w:before="120" w:after="120"/>
              <w:ind w:right="41"/>
              <w:jc w:val="both"/>
              <w:cnfStyle w:val="000000000000" w:firstRow="0" w:lastRow="0" w:firstColumn="0" w:lastColumn="0" w:oddVBand="0" w:evenVBand="0" w:oddHBand="0" w:evenHBand="0" w:firstRowFirstColumn="0" w:firstRowLastColumn="0" w:lastRowFirstColumn="0" w:lastRowLastColumn="0"/>
              <w:rPr>
                <w:rFonts w:eastAsia="Calibri"/>
                <w:b/>
                <w:lang w:val="pt-BR"/>
              </w:rPr>
            </w:pPr>
            <w:r w:rsidRPr="00861C29">
              <w:rPr>
                <w:rFonts w:eastAsia="Calibri"/>
                <w:b/>
                <w:lang w:val="pt-BR"/>
              </w:rPr>
              <w:t>O apoio ao desenvolvimento e fortalecimento de capacidades irá:</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Garantir a produção suficiente e permanente de produtos agrícolas (produtos alimentares);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Garantir o acesso a uma linha de crédito aos pequenos produtores e aos GIEs ou federação;</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 xml:space="preserve">Melhorar o conhecimento sobre as técnicas de processamento e conservação dos setores prioritários para o alcance da segurança </w:t>
            </w:r>
            <w:r w:rsidRPr="00861C29">
              <w:rPr>
                <w:rFonts w:ascii="Times New Roman" w:hAnsi="Times New Roman"/>
                <w:sz w:val="24"/>
                <w:szCs w:val="24"/>
                <w:lang w:val="pt-BR"/>
              </w:rPr>
              <w:lastRenderedPageBreak/>
              <w:t>alimentar no país;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Aumentar a consideração adequada dos efeitos nocivos das mudanças climáticas;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Intensificação da produção e otimização de rendimentos;</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Estimular o empreendedorismo de jovens e mulheres (liderança de mulheres e jovens) em atividades de desenvolvimento;</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 xml:space="preserve">Ter melhor controle da produção e produtividade dos perímetros do arroz e do caju, permitindo não só a autossuficiência alimentar, mas também a preservação das áreas de cultivo integrando medidas ambientais de proteção de ambientes sensíveis. </w:t>
            </w:r>
          </w:p>
          <w:p w:rsidR="00337D92" w:rsidRPr="00861C29" w:rsidRDefault="00337D92" w:rsidP="009B22F3">
            <w:pPr>
              <w:pStyle w:val="PargrafodaLista"/>
              <w:numPr>
                <w:ilvl w:val="0"/>
                <w:numId w:val="59"/>
              </w:numPr>
              <w:spacing w:after="0" w:line="240" w:lineRule="auto"/>
              <w:ind w:right="4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A popularização de novas técnicas agrícolas ajudará a otimizar os rendimentos;</w:t>
            </w:r>
          </w:p>
          <w:p w:rsidR="00337D92" w:rsidRPr="00861C29" w:rsidRDefault="00337D92" w:rsidP="009B22F3">
            <w:pPr>
              <w:spacing w:before="120" w:after="120"/>
              <w:ind w:right="41"/>
              <w:jc w:val="both"/>
              <w:cnfStyle w:val="000000000000" w:firstRow="0" w:lastRow="0" w:firstColumn="0" w:lastColumn="0" w:oddVBand="0" w:evenVBand="0" w:oddHBand="0" w:evenHBand="0" w:firstRowFirstColumn="0" w:firstRowLastColumn="0" w:lastRowFirstColumn="0" w:lastRowLastColumn="0"/>
              <w:rPr>
                <w:lang w:val="pt-BR"/>
              </w:rPr>
            </w:pPr>
            <w:r w:rsidRPr="00861C29">
              <w:rPr>
                <w:rFonts w:eastAsia="Calibri"/>
                <w:b/>
                <w:lang w:val="pt-BR"/>
              </w:rPr>
              <w:t>O projeto promoverá a consideração dos aspectos de gênero e o processo de integração das noções de eqüidade na execução das atividades.</w:t>
            </w:r>
            <w:r w:rsidRPr="00861C29" w:rsidDel="00D5504E">
              <w:rPr>
                <w:lang w:val="pt-BR"/>
              </w:rPr>
              <w:t xml:space="preserve"> </w:t>
            </w:r>
          </w:p>
        </w:tc>
      </w:tr>
      <w:tr w:rsidR="00337D92" w:rsidRPr="002623EB" w:rsidTr="009B2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0" w:type="dxa"/>
            <w:vMerge w:val="restart"/>
            <w:shd w:val="clear" w:color="auto" w:fill="FFFFFF"/>
            <w:vAlign w:val="center"/>
          </w:tcPr>
          <w:p w:rsidR="00337D92" w:rsidRPr="00861C29" w:rsidRDefault="00337D92" w:rsidP="00337D92">
            <w:pPr>
              <w:widowControl w:val="0"/>
              <w:autoSpaceDE w:val="0"/>
              <w:autoSpaceDN w:val="0"/>
              <w:adjustRightInd w:val="0"/>
              <w:spacing w:after="240"/>
              <w:jc w:val="center"/>
              <w:rPr>
                <w:rFonts w:eastAsia="Calibri"/>
                <w:color w:val="000000"/>
                <w:lang w:val="pt-BR"/>
              </w:rPr>
            </w:pPr>
            <w:r w:rsidRPr="00861C29">
              <w:rPr>
                <w:u w:val="single"/>
                <w:lang w:val="pt-BR"/>
              </w:rPr>
              <w:lastRenderedPageBreak/>
              <w:t>Suporte para redes de segurança da comunidade (</w:t>
            </w:r>
            <w:r w:rsidRPr="00861C29">
              <w:rPr>
                <w:lang w:val="pt-BR"/>
              </w:rPr>
              <w:t>reabilitação de estruturas de armazenamento, abertura de estradas de acesso às áreas de produção agrícola, construção de mercados locais, etc.)</w:t>
            </w:r>
          </w:p>
        </w:tc>
        <w:tc>
          <w:tcPr>
            <w:tcW w:w="8567" w:type="dxa"/>
            <w:shd w:val="clear" w:color="auto" w:fill="DEEAF6" w:themeFill="accent1" w:themeFillTint="33"/>
          </w:tcPr>
          <w:p w:rsidR="00337D92" w:rsidRPr="00861C29" w:rsidRDefault="00337D92" w:rsidP="009B22F3">
            <w:pPr>
              <w:autoSpaceDE w:val="0"/>
              <w:autoSpaceDN w:val="0"/>
              <w:adjustRightInd w:val="0"/>
              <w:ind w:right="41"/>
              <w:jc w:val="center"/>
              <w:cnfStyle w:val="000000100000" w:firstRow="0" w:lastRow="0" w:firstColumn="0" w:lastColumn="0" w:oddVBand="0" w:evenVBand="0" w:oddHBand="1" w:evenHBand="0" w:firstRowFirstColumn="0" w:firstRowLastColumn="0" w:lastRowFirstColumn="0" w:lastRowLastColumn="0"/>
              <w:rPr>
                <w:rFonts w:eastAsia="Calibri"/>
                <w:color w:val="000000"/>
                <w:lang w:val="pt-BR"/>
              </w:rPr>
            </w:pPr>
            <w:r w:rsidRPr="00861C29">
              <w:rPr>
                <w:rFonts w:eastAsia="Calibri"/>
                <w:b/>
                <w:lang w:val="pt-BR"/>
              </w:rPr>
              <w:t>Fase de implementação do projeto</w:t>
            </w:r>
          </w:p>
        </w:tc>
      </w:tr>
      <w:tr w:rsidR="00337D92" w:rsidRPr="002623EB" w:rsidTr="009B22F3">
        <w:trPr>
          <w:jc w:val="center"/>
        </w:trPr>
        <w:tc>
          <w:tcPr>
            <w:cnfStyle w:val="001000000000" w:firstRow="0" w:lastRow="0" w:firstColumn="1" w:lastColumn="0" w:oddVBand="0" w:evenVBand="0" w:oddHBand="0" w:evenHBand="0" w:firstRowFirstColumn="0" w:firstRowLastColumn="0" w:lastRowFirstColumn="0" w:lastRowLastColumn="0"/>
            <w:tcW w:w="2060" w:type="dxa"/>
            <w:vMerge/>
            <w:shd w:val="clear" w:color="auto" w:fill="FFFFFF"/>
            <w:vAlign w:val="center"/>
          </w:tcPr>
          <w:p w:rsidR="00337D92" w:rsidRPr="00861C29" w:rsidRDefault="00337D92" w:rsidP="00337D92">
            <w:pPr>
              <w:widowControl w:val="0"/>
              <w:autoSpaceDE w:val="0"/>
              <w:autoSpaceDN w:val="0"/>
              <w:adjustRightInd w:val="0"/>
              <w:spacing w:after="240"/>
              <w:rPr>
                <w:b w:val="0"/>
                <w:u w:val="single"/>
                <w:lang w:val="pt-BR"/>
              </w:rPr>
            </w:pPr>
          </w:p>
        </w:tc>
        <w:tc>
          <w:tcPr>
            <w:tcW w:w="8567" w:type="dxa"/>
            <w:shd w:val="clear" w:color="auto" w:fill="auto"/>
          </w:tcPr>
          <w:p w:rsidR="00337D92" w:rsidRPr="00861C29" w:rsidRDefault="00337D92" w:rsidP="009B22F3">
            <w:pPr>
              <w:numPr>
                <w:ilvl w:val="0"/>
                <w:numId w:val="59"/>
              </w:numPr>
              <w:ind w:right="41"/>
              <w:jc w:val="both"/>
              <w:cnfStyle w:val="000000000000" w:firstRow="0" w:lastRow="0" w:firstColumn="0" w:lastColumn="0" w:oddVBand="0" w:evenVBand="0" w:oddHBand="0" w:evenHBand="0" w:firstRowFirstColumn="0" w:firstRowLastColumn="0" w:lastRowFirstColumn="0" w:lastRowLastColumn="0"/>
              <w:rPr>
                <w:b/>
                <w:bCs/>
                <w:i/>
                <w:iCs/>
                <w:lang w:val="pt-BR"/>
              </w:rPr>
            </w:pPr>
            <w:r w:rsidRPr="00861C29">
              <w:rPr>
                <w:rFonts w:eastAsia="Calibri"/>
                <w:lang w:val="pt-BR"/>
              </w:rPr>
              <w:t>Oportunidades de negócios para operadores econômicos privados</w:t>
            </w:r>
          </w:p>
          <w:p w:rsidR="00337D92" w:rsidRPr="00861C29" w:rsidRDefault="00337D92" w:rsidP="009B22F3">
            <w:pPr>
              <w:numPr>
                <w:ilvl w:val="0"/>
                <w:numId w:val="59"/>
              </w:numPr>
              <w:ind w:right="41"/>
              <w:jc w:val="both"/>
              <w:cnfStyle w:val="000000000000" w:firstRow="0" w:lastRow="0" w:firstColumn="0" w:lastColumn="0" w:oddVBand="0" w:evenVBand="0" w:oddHBand="0" w:evenHBand="0" w:firstRowFirstColumn="0" w:firstRowLastColumn="0" w:lastRowFirstColumn="0" w:lastRowLastColumn="0"/>
              <w:rPr>
                <w:bCs/>
                <w:iCs/>
                <w:lang w:val="pt-BR"/>
              </w:rPr>
            </w:pPr>
            <w:r w:rsidRPr="00861C29">
              <w:rPr>
                <w:bCs/>
                <w:iCs/>
                <w:lang w:val="pt-BR"/>
              </w:rPr>
              <w:t xml:space="preserve">O programa “trabalho por comida” ou “comida por trabalho” promoverá o serviço comunitário e permitirá que os voluntários tenham empregos temporários. </w:t>
            </w:r>
          </w:p>
        </w:tc>
      </w:tr>
      <w:tr w:rsidR="00337D92" w:rsidRPr="00861C29" w:rsidTr="009B2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0" w:type="dxa"/>
            <w:vMerge/>
            <w:shd w:val="clear" w:color="auto" w:fill="FFFFFF"/>
            <w:vAlign w:val="center"/>
          </w:tcPr>
          <w:p w:rsidR="00337D92" w:rsidRPr="00861C29" w:rsidRDefault="00337D92" w:rsidP="00337D92">
            <w:pPr>
              <w:widowControl w:val="0"/>
              <w:autoSpaceDE w:val="0"/>
              <w:autoSpaceDN w:val="0"/>
              <w:adjustRightInd w:val="0"/>
              <w:spacing w:after="240"/>
              <w:rPr>
                <w:b w:val="0"/>
                <w:u w:val="single"/>
                <w:lang w:val="pt-BR"/>
              </w:rPr>
            </w:pPr>
          </w:p>
        </w:tc>
        <w:tc>
          <w:tcPr>
            <w:tcW w:w="8567" w:type="dxa"/>
            <w:shd w:val="clear" w:color="auto" w:fill="DEEAF6" w:themeFill="accent1" w:themeFillTint="33"/>
          </w:tcPr>
          <w:p w:rsidR="00337D92" w:rsidRPr="00861C29" w:rsidRDefault="00337D92" w:rsidP="009B22F3">
            <w:pPr>
              <w:autoSpaceDE w:val="0"/>
              <w:autoSpaceDN w:val="0"/>
              <w:adjustRightInd w:val="0"/>
              <w:ind w:right="41"/>
              <w:jc w:val="center"/>
              <w:cnfStyle w:val="000000100000" w:firstRow="0" w:lastRow="0" w:firstColumn="0" w:lastColumn="0" w:oddVBand="0" w:evenVBand="0" w:oddHBand="1" w:evenHBand="0" w:firstRowFirstColumn="0" w:firstRowLastColumn="0" w:lastRowFirstColumn="0" w:lastRowLastColumn="0"/>
              <w:rPr>
                <w:rFonts w:eastAsia="Calibri"/>
                <w:b/>
              </w:rPr>
            </w:pPr>
            <w:r w:rsidRPr="00861C29">
              <w:rPr>
                <w:rFonts w:eastAsia="Calibri"/>
                <w:b/>
              </w:rPr>
              <w:t>Fase de operação</w:t>
            </w:r>
          </w:p>
        </w:tc>
      </w:tr>
      <w:tr w:rsidR="00337D92" w:rsidRPr="002623EB" w:rsidTr="009B22F3">
        <w:trPr>
          <w:trHeight w:val="390"/>
          <w:jc w:val="center"/>
        </w:trPr>
        <w:tc>
          <w:tcPr>
            <w:cnfStyle w:val="001000000000" w:firstRow="0" w:lastRow="0" w:firstColumn="1" w:lastColumn="0" w:oddVBand="0" w:evenVBand="0" w:oddHBand="0" w:evenHBand="0" w:firstRowFirstColumn="0" w:firstRowLastColumn="0" w:lastRowFirstColumn="0" w:lastRowLastColumn="0"/>
            <w:tcW w:w="2060" w:type="dxa"/>
            <w:vMerge/>
            <w:shd w:val="clear" w:color="auto" w:fill="FFFFFF"/>
            <w:vAlign w:val="center"/>
          </w:tcPr>
          <w:p w:rsidR="00337D92" w:rsidRPr="00861C29" w:rsidRDefault="00337D92" w:rsidP="00337D92">
            <w:pPr>
              <w:rPr>
                <w:rFonts w:eastAsia="Calibri"/>
                <w:color w:val="000000"/>
              </w:rPr>
            </w:pPr>
          </w:p>
        </w:tc>
        <w:tc>
          <w:tcPr>
            <w:tcW w:w="8567" w:type="dxa"/>
            <w:shd w:val="clear" w:color="auto" w:fill="FFFFFF"/>
          </w:tcPr>
          <w:p w:rsidR="00337D92" w:rsidRPr="00861C29" w:rsidRDefault="00337D92" w:rsidP="009B22F3">
            <w:pPr>
              <w:numPr>
                <w:ilvl w:val="0"/>
                <w:numId w:val="59"/>
              </w:numPr>
              <w:ind w:right="41"/>
              <w:jc w:val="both"/>
              <w:cnfStyle w:val="000000000000" w:firstRow="0" w:lastRow="0" w:firstColumn="0" w:lastColumn="0" w:oddVBand="0" w:evenVBand="0" w:oddHBand="0" w:evenHBand="0" w:firstRowFirstColumn="0" w:firstRowLastColumn="0" w:lastRowFirstColumn="0" w:lastRowLastColumn="0"/>
              <w:rPr>
                <w:rFonts w:eastAsia="Calibri"/>
                <w:b/>
              </w:rPr>
            </w:pPr>
            <w:r w:rsidRPr="00861C29">
              <w:rPr>
                <w:rFonts w:eastAsia="Calibri"/>
                <w:b/>
              </w:rPr>
              <w:t xml:space="preserve">Oportunidades de emprego </w:t>
            </w:r>
          </w:p>
          <w:p w:rsidR="00337D92" w:rsidRPr="00861C29" w:rsidRDefault="00337D92" w:rsidP="009B22F3">
            <w:pPr>
              <w:numPr>
                <w:ilvl w:val="0"/>
                <w:numId w:val="59"/>
              </w:numPr>
              <w:ind w:right="41"/>
              <w:jc w:val="both"/>
              <w:cnfStyle w:val="000000000000" w:firstRow="0" w:lastRow="0" w:firstColumn="0" w:lastColumn="0" w:oddVBand="0" w:evenVBand="0" w:oddHBand="0" w:evenHBand="0" w:firstRowFirstColumn="0" w:firstRowLastColumn="0" w:lastRowFirstColumn="0" w:lastRowLastColumn="0"/>
              <w:rPr>
                <w:rFonts w:eastAsia="Calibri"/>
                <w:b/>
              </w:rPr>
            </w:pPr>
            <w:r w:rsidRPr="00861C29">
              <w:rPr>
                <w:rFonts w:eastAsia="Calibri"/>
                <w:b/>
              </w:rPr>
              <w:t xml:space="preserve">Melhoria das condições socioeconômicas </w:t>
            </w:r>
          </w:p>
          <w:p w:rsidR="00337D92" w:rsidRPr="00861C29" w:rsidRDefault="00337D92" w:rsidP="009B22F3">
            <w:pPr>
              <w:numPr>
                <w:ilvl w:val="0"/>
                <w:numId w:val="59"/>
              </w:numPr>
              <w:ind w:right="41"/>
              <w:jc w:val="both"/>
              <w:cnfStyle w:val="000000000000" w:firstRow="0" w:lastRow="0" w:firstColumn="0" w:lastColumn="0" w:oddVBand="0" w:evenVBand="0" w:oddHBand="0" w:evenHBand="0" w:firstRowFirstColumn="0" w:firstRowLastColumn="0" w:lastRowFirstColumn="0" w:lastRowLastColumn="0"/>
              <w:rPr>
                <w:rFonts w:eastAsia="Calibri"/>
                <w:b/>
                <w:lang w:val="pt-BR"/>
              </w:rPr>
            </w:pPr>
            <w:r w:rsidRPr="00861C29">
              <w:rPr>
                <w:rFonts w:eastAsia="Calibri"/>
                <w:lang w:val="pt-BR"/>
              </w:rPr>
              <w:t>Estimular o desenvolvimento quantitativo e qualitativo da gestão empresarial;</w:t>
            </w:r>
          </w:p>
          <w:p w:rsidR="00337D92" w:rsidRPr="00861C29" w:rsidRDefault="00337D92" w:rsidP="009B22F3">
            <w:pPr>
              <w:numPr>
                <w:ilvl w:val="0"/>
                <w:numId w:val="59"/>
              </w:numPr>
              <w:ind w:right="41"/>
              <w:jc w:val="both"/>
              <w:cnfStyle w:val="000000000000" w:firstRow="0" w:lastRow="0" w:firstColumn="0" w:lastColumn="0" w:oddVBand="0" w:evenVBand="0" w:oddHBand="0" w:evenHBand="0" w:firstRowFirstColumn="0" w:firstRowLastColumn="0" w:lastRowFirstColumn="0" w:lastRowLastColumn="0"/>
              <w:rPr>
                <w:rFonts w:eastAsia="Calibri"/>
                <w:lang w:val="pt-BR"/>
              </w:rPr>
            </w:pPr>
            <w:r w:rsidRPr="00861C29">
              <w:rPr>
                <w:rFonts w:eastAsia="Calibri"/>
                <w:lang w:val="pt-BR"/>
              </w:rPr>
              <w:t>Intensificação da produção e otimização dos rendimentos</w:t>
            </w:r>
          </w:p>
          <w:p w:rsidR="00337D92" w:rsidRPr="00861C29" w:rsidRDefault="00337D92" w:rsidP="009B22F3">
            <w:pPr>
              <w:numPr>
                <w:ilvl w:val="0"/>
                <w:numId w:val="59"/>
              </w:numPr>
              <w:ind w:right="41"/>
              <w:jc w:val="both"/>
              <w:cnfStyle w:val="000000000000" w:firstRow="0" w:lastRow="0" w:firstColumn="0" w:lastColumn="0" w:oddVBand="0" w:evenVBand="0" w:oddHBand="0" w:evenHBand="0" w:firstRowFirstColumn="0" w:firstRowLastColumn="0" w:lastRowFirstColumn="0" w:lastRowLastColumn="0"/>
              <w:rPr>
                <w:rFonts w:eastAsia="Calibri"/>
                <w:lang w:val="pt-BR"/>
              </w:rPr>
            </w:pPr>
            <w:r w:rsidRPr="00861C29">
              <w:rPr>
                <w:rFonts w:eastAsia="Calibri"/>
                <w:lang w:val="pt-BR"/>
              </w:rPr>
              <w:t>Os mercados locais ajudarão a garantir as vendas e aumentar a renda dos produtores.</w:t>
            </w:r>
          </w:p>
          <w:p w:rsidR="00337D92" w:rsidRPr="00861C29" w:rsidRDefault="00337D92" w:rsidP="009B22F3">
            <w:pPr>
              <w:numPr>
                <w:ilvl w:val="0"/>
                <w:numId w:val="59"/>
              </w:numPr>
              <w:ind w:right="41"/>
              <w:jc w:val="both"/>
              <w:cnfStyle w:val="000000000000" w:firstRow="0" w:lastRow="0" w:firstColumn="0" w:lastColumn="0" w:oddVBand="0" w:evenVBand="0" w:oddHBand="0" w:evenHBand="0" w:firstRowFirstColumn="0" w:firstRowLastColumn="0" w:lastRowFirstColumn="0" w:lastRowLastColumn="0"/>
              <w:rPr>
                <w:color w:val="000000"/>
                <w:lang w:val="pt-BR" w:eastAsia="en-US"/>
              </w:rPr>
            </w:pPr>
            <w:r w:rsidRPr="00861C29">
              <w:rPr>
                <w:lang w:val="pt-BR"/>
              </w:rPr>
              <w:t xml:space="preserve">As estradas de acesso irão melhorar positivamente a qualidade e gestão da produção. </w:t>
            </w:r>
            <w:r w:rsidRPr="00861C29">
              <w:rPr>
                <w:color w:val="000000"/>
                <w:lang w:val="pt-BR" w:eastAsia="en-US"/>
              </w:rPr>
              <w:t xml:space="preserve"> </w:t>
            </w:r>
          </w:p>
          <w:p w:rsidR="00337D92" w:rsidRPr="00861C29" w:rsidRDefault="00337D92" w:rsidP="009B22F3">
            <w:pPr>
              <w:numPr>
                <w:ilvl w:val="0"/>
                <w:numId w:val="59"/>
              </w:numPr>
              <w:ind w:right="41"/>
              <w:jc w:val="both"/>
              <w:cnfStyle w:val="000000000000" w:firstRow="0" w:lastRow="0" w:firstColumn="0" w:lastColumn="0" w:oddVBand="0" w:evenVBand="0" w:oddHBand="0" w:evenHBand="0" w:firstRowFirstColumn="0" w:firstRowLastColumn="0" w:lastRowFirstColumn="0" w:lastRowLastColumn="0"/>
              <w:rPr>
                <w:color w:val="000000"/>
                <w:lang w:val="pt-BR" w:eastAsia="en-US"/>
              </w:rPr>
            </w:pPr>
            <w:r w:rsidRPr="00861C29">
              <w:rPr>
                <w:b/>
                <w:lang w:val="pt-BR"/>
              </w:rPr>
              <w:t>O desenvolvimento da pecuária visa reduzir as dificuldades enfrentadas pelos criadores em relação à saúde animal, melhorando a qualidade dos serviços prestados aos transumantes, nomeadamente a segurança alimentar, as condições de acesso às infraestruturas sociais, o desenvolvimento do empreendedorismo rural na área da criação (ovinos, caprinos e avícolas), melhorando a qualidade nutricional da família;</w:t>
            </w:r>
          </w:p>
        </w:tc>
      </w:tr>
    </w:tbl>
    <w:p w:rsidR="00337D92" w:rsidRPr="00861C29" w:rsidRDefault="00337D92" w:rsidP="00337D92">
      <w:pPr>
        <w:tabs>
          <w:tab w:val="right" w:leader="dot" w:pos="10348"/>
        </w:tabs>
        <w:ind w:right="-993"/>
        <w:rPr>
          <w:bCs/>
          <w:lang w:val="pt-BR"/>
        </w:rPr>
      </w:pPr>
    </w:p>
    <w:p w:rsidR="00337D92" w:rsidRPr="00861C29" w:rsidRDefault="00353112" w:rsidP="008F798F">
      <w:pPr>
        <w:pStyle w:val="PargrafodaLista"/>
        <w:spacing w:after="0" w:line="240" w:lineRule="auto"/>
        <w:ind w:left="0"/>
        <w:outlineLvl w:val="1"/>
        <w:rPr>
          <w:rFonts w:ascii="Times New Roman" w:hAnsi="Times New Roman"/>
          <w:b/>
          <w:bCs/>
          <w:sz w:val="24"/>
          <w:szCs w:val="24"/>
          <w:lang w:val="pt-BR"/>
        </w:rPr>
      </w:pPr>
      <w:bookmarkStart w:id="49" w:name="_Toc75432236"/>
      <w:r w:rsidRPr="00861C29">
        <w:rPr>
          <w:rFonts w:ascii="Times New Roman" w:hAnsi="Times New Roman"/>
          <w:b/>
          <w:sz w:val="24"/>
          <w:szCs w:val="24"/>
          <w:lang w:val="pt-BR"/>
        </w:rPr>
        <w:t xml:space="preserve">Resumo  dos </w:t>
      </w:r>
      <w:r w:rsidRPr="00861C29">
        <w:rPr>
          <w:rFonts w:ascii="Times New Roman" w:hAnsi="Times New Roman"/>
          <w:b/>
          <w:bCs/>
          <w:sz w:val="24"/>
          <w:szCs w:val="24"/>
          <w:lang w:val="pt-BR"/>
        </w:rPr>
        <w:t>i</w:t>
      </w:r>
      <w:r w:rsidR="00337D92" w:rsidRPr="00861C29">
        <w:rPr>
          <w:rFonts w:ascii="Times New Roman" w:hAnsi="Times New Roman"/>
          <w:b/>
          <w:bCs/>
          <w:sz w:val="24"/>
          <w:szCs w:val="24"/>
          <w:lang w:val="pt-BR"/>
        </w:rPr>
        <w:t>mpactos negativos e medidas de mitigação e / ou prevenção de impactos negativos do projeto</w:t>
      </w:r>
      <w:bookmarkEnd w:id="49"/>
    </w:p>
    <w:tbl>
      <w:tblPr>
        <w:tblStyle w:val="TableauGrille1Clair-Accentuation61"/>
        <w:tblW w:w="10633" w:type="dxa"/>
        <w:jc w:val="center"/>
        <w:tblLook w:val="04A0" w:firstRow="1" w:lastRow="0" w:firstColumn="1" w:lastColumn="0" w:noHBand="0" w:noVBand="1"/>
      </w:tblPr>
      <w:tblGrid>
        <w:gridCol w:w="1425"/>
        <w:gridCol w:w="3673"/>
        <w:gridCol w:w="5535"/>
      </w:tblGrid>
      <w:tr w:rsidR="00337D92" w:rsidRPr="00861C29" w:rsidTr="008F798F">
        <w:trPr>
          <w:cnfStyle w:val="100000000000" w:firstRow="1" w:lastRow="0" w:firstColumn="0" w:lastColumn="0" w:oddVBand="0" w:evenVBand="0" w:oddHBand="0"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1425" w:type="dxa"/>
            <w:shd w:val="clear" w:color="auto" w:fill="E2EFD9" w:themeFill="accent6" w:themeFillTint="33"/>
            <w:vAlign w:val="center"/>
          </w:tcPr>
          <w:p w:rsidR="00337D92" w:rsidRPr="00861C29" w:rsidRDefault="00337D92" w:rsidP="00337D92">
            <w:pPr>
              <w:autoSpaceDE w:val="0"/>
              <w:autoSpaceDN w:val="0"/>
              <w:adjustRightInd w:val="0"/>
              <w:jc w:val="center"/>
              <w:rPr>
                <w:color w:val="000000" w:themeColor="text1"/>
              </w:rPr>
            </w:pPr>
            <w:r w:rsidRPr="00861C29">
              <w:rPr>
                <w:color w:val="000000" w:themeColor="text1"/>
              </w:rPr>
              <w:t>Atividades</w:t>
            </w:r>
          </w:p>
        </w:tc>
        <w:tc>
          <w:tcPr>
            <w:tcW w:w="3673" w:type="dxa"/>
            <w:shd w:val="clear" w:color="auto" w:fill="E2EFD9" w:themeFill="accent6" w:themeFillTint="33"/>
            <w:vAlign w:val="center"/>
          </w:tcPr>
          <w:p w:rsidR="00337D92" w:rsidRPr="00861C29" w:rsidRDefault="00337D92" w:rsidP="00337D9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61C29">
              <w:rPr>
                <w:color w:val="000000" w:themeColor="text1"/>
              </w:rPr>
              <w:t xml:space="preserve">Potenciais impactos negativos </w:t>
            </w:r>
          </w:p>
        </w:tc>
        <w:tc>
          <w:tcPr>
            <w:tcW w:w="5535" w:type="dxa"/>
            <w:shd w:val="clear" w:color="auto" w:fill="E2EFD9" w:themeFill="accent6" w:themeFillTint="33"/>
            <w:vAlign w:val="center"/>
          </w:tcPr>
          <w:p w:rsidR="00337D92" w:rsidRPr="00861C29" w:rsidRDefault="00337D92" w:rsidP="00337D9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61C29">
              <w:rPr>
                <w:color w:val="000000" w:themeColor="text1"/>
              </w:rPr>
              <w:t>Mitigação e / ou prevenção</w:t>
            </w:r>
          </w:p>
        </w:tc>
      </w:tr>
      <w:tr w:rsidR="00337D92" w:rsidRPr="00861C29" w:rsidTr="008F798F">
        <w:trPr>
          <w:trHeight w:val="53"/>
          <w:jc w:val="center"/>
        </w:trPr>
        <w:tc>
          <w:tcPr>
            <w:cnfStyle w:val="001000000000" w:firstRow="0" w:lastRow="0" w:firstColumn="1" w:lastColumn="0" w:oddVBand="0" w:evenVBand="0" w:oddHBand="0" w:evenHBand="0" w:firstRowFirstColumn="0" w:firstRowLastColumn="0" w:lastRowFirstColumn="0" w:lastRowLastColumn="0"/>
            <w:tcW w:w="1425" w:type="dxa"/>
            <w:vMerge w:val="restart"/>
            <w:shd w:val="clear" w:color="auto" w:fill="E2EFD9" w:themeFill="accent6" w:themeFillTint="33"/>
            <w:vAlign w:val="center"/>
          </w:tcPr>
          <w:p w:rsidR="00337D92" w:rsidRPr="00861C29" w:rsidRDefault="00337D92" w:rsidP="00337D92">
            <w:pPr>
              <w:pStyle w:val="Cabealho6"/>
              <w:numPr>
                <w:ilvl w:val="0"/>
                <w:numId w:val="0"/>
              </w:numPr>
              <w:spacing w:line="240" w:lineRule="auto"/>
              <w:ind w:right="217"/>
              <w:jc w:val="both"/>
              <w:outlineLvl w:val="5"/>
              <w:rPr>
                <w:rFonts w:ascii="Times New Roman" w:hAnsi="Times New Roman"/>
                <w:i w:val="0"/>
                <w:iCs w:val="0"/>
                <w:sz w:val="24"/>
                <w:szCs w:val="24"/>
              </w:rPr>
            </w:pPr>
            <w:r w:rsidRPr="00861C29">
              <w:rPr>
                <w:rFonts w:ascii="Times New Roman" w:hAnsi="Times New Roman"/>
                <w:i w:val="0"/>
                <w:iCs w:val="0"/>
                <w:color w:val="auto"/>
                <w:sz w:val="24"/>
                <w:szCs w:val="24"/>
              </w:rPr>
              <w:t>Apoio à produção agrícola</w:t>
            </w:r>
          </w:p>
          <w:p w:rsidR="00337D92" w:rsidRPr="00861C29" w:rsidRDefault="00337D92" w:rsidP="00337D92">
            <w:pPr>
              <w:spacing w:before="60" w:after="60"/>
              <w:jc w:val="center"/>
              <w:rPr>
                <w:color w:val="000000" w:themeColor="text1"/>
              </w:rPr>
            </w:pPr>
          </w:p>
        </w:tc>
        <w:tc>
          <w:tcPr>
            <w:tcW w:w="9208" w:type="dxa"/>
            <w:gridSpan w:val="2"/>
            <w:shd w:val="clear" w:color="auto" w:fill="DEEAF6" w:themeFill="accent1" w:themeFillTint="33"/>
            <w:vAlign w:val="center"/>
          </w:tcPr>
          <w:p w:rsidR="00337D92" w:rsidRPr="00861C29" w:rsidRDefault="00337D92" w:rsidP="00337D9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61C29">
              <w:rPr>
                <w:b/>
                <w:color w:val="000000" w:themeColor="text1"/>
              </w:rPr>
              <w:t>Em fase de obras</w:t>
            </w:r>
          </w:p>
        </w:tc>
      </w:tr>
      <w:tr w:rsidR="00337D92" w:rsidRPr="002623EB" w:rsidTr="008F798F">
        <w:trPr>
          <w:trHeight w:val="1278"/>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spacing w:before="60" w:after="60"/>
              <w:jc w:val="center"/>
            </w:pPr>
          </w:p>
        </w:tc>
        <w:tc>
          <w:tcPr>
            <w:tcW w:w="3673" w:type="dxa"/>
            <w:shd w:val="clear" w:color="auto" w:fill="auto"/>
          </w:tcPr>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má orientação dos atores envolvidos neste projeto;</w:t>
            </w:r>
          </w:p>
        </w:tc>
        <w:tc>
          <w:tcPr>
            <w:tcW w:w="5535" w:type="dxa"/>
            <w:vMerge w:val="restart"/>
          </w:tcPr>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Envolver os atores envolvidos (serviços técnicos, autoridades, líderes de aldeia, associações) do projeto PUSA nos processos de direcionamento dos beneficiários;</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lastRenderedPageBreak/>
              <w:t>Evit</w:t>
            </w:r>
            <w:r w:rsidR="00353112" w:rsidRPr="00861C29">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politizar as atividades do projeto em nível estadual </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Estabelecer e respeitar os critérios de segmentação e propor medidas de verificação transparentes de conformidade com os critérios</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Organizar dias de informação e conscientização para as partes interessadas, especialmente em nível local,</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Visar melhor as áreas e populações mais vulneráveis;</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Envolv</w:t>
            </w:r>
            <w:r w:rsidR="00150174">
              <w:rPr>
                <w:rFonts w:ascii="Times New Roman" w:hAnsi="Times New Roman"/>
                <w:color w:val="000000" w:themeColor="text1"/>
                <w:sz w:val="24"/>
                <w:szCs w:val="24"/>
                <w:lang w:val="pt-BR"/>
              </w:rPr>
              <w:t>er</w:t>
            </w:r>
            <w:r w:rsidRPr="00861C29">
              <w:rPr>
                <w:rFonts w:ascii="Times New Roman" w:hAnsi="Times New Roman"/>
                <w:color w:val="000000" w:themeColor="text1"/>
                <w:sz w:val="24"/>
                <w:szCs w:val="24"/>
                <w:lang w:val="pt-BR"/>
              </w:rPr>
              <w:t xml:space="preserve"> as mulheres nos procedimentos-alvo</w:t>
            </w:r>
          </w:p>
        </w:tc>
      </w:tr>
      <w:tr w:rsidR="00337D92" w:rsidRPr="002623EB" w:rsidTr="008F798F">
        <w:trPr>
          <w:trHeight w:val="1256"/>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spacing w:before="60" w:after="60"/>
              <w:jc w:val="center"/>
              <w:rPr>
                <w:lang w:val="pt-BR"/>
              </w:rPr>
            </w:pPr>
          </w:p>
        </w:tc>
        <w:tc>
          <w:tcPr>
            <w:tcW w:w="3673" w:type="dxa"/>
            <w:shd w:val="clear" w:color="auto" w:fill="auto"/>
          </w:tcPr>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 risco de falta de equidade e transparência, bem como a discriminação no procedimento de alocação e apoio aos beneficiários pode levar a conflitos sociais que podem comprometer a obtenção dos resultados esperados do projeto.</w:t>
            </w:r>
          </w:p>
        </w:tc>
        <w:tc>
          <w:tcPr>
            <w:tcW w:w="5535" w:type="dxa"/>
            <w:vMerge/>
          </w:tcPr>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p>
        </w:tc>
      </w:tr>
      <w:tr w:rsidR="00337D92" w:rsidRPr="002623EB" w:rsidTr="008F798F">
        <w:trPr>
          <w:trHeight w:val="460"/>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spacing w:before="60" w:after="60"/>
              <w:jc w:val="center"/>
              <w:rPr>
                <w:lang w:val="pt-BR"/>
              </w:rPr>
            </w:pPr>
          </w:p>
        </w:tc>
        <w:tc>
          <w:tcPr>
            <w:tcW w:w="3673" w:type="dxa"/>
            <w:shd w:val="clear" w:color="auto" w:fill="auto"/>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conflito entre os diferentes atores envolvidos no apoio ao projeto;</w:t>
            </w:r>
          </w:p>
        </w:tc>
        <w:tc>
          <w:tcPr>
            <w:tcW w:w="5535" w:type="dxa"/>
          </w:tcPr>
          <w:p w:rsidR="00337D92" w:rsidRPr="00861C29" w:rsidRDefault="00337D92" w:rsidP="00D47C37">
            <w:pPr>
              <w:pStyle w:val="PargrafodaLista"/>
              <w:numPr>
                <w:ilvl w:val="0"/>
                <w:numId w:val="60"/>
              </w:numPr>
              <w:spacing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Assegurar uma boa gestão do projeto envolvendo todos os atores envolvidos sem discriminação e promovendo a transmissão de informação entre eles</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Evit</w:t>
            </w:r>
            <w:r w:rsidR="00150174">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tanto quanto possível, o fenómeno de frustração ao nível dos beneficiários, envolvendo todas as autoridades ao nível local e mantendo os beneficiários informados;</w:t>
            </w:r>
          </w:p>
        </w:tc>
      </w:tr>
      <w:tr w:rsidR="00337D92" w:rsidRPr="002623EB" w:rsidTr="008F798F">
        <w:trPr>
          <w:trHeight w:val="1201"/>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spacing w:before="60" w:after="60"/>
              <w:jc w:val="center"/>
              <w:rPr>
                <w:lang w:val="pt-BR"/>
              </w:rPr>
            </w:pPr>
          </w:p>
        </w:tc>
        <w:tc>
          <w:tcPr>
            <w:tcW w:w="3673" w:type="dxa"/>
            <w:shd w:val="clear" w:color="auto" w:fill="auto"/>
          </w:tcPr>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distribuição de semente, fertilizante ou material ruim;</w:t>
            </w:r>
          </w:p>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atraso na implantação das distribuições de sementes e fertilizantes;</w:t>
            </w:r>
          </w:p>
        </w:tc>
        <w:tc>
          <w:tcPr>
            <w:tcW w:w="5535" w:type="dxa"/>
          </w:tcPr>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Garantir a qualidade das sementes certificadas, bem como defensivos e fertilizantes;</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Envolver os serviços agrícolas;</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Distribuir sementes adaptadas </w:t>
            </w:r>
            <w:r w:rsidR="00972414">
              <w:rPr>
                <w:rFonts w:ascii="Times New Roman" w:hAnsi="Times New Roman"/>
                <w:color w:val="000000" w:themeColor="text1"/>
                <w:sz w:val="24"/>
                <w:szCs w:val="24"/>
                <w:lang w:val="pt-BR"/>
              </w:rPr>
              <w:t>na</w:t>
            </w:r>
            <w:r w:rsidR="00972414" w:rsidRPr="00861C29">
              <w:rPr>
                <w:rFonts w:ascii="Times New Roman" w:hAnsi="Times New Roman"/>
                <w:color w:val="000000" w:themeColor="text1"/>
                <w:sz w:val="24"/>
                <w:szCs w:val="24"/>
                <w:lang w:val="pt-BR"/>
              </w:rPr>
              <w:t xml:space="preserve"> </w:t>
            </w:r>
            <w:r w:rsidRPr="00861C29">
              <w:rPr>
                <w:rFonts w:ascii="Times New Roman" w:hAnsi="Times New Roman"/>
                <w:color w:val="000000" w:themeColor="text1"/>
                <w:sz w:val="24"/>
                <w:szCs w:val="24"/>
                <w:lang w:val="pt-BR"/>
              </w:rPr>
              <w:t>área de intervenção do projeto;</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Garantir a qualidade dos materiais a serem distribuídos;</w:t>
            </w:r>
          </w:p>
        </w:tc>
      </w:tr>
      <w:tr w:rsidR="00337D92" w:rsidRPr="002623EB" w:rsidTr="008F798F">
        <w:trPr>
          <w:trHeight w:val="715"/>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spacing w:before="60" w:after="60"/>
              <w:jc w:val="center"/>
              <w:rPr>
                <w:lang w:val="pt-BR"/>
              </w:rPr>
            </w:pPr>
          </w:p>
        </w:tc>
        <w:tc>
          <w:tcPr>
            <w:tcW w:w="3673" w:type="dxa"/>
            <w:shd w:val="clear" w:color="auto" w:fill="auto"/>
          </w:tcPr>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apropriação indébita dos objetivos do projeto;</w:t>
            </w:r>
          </w:p>
          <w:p w:rsidR="00337D92" w:rsidRPr="00861C29" w:rsidRDefault="00337D92" w:rsidP="00337D92">
            <w:pPr>
              <w:pStyle w:val="PargrafodaLista"/>
              <w:spacing w:line="240" w:lineRule="auto"/>
              <w:ind w:left="151"/>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p>
        </w:tc>
        <w:tc>
          <w:tcPr>
            <w:tcW w:w="5535" w:type="dxa"/>
          </w:tcPr>
          <w:p w:rsidR="00337D92" w:rsidRPr="00861C29" w:rsidRDefault="00337D92" w:rsidP="00D47C37">
            <w:pPr>
              <w:pStyle w:val="PargrafodaLista"/>
              <w:numPr>
                <w:ilvl w:val="0"/>
                <w:numId w:val="60"/>
              </w:numPr>
              <w:spacing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Assegurar a reavaliação do setor produtivo e a comercialização da castanha de caju, principalmente durante o período da pandemia de Covid 19</w:t>
            </w:r>
          </w:p>
          <w:p w:rsidR="00337D92" w:rsidRPr="00861C29" w:rsidRDefault="00337D92" w:rsidP="00D47C37">
            <w:pPr>
              <w:pStyle w:val="PargrafodaLista"/>
              <w:numPr>
                <w:ilvl w:val="0"/>
                <w:numId w:val="60"/>
              </w:numPr>
              <w:spacing w:after="0" w:line="240" w:lineRule="auto"/>
              <w:ind w:left="151" w:right="14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Organizar dias de informação e conscientização para as partes interessadas, especialmente em nível local,</w:t>
            </w:r>
          </w:p>
        </w:tc>
      </w:tr>
      <w:tr w:rsidR="00337D92" w:rsidRPr="002623EB" w:rsidTr="008F798F">
        <w:trPr>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spacing w:before="60" w:after="60"/>
              <w:jc w:val="center"/>
              <w:rPr>
                <w:lang w:val="pt-BR"/>
              </w:rPr>
            </w:pPr>
          </w:p>
        </w:tc>
        <w:tc>
          <w:tcPr>
            <w:tcW w:w="3673" w:type="dxa"/>
            <w:shd w:val="clear" w:color="auto" w:fill="auto"/>
          </w:tcPr>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Risco de abandono de lavouras de alimentos em favor da exploração do cajueiro; </w:t>
            </w:r>
          </w:p>
          <w:p w:rsidR="00337D92" w:rsidRPr="00861C29" w:rsidRDefault="00337D92" w:rsidP="00337D92">
            <w:pPr>
              <w:pStyle w:val="PargrafodaLista"/>
              <w:spacing w:line="240" w:lineRule="auto"/>
              <w:ind w:left="151"/>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p>
        </w:tc>
        <w:tc>
          <w:tcPr>
            <w:tcW w:w="5535" w:type="dxa"/>
          </w:tcPr>
          <w:p w:rsidR="00337D92" w:rsidRPr="00861C29" w:rsidRDefault="00337D92" w:rsidP="00D47C37">
            <w:pPr>
              <w:ind w:right="144"/>
              <w:jc w:val="both"/>
              <w:cnfStyle w:val="000000000000" w:firstRow="0" w:lastRow="0" w:firstColumn="0" w:lastColumn="0" w:oddVBand="0" w:evenVBand="0" w:oddHBand="0" w:evenHBand="0" w:firstRowFirstColumn="0" w:firstRowLastColumn="0" w:lastRowFirstColumn="0" w:lastRowLastColumn="0"/>
              <w:rPr>
                <w:color w:val="000000" w:themeColor="text1"/>
                <w:lang w:val="pt-BR"/>
              </w:rPr>
            </w:pPr>
            <w:r w:rsidRPr="00861C29">
              <w:rPr>
                <w:color w:val="000000" w:themeColor="text1"/>
                <w:lang w:val="pt-BR"/>
              </w:rPr>
              <w:t>- Impulsionar a produção de produtos cerealíferos em áreas com alto índice de insegurança alimentar e / ou esta vulnerabilidade,</w:t>
            </w:r>
          </w:p>
          <w:p w:rsidR="00337D92" w:rsidRPr="00861C29" w:rsidRDefault="00337D92" w:rsidP="00D47C37">
            <w:pPr>
              <w:ind w:right="144"/>
              <w:jc w:val="both"/>
              <w:cnfStyle w:val="000000000000" w:firstRow="0" w:lastRow="0" w:firstColumn="0" w:lastColumn="0" w:oddVBand="0" w:evenVBand="0" w:oddHBand="0" w:evenHBand="0" w:firstRowFirstColumn="0" w:firstRowLastColumn="0" w:lastRowFirstColumn="0" w:lastRowLastColumn="0"/>
              <w:rPr>
                <w:color w:val="000000" w:themeColor="text1"/>
                <w:lang w:val="pt-BR"/>
              </w:rPr>
            </w:pPr>
            <w:r w:rsidRPr="00861C29">
              <w:rPr>
                <w:color w:val="000000" w:themeColor="text1"/>
                <w:lang w:val="pt-BR"/>
              </w:rPr>
              <w:t>-Avaliar as safras de alimentos para ajudar a fortalecer e apoiar o equipamento e o desenvolvimento hidro-agrícola;</w:t>
            </w:r>
          </w:p>
        </w:tc>
      </w:tr>
      <w:tr w:rsidR="00337D92" w:rsidRPr="002623EB" w:rsidTr="008F798F">
        <w:trPr>
          <w:trHeight w:val="881"/>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spacing w:before="60" w:after="60"/>
              <w:jc w:val="center"/>
              <w:rPr>
                <w:lang w:val="pt-BR"/>
              </w:rPr>
            </w:pPr>
          </w:p>
        </w:tc>
        <w:tc>
          <w:tcPr>
            <w:tcW w:w="3673" w:type="dxa"/>
            <w:shd w:val="clear" w:color="auto" w:fill="auto"/>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propagação da pandemia Covid-19;</w:t>
            </w:r>
          </w:p>
          <w:p w:rsidR="00337D92" w:rsidRPr="00861C29" w:rsidRDefault="00337D92" w:rsidP="00337D92">
            <w:pPr>
              <w:pStyle w:val="PargrafodaLista"/>
              <w:spacing w:after="0" w:line="240" w:lineRule="auto"/>
              <w:ind w:left="151"/>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p>
        </w:tc>
        <w:tc>
          <w:tcPr>
            <w:tcW w:w="5535" w:type="dxa"/>
          </w:tcPr>
          <w:p w:rsidR="00337D92" w:rsidRPr="00861C29" w:rsidRDefault="00337D92" w:rsidP="00337D92">
            <w:pPr>
              <w:spacing w:line="271" w:lineRule="auto"/>
              <w:cnfStyle w:val="000000000000" w:firstRow="0" w:lastRow="0" w:firstColumn="0" w:lastColumn="0" w:oddVBand="0" w:evenVBand="0" w:oddHBand="0" w:evenHBand="0" w:firstRowFirstColumn="0" w:firstRowLastColumn="0" w:lastRowFirstColumn="0" w:lastRowLastColumn="0"/>
              <w:rPr>
                <w:lang w:val="pt-BR"/>
              </w:rPr>
            </w:pPr>
            <w:r w:rsidRPr="00861C29">
              <w:rPr>
                <w:lang w:val="pt-BR"/>
              </w:rPr>
              <w:t>- Organizar campanhas de conscientização contra COVID 19;</w:t>
            </w:r>
          </w:p>
          <w:p w:rsidR="00337D92" w:rsidRPr="00861C29" w:rsidRDefault="00337D92" w:rsidP="00337D92">
            <w:pPr>
              <w:spacing w:line="271" w:lineRule="auto"/>
              <w:cnfStyle w:val="000000000000" w:firstRow="0" w:lastRow="0" w:firstColumn="0" w:lastColumn="0" w:oddVBand="0" w:evenVBand="0" w:oddHBand="0" w:evenHBand="0" w:firstRowFirstColumn="0" w:firstRowLastColumn="0" w:lastRowFirstColumn="0" w:lastRowLastColumn="0"/>
              <w:rPr>
                <w:lang w:val="pt-BR"/>
              </w:rPr>
            </w:pPr>
            <w:r w:rsidRPr="00861C29">
              <w:rPr>
                <w:lang w:val="pt-BR"/>
              </w:rPr>
              <w:t>- Exigir o uso de máscara obrigatória;</w:t>
            </w:r>
          </w:p>
          <w:p w:rsidR="00337D92" w:rsidRPr="00861C29" w:rsidRDefault="00337D92" w:rsidP="00337D92">
            <w:pPr>
              <w:spacing w:line="271" w:lineRule="auto"/>
              <w:cnfStyle w:val="000000000000" w:firstRow="0" w:lastRow="0" w:firstColumn="0" w:lastColumn="0" w:oddVBand="0" w:evenVBand="0" w:oddHBand="0" w:evenHBand="0" w:firstRowFirstColumn="0" w:firstRowLastColumn="0" w:lastRowFirstColumn="0" w:lastRowLastColumn="0"/>
              <w:rPr>
                <w:lang w:val="pt-BR"/>
              </w:rPr>
            </w:pPr>
            <w:r w:rsidRPr="00861C29">
              <w:rPr>
                <w:lang w:val="pt-BR"/>
              </w:rPr>
              <w:t>- Distribuir máscaras protetoras e géis anti-sépticos;</w:t>
            </w:r>
          </w:p>
          <w:p w:rsidR="008F798F" w:rsidRPr="00861C29" w:rsidRDefault="00337D92" w:rsidP="00337D92">
            <w:pPr>
              <w:spacing w:line="271" w:lineRule="auto"/>
              <w:cnfStyle w:val="000000000000" w:firstRow="0" w:lastRow="0" w:firstColumn="0" w:lastColumn="0" w:oddVBand="0" w:evenVBand="0" w:oddHBand="0" w:evenHBand="0" w:firstRowFirstColumn="0" w:firstRowLastColumn="0" w:lastRowFirstColumn="0" w:lastRowLastColumn="0"/>
              <w:rPr>
                <w:lang w:val="pt-BR"/>
              </w:rPr>
            </w:pPr>
            <w:r w:rsidRPr="00861C29">
              <w:rPr>
                <w:lang w:val="pt-BR"/>
              </w:rPr>
              <w:t>-Configurar pictogramas de conscientização contra Covid 19;</w:t>
            </w:r>
          </w:p>
        </w:tc>
      </w:tr>
      <w:tr w:rsidR="00337D92" w:rsidRPr="00861C29" w:rsidTr="008F798F">
        <w:trPr>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pStyle w:val="PargrafodaLista"/>
              <w:spacing w:line="240" w:lineRule="auto"/>
              <w:jc w:val="center"/>
              <w:rPr>
                <w:rFonts w:ascii="Times New Roman" w:hAnsi="Times New Roman"/>
                <w:color w:val="000000" w:themeColor="text1"/>
                <w:sz w:val="24"/>
                <w:szCs w:val="24"/>
                <w:lang w:val="pt-BR"/>
              </w:rPr>
            </w:pPr>
          </w:p>
        </w:tc>
        <w:tc>
          <w:tcPr>
            <w:tcW w:w="9208" w:type="dxa"/>
            <w:gridSpan w:val="2"/>
            <w:shd w:val="clear" w:color="auto" w:fill="DEEAF6" w:themeFill="accent1" w:themeFillTint="33"/>
          </w:tcPr>
          <w:p w:rsidR="00337D92" w:rsidRPr="00861C29" w:rsidRDefault="00337D92" w:rsidP="00337D9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61C29">
              <w:rPr>
                <w:b/>
                <w:color w:val="000000" w:themeColor="text1"/>
              </w:rPr>
              <w:t xml:space="preserve">Em fase operacional </w:t>
            </w:r>
          </w:p>
        </w:tc>
      </w:tr>
      <w:tr w:rsidR="00337D92" w:rsidRPr="002623EB" w:rsidTr="008F798F">
        <w:trPr>
          <w:trHeight w:val="200"/>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pStyle w:val="PargrafodaLista"/>
              <w:spacing w:line="240" w:lineRule="auto"/>
              <w:jc w:val="center"/>
              <w:rPr>
                <w:rFonts w:ascii="Times New Roman" w:hAnsi="Times New Roman"/>
                <w:color w:val="000000" w:themeColor="text1"/>
                <w:sz w:val="24"/>
                <w:szCs w:val="24"/>
              </w:rPr>
            </w:pPr>
          </w:p>
        </w:tc>
        <w:tc>
          <w:tcPr>
            <w:tcW w:w="3673" w:type="dxa"/>
            <w:shd w:val="clear" w:color="auto" w:fill="FFFFFF" w:themeFill="background1"/>
          </w:tcPr>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O risco de poluição da água nas áreas de intervenção do projeto pode ser observado devido ao uso </w:t>
            </w:r>
            <w:r w:rsidRPr="00861C29">
              <w:rPr>
                <w:rFonts w:ascii="Times New Roman" w:hAnsi="Times New Roman"/>
                <w:color w:val="000000" w:themeColor="text1"/>
                <w:sz w:val="24"/>
                <w:szCs w:val="24"/>
                <w:lang w:val="pt-BR"/>
              </w:rPr>
              <w:lastRenderedPageBreak/>
              <w:t>irracional de fertilizantes e pesticidas.</w:t>
            </w:r>
          </w:p>
        </w:tc>
        <w:tc>
          <w:tcPr>
            <w:tcW w:w="5535" w:type="dxa"/>
            <w:vMerge w:val="restart"/>
            <w:shd w:val="clear" w:color="auto" w:fill="FFFFFF" w:themeFill="background1"/>
            <w:vAlign w:val="center"/>
          </w:tcPr>
          <w:p w:rsidR="00337D92" w:rsidRPr="00861C29" w:rsidRDefault="00337D92" w:rsidP="00337D92">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lang w:val="pt-BR"/>
              </w:rPr>
            </w:pPr>
            <w:r w:rsidRPr="00861C29">
              <w:rPr>
                <w:color w:val="000000" w:themeColor="text1"/>
                <w:lang w:val="pt-BR"/>
              </w:rPr>
              <w:lastRenderedPageBreak/>
              <w:t>- Sensibilizar o público para os riscos de acidentes e riscos para a saúde devido ao uso de pesticidas;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Estabelecer um plano de manejo integrado de pragas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lastRenderedPageBreak/>
              <w:t>Eliminação de pesticidas obsoletos;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Organizar dias de conscientização contra riscos ou perigos com o uso de agrotóxicos e fertilizantes;</w:t>
            </w:r>
          </w:p>
          <w:p w:rsidR="00337D92" w:rsidRPr="00861C29" w:rsidRDefault="00972414"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Pr>
                <w:rFonts w:ascii="Times New Roman" w:hAnsi="Times New Roman"/>
                <w:color w:val="000000" w:themeColor="text1"/>
                <w:sz w:val="24"/>
                <w:szCs w:val="24"/>
                <w:lang w:val="pt-BR"/>
              </w:rPr>
              <w:t>Formação</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em manejo integrado de agrotóxicos;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Respeit</w:t>
            </w:r>
            <w:r w:rsidR="00972414">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as doses prescritas de agrotóxicos;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Promoção do uso de adubo orgânico;</w:t>
            </w:r>
          </w:p>
          <w:p w:rsidR="00337D92" w:rsidRPr="00861C29" w:rsidRDefault="00972414"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Pr>
                <w:rFonts w:ascii="Times New Roman" w:hAnsi="Times New Roman"/>
                <w:color w:val="000000" w:themeColor="text1"/>
                <w:sz w:val="24"/>
                <w:szCs w:val="24"/>
                <w:lang w:val="pt-BR"/>
              </w:rPr>
              <w:t>Instalar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um bom sistema de drenagem de água nos arrozais;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Reforçar em EPIs para agricultura;</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Garantir a saúde da agricultura nas áreas afetadas pelo projeto;</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Assegurar o uso de pesticidas e fertilizantes certificados e aprovados;</w:t>
            </w:r>
          </w:p>
        </w:tc>
      </w:tr>
      <w:tr w:rsidR="00337D92" w:rsidRPr="002623EB" w:rsidTr="008F798F">
        <w:trPr>
          <w:trHeight w:val="694"/>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pStyle w:val="PargrafodaLista"/>
              <w:spacing w:line="240" w:lineRule="auto"/>
              <w:jc w:val="center"/>
              <w:rPr>
                <w:rFonts w:ascii="Times New Roman" w:hAnsi="Times New Roman"/>
                <w:color w:val="000000" w:themeColor="text1"/>
                <w:sz w:val="24"/>
                <w:szCs w:val="24"/>
                <w:lang w:val="pt-BR"/>
              </w:rPr>
            </w:pPr>
          </w:p>
        </w:tc>
        <w:tc>
          <w:tcPr>
            <w:tcW w:w="3673" w:type="dxa"/>
            <w:shd w:val="clear" w:color="auto" w:fill="FFFFFF" w:themeFill="background1"/>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Esses usos de fertilizantes e pesticidas podem causar danos ao meio ambiente (degradação da fertilidade do solo) e à saúde das populações.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 intensificação do cultivo pode levar ao aumento da utilização de pesticidas, daí o risco de desenvolvimento de doenças relacionadas com a água (Malária, Bilharzia, doenças diarreicas, doenças de pele, etc.);</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aparecimento e / ou proliferação de plantas aquáticas invasoras (tifas, arroz silvestre, etc.) modificando a hidraulicidade dos cursos d'água devido ao uso irracional de fertilizantes e pesticidas.</w:t>
            </w:r>
          </w:p>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poluição do solo, das águas superficiais e subterrâneas por pragas e pesticidas;</w:t>
            </w:r>
          </w:p>
        </w:tc>
        <w:tc>
          <w:tcPr>
            <w:tcW w:w="5535" w:type="dxa"/>
            <w:vMerge/>
            <w:shd w:val="clear" w:color="auto" w:fill="FFFFFF" w:themeFill="background1"/>
            <w:vAlign w:val="center"/>
          </w:tcPr>
          <w:p w:rsidR="00337D92" w:rsidRPr="00861C29" w:rsidRDefault="00337D92" w:rsidP="00337D9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pt-BR"/>
              </w:rPr>
            </w:pPr>
          </w:p>
        </w:tc>
      </w:tr>
      <w:tr w:rsidR="00337D92" w:rsidRPr="002623EB" w:rsidTr="008F798F">
        <w:trPr>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pStyle w:val="PargrafodaLista"/>
              <w:spacing w:line="240" w:lineRule="auto"/>
              <w:jc w:val="center"/>
              <w:rPr>
                <w:rFonts w:ascii="Times New Roman" w:hAnsi="Times New Roman"/>
                <w:color w:val="000000" w:themeColor="text1"/>
                <w:sz w:val="24"/>
                <w:szCs w:val="24"/>
                <w:lang w:val="pt-BR"/>
              </w:rPr>
            </w:pPr>
          </w:p>
        </w:tc>
        <w:tc>
          <w:tcPr>
            <w:tcW w:w="3673" w:type="dxa"/>
            <w:shd w:val="clear" w:color="auto" w:fill="FFFFFF" w:themeFill="background1"/>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 risco de derrubada de árvores durante o trabalho de desenvolvimento do perímetro (agrícola ou arrozal) pode reduzir os recursos florestais.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 intensificação das safras (como o caju) pode acelerar esse fenômeno de desmatamento nas áreas de intervenção do projeto;</w:t>
            </w:r>
          </w:p>
          <w:p w:rsidR="00337D92" w:rsidRPr="00861C29" w:rsidRDefault="00337D92" w:rsidP="00337D92">
            <w:pPr>
              <w:pStyle w:val="PargrafodaLista"/>
              <w:spacing w:line="240" w:lineRule="auto"/>
              <w:ind w:left="151"/>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p>
        </w:tc>
        <w:tc>
          <w:tcPr>
            <w:tcW w:w="5535" w:type="dxa"/>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Desmatar apenas áreas a serem desenvolvidas para extensão do cultivo de arroz nas áreas de intervenção do PUSA</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 Manter o equilíbrio dos ecossistemas nas áreas de cultivo de arroz;</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Evit</w:t>
            </w:r>
            <w:r w:rsidR="0005535B">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CE48F2">
              <w:rPr>
                <w:rFonts w:ascii="Times New Roman" w:hAnsi="Times New Roman"/>
                <w:color w:val="000000" w:themeColor="text1"/>
                <w:sz w:val="24"/>
                <w:szCs w:val="24"/>
                <w:lang w:val="pt-BR"/>
              </w:rPr>
              <w:t>corte de</w:t>
            </w:r>
            <w:r w:rsidR="0005535B" w:rsidRPr="00861C29">
              <w:rPr>
                <w:rFonts w:ascii="Times New Roman" w:hAnsi="Times New Roman"/>
                <w:color w:val="000000" w:themeColor="text1"/>
                <w:sz w:val="24"/>
                <w:szCs w:val="24"/>
                <w:lang w:val="pt-BR"/>
              </w:rPr>
              <w:t xml:space="preserve"> </w:t>
            </w:r>
            <w:r w:rsidRPr="00861C29">
              <w:rPr>
                <w:rFonts w:ascii="Times New Roman" w:hAnsi="Times New Roman"/>
                <w:color w:val="000000" w:themeColor="text1"/>
                <w:sz w:val="24"/>
                <w:szCs w:val="24"/>
                <w:lang w:val="pt-BR"/>
              </w:rPr>
              <w:t>árvores sem permissão tanto quanto possível;</w:t>
            </w:r>
          </w:p>
          <w:p w:rsidR="00337D92" w:rsidRPr="00861C29" w:rsidRDefault="003F5943"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Pr>
                <w:rFonts w:ascii="Times New Roman" w:hAnsi="Times New Roman"/>
                <w:color w:val="000000" w:themeColor="text1"/>
                <w:sz w:val="24"/>
                <w:szCs w:val="24"/>
                <w:lang w:val="pt-BR"/>
              </w:rPr>
              <w:t>Solicitar</w:t>
            </w:r>
            <w:r w:rsidR="00337D92" w:rsidRPr="00861C29">
              <w:rPr>
                <w:rFonts w:ascii="Times New Roman" w:hAnsi="Times New Roman"/>
                <w:color w:val="000000" w:themeColor="text1"/>
                <w:sz w:val="24"/>
                <w:szCs w:val="24"/>
                <w:lang w:val="pt-BR"/>
              </w:rPr>
              <w:t xml:space="preserve"> utorizações especiais aos Serviços de Águas e Florestas;</w:t>
            </w:r>
          </w:p>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Estabelecer memorando de entendimento para reflorestamento compensatório;</w:t>
            </w:r>
          </w:p>
        </w:tc>
      </w:tr>
      <w:tr w:rsidR="00337D92" w:rsidRPr="002623EB" w:rsidTr="008F798F">
        <w:trPr>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pStyle w:val="PargrafodaLista"/>
              <w:spacing w:line="240" w:lineRule="auto"/>
              <w:jc w:val="center"/>
              <w:rPr>
                <w:rFonts w:ascii="Times New Roman" w:hAnsi="Times New Roman"/>
                <w:color w:val="000000" w:themeColor="text1"/>
                <w:sz w:val="24"/>
                <w:szCs w:val="24"/>
                <w:lang w:val="pt-BR"/>
              </w:rPr>
            </w:pPr>
          </w:p>
        </w:tc>
        <w:tc>
          <w:tcPr>
            <w:tcW w:w="3673" w:type="dxa"/>
            <w:shd w:val="clear" w:color="auto" w:fill="FFFFFF" w:themeFill="background1"/>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 desenvolvimento de perímetros agrícolas também pode levar à perda de pastagens e pode estar na origem de conflitos entre pastores e agricultores.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degradação de corredores de pastagem</w:t>
            </w:r>
          </w:p>
        </w:tc>
        <w:tc>
          <w:tcPr>
            <w:tcW w:w="5535" w:type="dxa"/>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Organizar dias de informação e conscientização sobre a necessidade dessas instalações, mas também orientar os criadores em outras áreas;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Permit</w:t>
            </w:r>
            <w:r w:rsidR="003F5943">
              <w:rPr>
                <w:rFonts w:ascii="Times New Roman" w:hAnsi="Times New Roman"/>
                <w:color w:val="000000" w:themeColor="text1"/>
                <w:sz w:val="24"/>
                <w:szCs w:val="24"/>
                <w:lang w:val="pt-BR"/>
              </w:rPr>
              <w:t>ir</w:t>
            </w:r>
            <w:r w:rsidRPr="00861C29">
              <w:rPr>
                <w:rFonts w:ascii="Times New Roman" w:hAnsi="Times New Roman"/>
                <w:color w:val="000000" w:themeColor="text1"/>
                <w:sz w:val="24"/>
                <w:szCs w:val="24"/>
                <w:lang w:val="pt-BR"/>
              </w:rPr>
              <w:t xml:space="preserve"> que os eleitores acessem o perímetro agrícola após a colheita;</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Se possível, </w:t>
            </w:r>
            <w:r w:rsidR="003F5943">
              <w:rPr>
                <w:rFonts w:ascii="Times New Roman" w:hAnsi="Times New Roman"/>
                <w:color w:val="000000" w:themeColor="text1"/>
                <w:sz w:val="24"/>
                <w:szCs w:val="24"/>
                <w:lang w:val="pt-BR"/>
              </w:rPr>
              <w:t xml:space="preserve">estabelecer </w:t>
            </w:r>
            <w:r w:rsidR="0051061F">
              <w:rPr>
                <w:rFonts w:ascii="Times New Roman" w:hAnsi="Times New Roman"/>
                <w:color w:val="000000" w:themeColor="text1"/>
                <w:sz w:val="24"/>
                <w:szCs w:val="24"/>
                <w:lang w:val="pt-BR"/>
              </w:rPr>
              <w:t>cultivos</w:t>
            </w:r>
            <w:r w:rsidRPr="00861C29">
              <w:rPr>
                <w:rFonts w:ascii="Times New Roman" w:hAnsi="Times New Roman"/>
                <w:color w:val="000000" w:themeColor="text1"/>
                <w:sz w:val="24"/>
                <w:szCs w:val="24"/>
                <w:lang w:val="pt-BR"/>
              </w:rPr>
              <w:t>agro pastorais;</w:t>
            </w:r>
          </w:p>
        </w:tc>
      </w:tr>
      <w:tr w:rsidR="00337D92" w:rsidRPr="002623EB" w:rsidTr="008F798F">
        <w:trPr>
          <w:trHeight w:val="600"/>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pStyle w:val="PargrafodaLista"/>
              <w:spacing w:line="240" w:lineRule="auto"/>
              <w:jc w:val="center"/>
              <w:rPr>
                <w:rFonts w:ascii="Times New Roman" w:hAnsi="Times New Roman"/>
                <w:color w:val="000000" w:themeColor="text1"/>
                <w:sz w:val="24"/>
                <w:szCs w:val="24"/>
                <w:lang w:val="pt-BR"/>
              </w:rPr>
            </w:pPr>
          </w:p>
        </w:tc>
        <w:tc>
          <w:tcPr>
            <w:tcW w:w="3673" w:type="dxa"/>
            <w:shd w:val="clear" w:color="auto" w:fill="FFFFFF" w:themeFill="background1"/>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poluição e eutrofização da água (riachos) e do solo pela água de drenagem, levando também à deterioração das condições de vida dos peixes e outras espécies aquáticas;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Risco de inundação de perímetros </w:t>
            </w:r>
            <w:r w:rsidRPr="00861C29">
              <w:rPr>
                <w:rFonts w:ascii="Times New Roman" w:hAnsi="Times New Roman"/>
                <w:color w:val="000000" w:themeColor="text1"/>
                <w:sz w:val="24"/>
                <w:szCs w:val="24"/>
                <w:lang w:val="pt-BR"/>
              </w:rPr>
              <w:lastRenderedPageBreak/>
              <w:t>agrícolas;</w:t>
            </w:r>
          </w:p>
        </w:tc>
        <w:tc>
          <w:tcPr>
            <w:tcW w:w="5535" w:type="dxa"/>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lastRenderedPageBreak/>
              <w:t>Implantar um bom sistema de drenagem para promover a transparência hidrológica;</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Conscientização das partes interessadas</w:t>
            </w:r>
            <w:r w:rsidRPr="00861C29">
              <w:rPr>
                <w:rFonts w:ascii="Times New Roman" w:eastAsia="MS Mincho" w:hAnsi="Times New Roman"/>
                <w:color w:val="000000" w:themeColor="text1"/>
                <w:sz w:val="24"/>
                <w:szCs w:val="24"/>
                <w:lang w:val="pt-BR"/>
              </w:rPr>
              <w:t xml:space="preserve"> </w:t>
            </w:r>
            <w:r w:rsidRPr="00861C29">
              <w:rPr>
                <w:rFonts w:ascii="Times New Roman" w:hAnsi="Times New Roman"/>
                <w:color w:val="000000" w:themeColor="text1"/>
                <w:sz w:val="24"/>
                <w:szCs w:val="24"/>
                <w:lang w:val="pt-BR"/>
              </w:rPr>
              <w:t xml:space="preserve">Proteção de pontos de água </w:t>
            </w:r>
          </w:p>
          <w:p w:rsidR="00337D92" w:rsidRPr="00861C29" w:rsidRDefault="009D363F"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Colo</w:t>
            </w:r>
            <w:r>
              <w:rPr>
                <w:rFonts w:ascii="Times New Roman" w:hAnsi="Times New Roman"/>
                <w:color w:val="000000" w:themeColor="text1"/>
                <w:sz w:val="24"/>
                <w:szCs w:val="24"/>
                <w:lang w:val="pt-BR"/>
              </w:rPr>
              <w:t>car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diques de retenção de água nos vales,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Assegurar o desenvolvimento dos arrozais para evitar fenômenos de inundação;</w:t>
            </w:r>
          </w:p>
          <w:p w:rsidR="00337D92" w:rsidRPr="00861C29" w:rsidRDefault="009D363F"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lastRenderedPageBreak/>
              <w:t>Evit</w:t>
            </w:r>
            <w:r>
              <w:rPr>
                <w:rFonts w:ascii="Times New Roman" w:hAnsi="Times New Roman"/>
                <w:color w:val="000000" w:themeColor="text1"/>
                <w:sz w:val="24"/>
                <w:szCs w:val="24"/>
                <w:lang w:val="pt-BR"/>
              </w:rPr>
              <w:t>ar</w:t>
            </w:r>
            <w:r w:rsidR="00337D92" w:rsidRPr="00861C29">
              <w:rPr>
                <w:rFonts w:ascii="Times New Roman" w:hAnsi="Times New Roman"/>
                <w:color w:val="000000" w:themeColor="text1"/>
                <w:sz w:val="24"/>
                <w:szCs w:val="24"/>
                <w:lang w:val="pt-BR"/>
              </w:rPr>
              <w:t>, tanto quanto possível, que a água carregada de poluentes acabe em cursos d'água ou rios;</w:t>
            </w:r>
          </w:p>
        </w:tc>
      </w:tr>
      <w:tr w:rsidR="00337D92" w:rsidRPr="002623EB" w:rsidTr="008F798F">
        <w:trPr>
          <w:trHeight w:val="78"/>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pStyle w:val="PargrafodaLista"/>
              <w:spacing w:line="240" w:lineRule="auto"/>
              <w:jc w:val="center"/>
              <w:rPr>
                <w:rFonts w:ascii="Times New Roman" w:hAnsi="Times New Roman"/>
                <w:color w:val="000000" w:themeColor="text1"/>
                <w:sz w:val="24"/>
                <w:szCs w:val="24"/>
                <w:lang w:val="pt-BR"/>
              </w:rPr>
            </w:pPr>
          </w:p>
        </w:tc>
        <w:tc>
          <w:tcPr>
            <w:tcW w:w="3673" w:type="dxa"/>
            <w:shd w:val="clear" w:color="auto" w:fill="FFFFFF" w:themeFill="background1"/>
          </w:tcPr>
          <w:p w:rsidR="00337D92" w:rsidRPr="00861C29" w:rsidRDefault="00337D92" w:rsidP="004977FF">
            <w:pPr>
              <w:numPr>
                <w:ilvl w:val="0"/>
                <w:numId w:val="60"/>
              </w:numPr>
              <w:ind w:left="151" w:hanging="142"/>
              <w:jc w:val="both"/>
              <w:cnfStyle w:val="000000000000" w:firstRow="0" w:lastRow="0" w:firstColumn="0" w:lastColumn="0" w:oddVBand="0" w:evenVBand="0" w:oddHBand="0" w:evenHBand="0" w:firstRowFirstColumn="0" w:firstRowLastColumn="0" w:lastRowFirstColumn="0" w:lastRowLastColumn="0"/>
              <w:rPr>
                <w:color w:val="000000" w:themeColor="text1"/>
                <w:lang w:val="pt-BR"/>
              </w:rPr>
            </w:pPr>
            <w:r w:rsidRPr="00861C29">
              <w:rPr>
                <w:color w:val="000000" w:themeColor="text1"/>
                <w:lang w:val="pt-BR"/>
              </w:rPr>
              <w:t>Risco de proliferação de DST / HIV / AIDS e disseminação da Covid 19 devido à atração de populações estrangeiras;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p>
        </w:tc>
        <w:tc>
          <w:tcPr>
            <w:tcW w:w="5535" w:type="dxa"/>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Organizar campanhas de conscientização contra a AIDS;</w:t>
            </w:r>
          </w:p>
          <w:p w:rsidR="00337D92" w:rsidRPr="00861C29" w:rsidRDefault="009D363F" w:rsidP="004977FF">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 xml:space="preserve">campanhas de conscientização contra COVID 19 </w:t>
            </w:r>
          </w:p>
          <w:p w:rsidR="00337D92" w:rsidRPr="00861C29" w:rsidRDefault="00337D92" w:rsidP="004977FF">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 Exigir o uso de máscara obrigatória;</w:t>
            </w:r>
          </w:p>
          <w:p w:rsidR="00337D92" w:rsidRPr="00861C29" w:rsidRDefault="00337D92" w:rsidP="004977FF">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61C29">
              <w:rPr>
                <w:rFonts w:ascii="Times New Roman" w:hAnsi="Times New Roman"/>
                <w:color w:val="000000" w:themeColor="text1"/>
                <w:sz w:val="24"/>
                <w:szCs w:val="24"/>
              </w:rPr>
              <w:t>Distribuir preservativos;</w:t>
            </w:r>
          </w:p>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Distribuir máscaras protetoras e géis anti-sépticos;</w:t>
            </w:r>
          </w:p>
          <w:p w:rsidR="00337D92" w:rsidRPr="00861C29" w:rsidRDefault="009D363F"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Colo</w:t>
            </w:r>
            <w:r>
              <w:rPr>
                <w:rFonts w:ascii="Times New Roman" w:hAnsi="Times New Roman"/>
                <w:color w:val="000000" w:themeColor="text1"/>
                <w:sz w:val="24"/>
                <w:szCs w:val="24"/>
                <w:lang w:val="pt-BR"/>
              </w:rPr>
              <w:t>car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 xml:space="preserve">pictogramas para lembrá-lo das medidas de barreira; </w:t>
            </w:r>
          </w:p>
        </w:tc>
      </w:tr>
      <w:tr w:rsidR="00337D92" w:rsidRPr="002623EB" w:rsidTr="008F798F">
        <w:trPr>
          <w:trHeight w:val="1522"/>
          <w:jc w:val="center"/>
        </w:trPr>
        <w:tc>
          <w:tcPr>
            <w:cnfStyle w:val="001000000000" w:firstRow="0" w:lastRow="0" w:firstColumn="1" w:lastColumn="0" w:oddVBand="0" w:evenVBand="0" w:oddHBand="0" w:evenHBand="0" w:firstRowFirstColumn="0" w:firstRowLastColumn="0" w:lastRowFirstColumn="0" w:lastRowLastColumn="0"/>
            <w:tcW w:w="1425" w:type="dxa"/>
            <w:vMerge/>
            <w:shd w:val="clear" w:color="auto" w:fill="E2EFD9" w:themeFill="accent6" w:themeFillTint="33"/>
            <w:vAlign w:val="center"/>
          </w:tcPr>
          <w:p w:rsidR="00337D92" w:rsidRPr="00861C29" w:rsidRDefault="00337D92" w:rsidP="00337D92">
            <w:pPr>
              <w:pStyle w:val="PargrafodaLista"/>
              <w:spacing w:line="240" w:lineRule="auto"/>
              <w:jc w:val="center"/>
              <w:rPr>
                <w:rFonts w:ascii="Times New Roman" w:hAnsi="Times New Roman"/>
                <w:color w:val="000000" w:themeColor="text1"/>
                <w:sz w:val="24"/>
                <w:szCs w:val="24"/>
                <w:lang w:val="pt-BR"/>
              </w:rPr>
            </w:pPr>
          </w:p>
        </w:tc>
        <w:tc>
          <w:tcPr>
            <w:tcW w:w="3673" w:type="dxa"/>
            <w:shd w:val="clear" w:color="auto" w:fill="FFFFFF" w:themeFill="background1"/>
          </w:tcPr>
          <w:p w:rsidR="00337D92" w:rsidRPr="00861C29" w:rsidRDefault="00337D92" w:rsidP="004977FF">
            <w:pPr>
              <w:numPr>
                <w:ilvl w:val="0"/>
                <w:numId w:val="60"/>
              </w:numPr>
              <w:ind w:left="151" w:hanging="142"/>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861C29">
              <w:t>Riscos EAS / HS</w:t>
            </w:r>
          </w:p>
        </w:tc>
        <w:tc>
          <w:tcPr>
            <w:tcW w:w="5535" w:type="dxa"/>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Programas de apoio integrando a mobilização da comunidade sobre a VBG;</w:t>
            </w:r>
          </w:p>
          <w:p w:rsidR="00337D92" w:rsidRPr="00861C29" w:rsidRDefault="00337D92" w:rsidP="004977FF">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Apoiar atividades com ampla representação da comunidade de base;</w:t>
            </w:r>
          </w:p>
          <w:p w:rsidR="00337D92" w:rsidRPr="00861C29" w:rsidRDefault="00337D92" w:rsidP="004977FF">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Luta contra todos os tipos de discriminação contra as mulheres ou pessoas com deficiência;</w:t>
            </w:r>
          </w:p>
          <w:p w:rsidR="00337D92" w:rsidRPr="00861C29" w:rsidRDefault="009D363F" w:rsidP="004977FF">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 xml:space="preserve">dias de conscientização e informação </w:t>
            </w:r>
          </w:p>
          <w:p w:rsidR="00337D92" w:rsidRPr="00861C29" w:rsidRDefault="00337D92" w:rsidP="004977FF">
            <w:pPr>
              <w:pStyle w:val="PargrafodaLista"/>
              <w:numPr>
                <w:ilvl w:val="0"/>
                <w:numId w:val="60"/>
              </w:numPr>
              <w:spacing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sz w:val="24"/>
                <w:szCs w:val="24"/>
                <w:lang w:val="pt-BR"/>
              </w:rPr>
              <w:t>Conscientização dos trabalhadores e da comunidade sobre os riscos da VBG, incluindo EAS / HS e suas consequências, bem como comportamentos proibidos dos trabalhadores em relação à comunidade e mecanismos para lidar com reclamações sensíveis a EAS / HS</w:t>
            </w:r>
          </w:p>
          <w:p w:rsidR="00337D92" w:rsidRPr="00861C29" w:rsidRDefault="00337D92" w:rsidP="004977FF">
            <w:pPr>
              <w:pStyle w:val="PargrafodaLista"/>
              <w:numPr>
                <w:ilvl w:val="0"/>
                <w:numId w:val="60"/>
              </w:numPr>
              <w:spacing w:after="0" w:line="240" w:lineRule="auto"/>
              <w:ind w:left="151" w:hanging="1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Medidas de mitigação, como código de conduta que proíbe EAS / HS (com sanções) para a equipe do projeto, incluindo a conscientização da equipe da PMU, PGMs sensíveis EAS / HS disponibilizados pelo projeto. Bem como serviços de apoio para sobreviventes em potencial, se aplicável nas áreas de intervenção do projeto.</w:t>
            </w:r>
          </w:p>
        </w:tc>
      </w:tr>
      <w:tr w:rsidR="00337D92" w:rsidRPr="002623EB" w:rsidTr="008F798F">
        <w:trPr>
          <w:trHeight w:val="552"/>
          <w:jc w:val="center"/>
        </w:trPr>
        <w:tc>
          <w:tcPr>
            <w:cnfStyle w:val="001000000000" w:firstRow="0" w:lastRow="0" w:firstColumn="1" w:lastColumn="0" w:oddVBand="0" w:evenVBand="0" w:oddHBand="0" w:evenHBand="0" w:firstRowFirstColumn="0" w:firstRowLastColumn="0" w:lastRowFirstColumn="0" w:lastRowLastColumn="0"/>
            <w:tcW w:w="1425" w:type="dxa"/>
            <w:vMerge/>
            <w:vAlign w:val="center"/>
          </w:tcPr>
          <w:p w:rsidR="00337D92" w:rsidRPr="00861C29" w:rsidRDefault="00337D92" w:rsidP="00337D92">
            <w:pPr>
              <w:pStyle w:val="PargrafodaLista"/>
              <w:spacing w:line="240" w:lineRule="auto"/>
              <w:jc w:val="center"/>
              <w:rPr>
                <w:rFonts w:ascii="Times New Roman" w:hAnsi="Times New Roman"/>
                <w:i/>
                <w:color w:val="000000" w:themeColor="text1"/>
                <w:sz w:val="24"/>
                <w:szCs w:val="24"/>
                <w:lang w:val="pt-BR" w:eastAsia="en-US"/>
              </w:rPr>
            </w:pPr>
          </w:p>
        </w:tc>
        <w:tc>
          <w:tcPr>
            <w:tcW w:w="3673" w:type="dxa"/>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u w:val="single"/>
                <w:lang w:val="pt-BR"/>
              </w:rPr>
            </w:pPr>
            <w:r w:rsidRPr="00861C29">
              <w:rPr>
                <w:rFonts w:ascii="Times New Roman" w:hAnsi="Times New Roman"/>
                <w:color w:val="000000" w:themeColor="text1"/>
                <w:sz w:val="24"/>
                <w:szCs w:val="24"/>
                <w:lang w:val="pt-BR"/>
              </w:rPr>
              <w:t>-Risco de aumento de problemas de comercialização de produtos agrícolas nos mercados locais;</w:t>
            </w:r>
          </w:p>
        </w:tc>
        <w:tc>
          <w:tcPr>
            <w:tcW w:w="5535" w:type="dxa"/>
          </w:tcPr>
          <w:p w:rsidR="00337D92" w:rsidRPr="00861C29" w:rsidRDefault="00337D92" w:rsidP="004977FF">
            <w:pPr>
              <w:pStyle w:val="PargrafodaLista"/>
              <w:numPr>
                <w:ilvl w:val="0"/>
                <w:numId w:val="60"/>
              </w:numPr>
              <w:spacing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Sensibilização e capacitação dos produtores (arroz, milho, castanha de caju, mandioca, etc.) no processamento desses produtos para facilitar a sua comercialização;</w:t>
            </w:r>
          </w:p>
          <w:p w:rsidR="00337D92" w:rsidRPr="00861C29" w:rsidRDefault="00337D92" w:rsidP="004977FF">
            <w:pPr>
              <w:pStyle w:val="PargrafodaLista"/>
              <w:numPr>
                <w:ilvl w:val="0"/>
                <w:numId w:val="60"/>
              </w:numPr>
              <w:spacing w:after="0" w:line="240" w:lineRule="auto"/>
              <w:ind w:left="15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t-BR"/>
              </w:rPr>
            </w:pPr>
            <w:r w:rsidRPr="00861C29">
              <w:rPr>
                <w:rFonts w:ascii="Times New Roman" w:hAnsi="Times New Roman"/>
                <w:sz w:val="24"/>
                <w:szCs w:val="24"/>
                <w:lang w:val="pt-BR"/>
              </w:rPr>
              <w:t>Discutir com todos os atores envolvidos na comercialização de produtos agrícolas a criação de mecanismos de promoção desses produtos para maior facilidade de venda.</w:t>
            </w:r>
          </w:p>
        </w:tc>
      </w:tr>
    </w:tbl>
    <w:p w:rsidR="00337D92" w:rsidRPr="00861C29" w:rsidRDefault="00337D92" w:rsidP="008F798F">
      <w:pPr>
        <w:pStyle w:val="Cabealho6"/>
        <w:numPr>
          <w:ilvl w:val="0"/>
          <w:numId w:val="0"/>
        </w:numPr>
        <w:spacing w:line="240" w:lineRule="auto"/>
        <w:ind w:right="-283"/>
        <w:jc w:val="both"/>
        <w:rPr>
          <w:rFonts w:ascii="Times New Roman" w:hAnsi="Times New Roman"/>
          <w:bCs/>
          <w:i w:val="0"/>
          <w:iCs w:val="0"/>
          <w:color w:val="auto"/>
          <w:sz w:val="24"/>
          <w:szCs w:val="24"/>
          <w:lang w:val="pt-BR"/>
        </w:rPr>
      </w:pPr>
      <w:r w:rsidRPr="00861C29">
        <w:rPr>
          <w:rFonts w:ascii="Times New Roman" w:hAnsi="Times New Roman"/>
          <w:bCs/>
          <w:i w:val="0"/>
          <w:iCs w:val="0"/>
          <w:color w:val="auto"/>
          <w:sz w:val="24"/>
          <w:szCs w:val="24"/>
          <w:lang w:val="pt-BR"/>
        </w:rPr>
        <w:t>Apoio para redes de segurança comunitária (criação de empregos, reabilitação de estruturas de armazenamento, abertura de estradas de acesso a áreas de produção agrícola, construção de mercados locais, etc.)</w:t>
      </w:r>
    </w:p>
    <w:p w:rsidR="00337D92" w:rsidRPr="00861C29" w:rsidRDefault="00337D92" w:rsidP="00337D92">
      <w:pPr>
        <w:tabs>
          <w:tab w:val="right" w:leader="dot" w:pos="10348"/>
        </w:tabs>
        <w:ind w:right="-993"/>
        <w:rPr>
          <w:bCs/>
          <w:lang w:val="pt-BR"/>
        </w:rPr>
      </w:pPr>
    </w:p>
    <w:tbl>
      <w:tblPr>
        <w:tblpPr w:leftFromText="141" w:rightFromText="141" w:vertAnchor="text" w:tblpXSpec="center"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41"/>
        <w:gridCol w:w="3233"/>
        <w:gridCol w:w="5316"/>
      </w:tblGrid>
      <w:tr w:rsidR="00337D92" w:rsidRPr="00861C29" w:rsidTr="008F798F">
        <w:trPr>
          <w:trHeight w:val="326"/>
          <w:tblHeader/>
        </w:trPr>
        <w:tc>
          <w:tcPr>
            <w:tcW w:w="1834" w:type="dxa"/>
            <w:tcBorders>
              <w:top w:val="single" w:sz="4" w:space="0" w:color="auto"/>
            </w:tcBorders>
            <w:shd w:val="clear" w:color="auto" w:fill="E2EFD9" w:themeFill="accent6" w:themeFillTint="33"/>
            <w:vAlign w:val="center"/>
          </w:tcPr>
          <w:p w:rsidR="00337D92" w:rsidRPr="00861C29" w:rsidRDefault="00337D92" w:rsidP="00337D92">
            <w:pPr>
              <w:jc w:val="center"/>
              <w:rPr>
                <w:rFonts w:eastAsia="Calibri"/>
                <w:b/>
                <w:bCs/>
              </w:rPr>
            </w:pPr>
            <w:r w:rsidRPr="00861C29">
              <w:rPr>
                <w:rFonts w:eastAsia="Calibri"/>
                <w:b/>
                <w:bCs/>
                <w:color w:val="000000"/>
              </w:rPr>
              <w:t>Atividades</w:t>
            </w:r>
          </w:p>
        </w:tc>
        <w:tc>
          <w:tcPr>
            <w:tcW w:w="3264" w:type="dxa"/>
            <w:tcBorders>
              <w:top w:val="single" w:sz="4" w:space="0" w:color="auto"/>
            </w:tcBorders>
            <w:shd w:val="clear" w:color="auto" w:fill="E2EFD9" w:themeFill="accent6" w:themeFillTint="33"/>
            <w:vAlign w:val="center"/>
          </w:tcPr>
          <w:p w:rsidR="00337D92" w:rsidRPr="00861C29" w:rsidRDefault="00337D92" w:rsidP="00337D92">
            <w:pPr>
              <w:jc w:val="center"/>
              <w:rPr>
                <w:rFonts w:eastAsia="Calibri"/>
                <w:b/>
                <w:bCs/>
              </w:rPr>
            </w:pPr>
            <w:r w:rsidRPr="00861C29">
              <w:rPr>
                <w:b/>
                <w:color w:val="000000" w:themeColor="text1"/>
              </w:rPr>
              <w:t xml:space="preserve">Potenciais impactos negativos </w:t>
            </w:r>
          </w:p>
        </w:tc>
        <w:tc>
          <w:tcPr>
            <w:tcW w:w="5392" w:type="dxa"/>
            <w:tcBorders>
              <w:top w:val="single" w:sz="4" w:space="0" w:color="auto"/>
            </w:tcBorders>
            <w:shd w:val="clear" w:color="auto" w:fill="E2EFD9" w:themeFill="accent6" w:themeFillTint="33"/>
            <w:vAlign w:val="center"/>
          </w:tcPr>
          <w:p w:rsidR="00337D92" w:rsidRPr="00861C29" w:rsidRDefault="00337D92" w:rsidP="00337D92">
            <w:pPr>
              <w:jc w:val="center"/>
              <w:rPr>
                <w:rFonts w:eastAsia="Calibri"/>
                <w:b/>
                <w:bCs/>
                <w:color w:val="000000"/>
              </w:rPr>
            </w:pPr>
            <w:r w:rsidRPr="00861C29">
              <w:rPr>
                <w:b/>
                <w:color w:val="000000" w:themeColor="text1"/>
              </w:rPr>
              <w:t>Mitigação e / ou prevenção</w:t>
            </w:r>
          </w:p>
        </w:tc>
      </w:tr>
      <w:tr w:rsidR="00337D92" w:rsidRPr="00861C29" w:rsidTr="008F798F">
        <w:trPr>
          <w:trHeight w:val="70"/>
          <w:tblHeader/>
        </w:trPr>
        <w:tc>
          <w:tcPr>
            <w:tcW w:w="1834" w:type="dxa"/>
            <w:vMerge w:val="restart"/>
            <w:tcBorders>
              <w:top w:val="single" w:sz="4" w:space="0" w:color="auto"/>
            </w:tcBorders>
            <w:shd w:val="clear" w:color="auto" w:fill="E2EFD9" w:themeFill="accent6" w:themeFillTint="33"/>
            <w:vAlign w:val="center"/>
          </w:tcPr>
          <w:p w:rsidR="00337D92" w:rsidRPr="00861C29" w:rsidRDefault="00337D92" w:rsidP="00337D92">
            <w:pPr>
              <w:jc w:val="center"/>
              <w:rPr>
                <w:rFonts w:eastAsia="Calibri"/>
                <w:b/>
                <w:bCs/>
                <w:color w:val="000000"/>
                <w:lang w:val="pt-BR"/>
              </w:rPr>
            </w:pPr>
            <w:r w:rsidRPr="00861C29">
              <w:rPr>
                <w:b/>
                <w:lang w:val="pt-BR"/>
              </w:rPr>
              <w:t xml:space="preserve">Suporte para </w:t>
            </w:r>
            <w:r w:rsidRPr="00861C29">
              <w:rPr>
                <w:b/>
                <w:lang w:val="pt-BR"/>
              </w:rPr>
              <w:lastRenderedPageBreak/>
              <w:t>Redes de Segurança Comunitária (comum às várias obras)</w:t>
            </w:r>
          </w:p>
        </w:tc>
        <w:tc>
          <w:tcPr>
            <w:tcW w:w="8656" w:type="dxa"/>
            <w:gridSpan w:val="2"/>
            <w:tcBorders>
              <w:top w:val="single" w:sz="4" w:space="0" w:color="auto"/>
            </w:tcBorders>
            <w:shd w:val="clear" w:color="auto" w:fill="DEEAF6" w:themeFill="accent1" w:themeFillTint="33"/>
            <w:vAlign w:val="center"/>
          </w:tcPr>
          <w:p w:rsidR="00337D92" w:rsidRPr="00861C29" w:rsidRDefault="00337D92" w:rsidP="00337D92">
            <w:pPr>
              <w:jc w:val="center"/>
              <w:rPr>
                <w:b/>
                <w:color w:val="000000" w:themeColor="text1"/>
              </w:rPr>
            </w:pPr>
            <w:r w:rsidRPr="00861C29">
              <w:rPr>
                <w:b/>
                <w:color w:val="000000" w:themeColor="text1"/>
              </w:rPr>
              <w:lastRenderedPageBreak/>
              <w:t>Em fase de obras</w:t>
            </w:r>
          </w:p>
        </w:tc>
      </w:tr>
      <w:tr w:rsidR="00337D92" w:rsidRPr="002623EB" w:rsidTr="008F798F">
        <w:trPr>
          <w:trHeight w:val="879"/>
          <w:tblHeader/>
        </w:trPr>
        <w:tc>
          <w:tcPr>
            <w:tcW w:w="1834" w:type="dxa"/>
            <w:vMerge/>
            <w:shd w:val="clear" w:color="auto" w:fill="E2EFD9" w:themeFill="accent6" w:themeFillTint="33"/>
            <w:vAlign w:val="center"/>
          </w:tcPr>
          <w:p w:rsidR="00337D92" w:rsidRPr="00861C29" w:rsidRDefault="00337D92" w:rsidP="00337D92">
            <w:pPr>
              <w:jc w:val="center"/>
              <w:rPr>
                <w:b/>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Risco de emissão de poeira;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emissões de gases de escape</w:t>
            </w:r>
          </w:p>
          <w:p w:rsidR="00337D92" w:rsidRPr="00861C29" w:rsidRDefault="00337D92" w:rsidP="00337D92">
            <w:pPr>
              <w:pStyle w:val="PargrafodaLista"/>
              <w:spacing w:after="0" w:line="240" w:lineRule="auto"/>
              <w:ind w:left="151"/>
              <w:jc w:val="both"/>
              <w:rPr>
                <w:rFonts w:ascii="Times New Roman" w:hAnsi="Times New Roman"/>
                <w:b/>
                <w:color w:val="000000" w:themeColor="text1"/>
                <w:sz w:val="24"/>
                <w:szCs w:val="24"/>
                <w:lang w:val="pt-BR"/>
              </w:rPr>
            </w:pP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Cobrir todos os caminhões de transporte de material (areia, pedreira, etc.);</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Informar e educar os usuários locais dos sites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Exigir a proteção obrigatória do pessoal por meio de EPI adequado </w:t>
            </w:r>
          </w:p>
          <w:p w:rsidR="00337D92" w:rsidRPr="00861C29" w:rsidRDefault="009D363F"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Reg</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 xml:space="preserve">bem o terreno do local de trabalho para evitar que a poeira voe;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Manter veículos e máquinas de acordo com as normas pertinentes;</w:t>
            </w:r>
          </w:p>
          <w:p w:rsidR="00337D92" w:rsidRPr="00861C29" w:rsidRDefault="009D363F" w:rsidP="004977FF">
            <w:pPr>
              <w:pStyle w:val="PargrafodaLista"/>
              <w:numPr>
                <w:ilvl w:val="0"/>
                <w:numId w:val="60"/>
              </w:numPr>
              <w:spacing w:after="0" w:line="240" w:lineRule="auto"/>
              <w:ind w:left="151" w:hanging="142"/>
              <w:jc w:val="both"/>
              <w:rPr>
                <w:rFonts w:ascii="Times New Roman" w:hAnsi="Times New Roman"/>
                <w:b/>
                <w:color w:val="000000" w:themeColor="text1"/>
                <w:sz w:val="24"/>
                <w:szCs w:val="24"/>
                <w:lang w:val="pt-BR"/>
              </w:rPr>
            </w:pPr>
            <w:r w:rsidRPr="00861C29">
              <w:rPr>
                <w:rFonts w:ascii="Times New Roman" w:hAnsi="Times New Roman"/>
                <w:color w:val="000000" w:themeColor="text1"/>
                <w:sz w:val="24"/>
                <w:szCs w:val="24"/>
                <w:lang w:val="pt-BR"/>
              </w:rPr>
              <w:t>Verifi</w:t>
            </w:r>
            <w:r>
              <w:rPr>
                <w:rFonts w:ascii="Times New Roman" w:hAnsi="Times New Roman"/>
                <w:color w:val="000000" w:themeColor="text1"/>
                <w:sz w:val="24"/>
                <w:szCs w:val="24"/>
                <w:lang w:val="pt-BR"/>
              </w:rPr>
              <w:t>car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se os veículos (caminhões) e máquinas pesadas estão em boas condições para reduzir a produção de gases de escape</w:t>
            </w:r>
          </w:p>
        </w:tc>
      </w:tr>
      <w:tr w:rsidR="00337D92" w:rsidRPr="002623EB" w:rsidTr="008F798F">
        <w:trPr>
          <w:trHeight w:val="3477"/>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Risco de poluição do solo devido a derramamentos acidentais de óleos ou hidrocarbonetos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Riscos de interrupção do sistema de drenagem natural da água</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poluição das águas superficiais ligado a derramamentos acidentais de produtos de hidrocarbonetos</w:t>
            </w:r>
          </w:p>
          <w:p w:rsidR="00337D92" w:rsidRPr="00861C29" w:rsidRDefault="00337D92" w:rsidP="00337D92">
            <w:pPr>
              <w:pStyle w:val="PargrafodaLista"/>
              <w:spacing w:after="0" w:line="240" w:lineRule="auto"/>
              <w:ind w:left="151"/>
              <w:jc w:val="both"/>
              <w:rPr>
                <w:rFonts w:ascii="Times New Roman" w:hAnsi="Times New Roman"/>
                <w:b/>
                <w:color w:val="000000" w:themeColor="text1"/>
                <w:sz w:val="24"/>
                <w:szCs w:val="24"/>
                <w:lang w:val="pt-BR"/>
              </w:rPr>
            </w:pP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Garantir a coleta e remoção regular de entulhos e resíduos do local;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Fornecer um sistema de evacuação de águas residuais e pluviais;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Garantir a gestão ecológica dos resíduos do local (sólidos e líquidos)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Conscientizar a equipe de construção sobre a gestão de resíduos do local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Instal</w:t>
            </w:r>
            <w:r w:rsidR="009D363F">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uma pavimentação de concreto ou um tanque de retenção para o armazenamento de óleos usados ​​no local. A quantidade armazenada também não deve exceder 20 litros e uma duração de uma semana no nível do local.</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Limp</w:t>
            </w:r>
            <w:r w:rsidR="009D363F">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regularmente as bases do local;</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Armazen</w:t>
            </w:r>
            <w:r w:rsidR="009D363F">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todos os materiais poluentes (óleos usados, tintas, etc.) em tanques de retenção em uma sala bem vedada;</w:t>
            </w:r>
          </w:p>
        </w:tc>
      </w:tr>
      <w:tr w:rsidR="00337D92" w:rsidRPr="00861C29" w:rsidTr="008F798F">
        <w:trPr>
          <w:trHeight w:val="326"/>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relativamente baixo de perda de vegetação e vida selvagem</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modificação do aspecto da paisagem;</w:t>
            </w: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Solicit</w:t>
            </w:r>
            <w:r w:rsidR="009D363F">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autorizações especiais dos Serviços de Água e Florestas;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Estabelecer memorando de entendimento para reflorestamento compensatório;</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Adot</w:t>
            </w:r>
            <w:r w:rsidR="009D363F">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uma configuração que integre seu ambiente;</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Incluir canteiros de obras</w:t>
            </w:r>
          </w:p>
        </w:tc>
      </w:tr>
      <w:tr w:rsidR="00337D92" w:rsidRPr="002623EB" w:rsidTr="008F798F">
        <w:trPr>
          <w:trHeight w:val="1772"/>
          <w:tblHeader/>
        </w:trPr>
        <w:tc>
          <w:tcPr>
            <w:tcW w:w="1834" w:type="dxa"/>
            <w:vMerge/>
            <w:shd w:val="clear" w:color="auto" w:fill="E2EFD9" w:themeFill="accent6" w:themeFillTint="33"/>
            <w:vAlign w:val="center"/>
          </w:tcPr>
          <w:p w:rsidR="00337D92" w:rsidRPr="00861C29" w:rsidRDefault="00337D92" w:rsidP="00337D92">
            <w:pPr>
              <w:jc w:val="center"/>
              <w:rPr>
                <w:b/>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conflitos sociais ligados a movimentos de protesto dentro da comunidade, se a escolha dos locais para a implantação das infra-estruturas não for feita de forma consensual;</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Riscos de frustrações a nível local (não utilização de mão-de-obra residente)</w:t>
            </w:r>
          </w:p>
          <w:p w:rsidR="00337D92" w:rsidRPr="00861C29" w:rsidRDefault="00337D92" w:rsidP="00337D92">
            <w:pPr>
              <w:ind w:left="9"/>
              <w:jc w:val="both"/>
              <w:rPr>
                <w:color w:val="000000" w:themeColor="text1"/>
                <w:lang w:val="pt-BR"/>
              </w:rPr>
            </w:pP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Envolver e sensibilizar as autoridades locais, os chefes das aldeias em todo o andamento das atividades.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Respeit</w:t>
            </w:r>
            <w:r w:rsidR="009D363F">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as opiniões e recomendações das autoridades e populações locais.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Respeit</w:t>
            </w:r>
            <w:r w:rsidR="009D363F">
              <w:rPr>
                <w:rFonts w:ascii="Times New Roman" w:hAnsi="Times New Roman"/>
                <w:color w:val="000000" w:themeColor="text1"/>
                <w:sz w:val="24"/>
                <w:szCs w:val="24"/>
              </w:rPr>
              <w:t>ar</w:t>
            </w:r>
            <w:r w:rsidRPr="00861C29">
              <w:rPr>
                <w:rFonts w:ascii="Times New Roman" w:hAnsi="Times New Roman"/>
                <w:color w:val="000000" w:themeColor="text1"/>
                <w:sz w:val="24"/>
                <w:szCs w:val="24"/>
              </w:rPr>
              <w:t xml:space="preserve"> os compromissos assumidos;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Programas de apoio integrando a mobilização da comunidade sobre a VBG;</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Como prioridade, recrutar populações locais para cargos temporários.</w:t>
            </w:r>
          </w:p>
        </w:tc>
      </w:tr>
      <w:tr w:rsidR="00337D92" w:rsidRPr="002623EB" w:rsidTr="008F798F">
        <w:trPr>
          <w:trHeight w:val="326"/>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acidentes devido ao movimento de veículos de construção e caminhões;</w:t>
            </w:r>
          </w:p>
          <w:p w:rsidR="00337D92" w:rsidRPr="00861C29" w:rsidRDefault="00337D92" w:rsidP="00337D92">
            <w:pPr>
              <w:jc w:val="both"/>
              <w:rPr>
                <w:color w:val="000000" w:themeColor="text1"/>
                <w:lang w:val="pt-BR"/>
              </w:rPr>
            </w:pP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Respeitar as normas técnicas vigentes quanto ao uso de máquinas pesadas e caminhões;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Reduzir a velocidade de circulação para 30 km / h ao cruzar uma área construída;</w:t>
            </w:r>
          </w:p>
          <w:p w:rsidR="00337D92" w:rsidRPr="00861C29" w:rsidRDefault="00A13675" w:rsidP="004977FF">
            <w:pPr>
              <w:pStyle w:val="PargrafodaLista"/>
              <w:numPr>
                <w:ilvl w:val="0"/>
                <w:numId w:val="60"/>
              </w:numPr>
              <w:spacing w:after="0" w:line="240" w:lineRule="auto"/>
              <w:ind w:left="151" w:hanging="142"/>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Estabele</w:t>
            </w:r>
            <w:r w:rsidR="00E1442F">
              <w:rPr>
                <w:rFonts w:ascii="Times New Roman" w:hAnsi="Times New Roman"/>
                <w:color w:val="000000" w:themeColor="text1"/>
                <w:sz w:val="24"/>
                <w:szCs w:val="24"/>
                <w:lang w:val="pt-BR"/>
              </w:rPr>
              <w:t>c</w:t>
            </w:r>
            <w:r>
              <w:rPr>
                <w:rFonts w:ascii="Times New Roman" w:hAnsi="Times New Roman"/>
                <w:color w:val="000000" w:themeColor="text1"/>
                <w:sz w:val="24"/>
                <w:szCs w:val="24"/>
                <w:lang w:val="pt-BR"/>
              </w:rPr>
              <w:t>er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 xml:space="preserve">um perímetro de estacionamento nos vários locais </w:t>
            </w:r>
          </w:p>
          <w:p w:rsidR="00337D92" w:rsidRPr="00861C29" w:rsidRDefault="00A13675" w:rsidP="004977FF">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Instal</w:t>
            </w:r>
            <w:r>
              <w:rPr>
                <w:rFonts w:ascii="Times New Roman" w:hAnsi="Times New Roman"/>
                <w:color w:val="000000" w:themeColor="text1"/>
                <w:sz w:val="24"/>
                <w:szCs w:val="24"/>
              </w:rPr>
              <w:t>ar</w:t>
            </w:r>
            <w:r w:rsidRPr="00861C29">
              <w:rPr>
                <w:rFonts w:ascii="Times New Roman" w:hAnsi="Times New Roman"/>
                <w:color w:val="000000" w:themeColor="text1"/>
                <w:sz w:val="24"/>
                <w:szCs w:val="24"/>
              </w:rPr>
              <w:t xml:space="preserve"> </w:t>
            </w:r>
            <w:r w:rsidR="00337D92" w:rsidRPr="00861C29">
              <w:rPr>
                <w:rFonts w:ascii="Times New Roman" w:hAnsi="Times New Roman"/>
                <w:color w:val="000000" w:themeColor="text1"/>
                <w:sz w:val="24"/>
                <w:szCs w:val="24"/>
              </w:rPr>
              <w:t>sinais de trânsito</w:t>
            </w:r>
          </w:p>
          <w:p w:rsidR="00337D92" w:rsidRPr="00861C29" w:rsidRDefault="00337D92" w:rsidP="004977FF">
            <w:pPr>
              <w:pStyle w:val="PargrafodaLista"/>
              <w:numPr>
                <w:ilvl w:val="0"/>
                <w:numId w:val="60"/>
              </w:numPr>
              <w:spacing w:after="0" w:line="240" w:lineRule="auto"/>
              <w:ind w:left="151" w:hanging="142"/>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Evit</w:t>
            </w:r>
            <w:r w:rsidR="00A13675">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estacionamentos prolongados de caminhões nas margens de vias urbanas;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Conscientizar os motoristas sobre os riscos de acidentes e respeitar a carga por eixo;</w:t>
            </w:r>
          </w:p>
        </w:tc>
      </w:tr>
      <w:tr w:rsidR="00337D92" w:rsidRPr="002623EB" w:rsidTr="008F798F">
        <w:trPr>
          <w:trHeight w:val="326"/>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doenças ocupacionais decorrentes de esforços físicos, esmagamentos, choques, movimentos repetitivos, más posturas, etc.</w:t>
            </w: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Exigir o uso obrigatório de EPI, etc. ;</w:t>
            </w:r>
          </w:p>
          <w:p w:rsidR="00337D92" w:rsidRPr="00861C29" w:rsidRDefault="00A13675"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Aument</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a conscientização dos trabalhadores sobre os riscos ocupacionais</w:t>
            </w:r>
          </w:p>
          <w:p w:rsidR="00337D92" w:rsidRPr="00861C29" w:rsidRDefault="00A13675"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Pr>
                <w:rFonts w:ascii="Times New Roman" w:hAnsi="Times New Roman"/>
                <w:color w:val="000000" w:themeColor="text1"/>
                <w:sz w:val="24"/>
                <w:szCs w:val="24"/>
                <w:lang w:val="pt-BR"/>
              </w:rPr>
              <w:t xml:space="preserve">Formação </w:t>
            </w:r>
            <w:r w:rsidR="00337D92" w:rsidRPr="00861C29">
              <w:rPr>
                <w:rFonts w:ascii="Times New Roman" w:hAnsi="Times New Roman"/>
                <w:color w:val="000000" w:themeColor="text1"/>
                <w:sz w:val="24"/>
                <w:szCs w:val="24"/>
                <w:lang w:val="pt-BR"/>
              </w:rPr>
              <w:t xml:space="preserve"> em primeiros socorros (SST e Segurança contra Incêndio)</w:t>
            </w:r>
          </w:p>
          <w:p w:rsidR="00337D92" w:rsidRPr="00861C29" w:rsidRDefault="00A13675"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Assin</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um memorando de entendimento com o centro de saúde mais próximo</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numPr>
                <w:ilvl w:val="0"/>
                <w:numId w:val="60"/>
              </w:numPr>
              <w:ind w:left="151" w:hanging="142"/>
              <w:jc w:val="both"/>
              <w:rPr>
                <w:color w:val="000000" w:themeColor="text1"/>
                <w:lang w:val="pt-BR"/>
              </w:rPr>
            </w:pPr>
            <w:r w:rsidRPr="00861C29">
              <w:rPr>
                <w:color w:val="000000" w:themeColor="text1"/>
                <w:lang w:val="pt-BR"/>
              </w:rPr>
              <w:t>Risco de proliferação de DSTs / HIV AIDS e a disseminação de Covid 19 devido à atração de populações estrangeiras e ao deslocamento de populações locais;</w:t>
            </w: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Organizar campanhas de conscientização contra a AIDS;</w:t>
            </w:r>
          </w:p>
          <w:p w:rsidR="00337D92" w:rsidRPr="00861C29" w:rsidRDefault="00A13675"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 xml:space="preserve">campanhas de conscientização contra COVID 19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Exigir o uso de máscara obrigatória;</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Distribuir preservativos;</w:t>
            </w:r>
          </w:p>
          <w:p w:rsidR="00337D92" w:rsidRPr="00861C29" w:rsidRDefault="00337D92" w:rsidP="004977FF">
            <w:pPr>
              <w:pStyle w:val="PargrafodaLista"/>
              <w:numPr>
                <w:ilvl w:val="0"/>
                <w:numId w:val="60"/>
              </w:numPr>
              <w:spacing w:after="0" w:line="240" w:lineRule="auto"/>
              <w:ind w:left="151" w:hanging="142"/>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Distribuir máscaras protetoras e géis anti-sépticos;</w:t>
            </w:r>
          </w:p>
          <w:p w:rsidR="00337D92" w:rsidRPr="00861C29" w:rsidRDefault="00A13675"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Colo</w:t>
            </w:r>
            <w:r>
              <w:rPr>
                <w:rFonts w:ascii="Times New Roman" w:hAnsi="Times New Roman"/>
                <w:color w:val="000000" w:themeColor="text1"/>
                <w:sz w:val="24"/>
                <w:szCs w:val="24"/>
                <w:lang w:val="pt-BR"/>
              </w:rPr>
              <w:t xml:space="preserve">car </w:t>
            </w:r>
            <w:r w:rsidR="00337D92" w:rsidRPr="00861C29">
              <w:rPr>
                <w:rFonts w:ascii="Times New Roman" w:hAnsi="Times New Roman"/>
                <w:color w:val="000000" w:themeColor="text1"/>
                <w:sz w:val="24"/>
                <w:szCs w:val="24"/>
                <w:lang w:val="pt-BR"/>
              </w:rPr>
              <w:t>pictogramas para lembrá-lo das medidas de barreira;</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numPr>
                <w:ilvl w:val="0"/>
                <w:numId w:val="60"/>
              </w:numPr>
              <w:ind w:left="151" w:hanging="142"/>
              <w:jc w:val="both"/>
              <w:rPr>
                <w:color w:val="000000" w:themeColor="text1"/>
                <w:lang w:val="pt-BR"/>
              </w:rPr>
            </w:pPr>
            <w:r w:rsidRPr="00861C29">
              <w:rPr>
                <w:color w:val="000000" w:themeColor="text1"/>
                <w:lang w:val="pt-BR"/>
              </w:rPr>
              <w:t>Risco de violência de gênero, abuso e exploração sexual</w:t>
            </w:r>
            <w:r w:rsidRPr="00861C29">
              <w:rPr>
                <w:lang w:val="pt-BR"/>
              </w:rPr>
              <w:t>;</w:t>
            </w: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Respeitar o regulamento interno dos canteiros de obras, bem como o código de conduta</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Programas de apoio integrando a mobilização da comunidade sobre a VBG;</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Apoiar atividades com ampla representação da comunidade de base;</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Luta contra todos os tipos de discriminação de gênero;</w:t>
            </w:r>
          </w:p>
        </w:tc>
      </w:tr>
      <w:tr w:rsidR="00337D92" w:rsidRPr="002623EB" w:rsidTr="008F798F">
        <w:trPr>
          <w:trHeight w:val="852"/>
          <w:tblHeader/>
        </w:trPr>
        <w:tc>
          <w:tcPr>
            <w:tcW w:w="1834" w:type="dxa"/>
            <w:vMerge w:val="restart"/>
            <w:shd w:val="clear" w:color="auto" w:fill="E2EFD9" w:themeFill="accent6" w:themeFillTint="33"/>
            <w:vAlign w:val="center"/>
          </w:tcPr>
          <w:p w:rsidR="00337D92" w:rsidRPr="00861C29" w:rsidRDefault="00337D92" w:rsidP="00337D92">
            <w:pPr>
              <w:jc w:val="center"/>
              <w:rPr>
                <w:b/>
                <w:lang w:val="pt-BR"/>
              </w:rPr>
            </w:pPr>
            <w:r w:rsidRPr="00861C29">
              <w:rPr>
                <w:b/>
                <w:lang w:val="pt-BR"/>
              </w:rPr>
              <w:t>Abertura de vias de acesso às áreas de produção agrícola</w:t>
            </w: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Riscos de genes e interrupção do tráfego de veículos;</w:t>
            </w: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Respeitar as normas técnicas vigentes quanto ao uso de máquinas pesadas e caminhões;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Reduzir a velocidade de circulação para 30 km / h ao cruzar uma área construída;</w:t>
            </w:r>
          </w:p>
          <w:p w:rsidR="00337D92" w:rsidRPr="00861C29" w:rsidRDefault="00A13675" w:rsidP="004977FF">
            <w:pPr>
              <w:pStyle w:val="PargrafodaLista"/>
              <w:numPr>
                <w:ilvl w:val="0"/>
                <w:numId w:val="60"/>
              </w:numPr>
              <w:spacing w:after="0" w:line="240" w:lineRule="auto"/>
              <w:ind w:left="151" w:hanging="142"/>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Estabele</w:t>
            </w:r>
            <w:r w:rsidR="00E1442F">
              <w:rPr>
                <w:rFonts w:ascii="Times New Roman" w:hAnsi="Times New Roman"/>
                <w:color w:val="000000" w:themeColor="text1"/>
                <w:sz w:val="24"/>
                <w:szCs w:val="24"/>
                <w:lang w:val="pt-BR"/>
              </w:rPr>
              <w:t>c</w:t>
            </w:r>
            <w:r>
              <w:rPr>
                <w:rFonts w:ascii="Times New Roman" w:hAnsi="Times New Roman"/>
                <w:color w:val="000000" w:themeColor="text1"/>
                <w:sz w:val="24"/>
                <w:szCs w:val="24"/>
                <w:lang w:val="pt-BR"/>
              </w:rPr>
              <w:t>er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 xml:space="preserve">um perímetro de estacionamento nos vários locais </w:t>
            </w:r>
          </w:p>
          <w:p w:rsidR="00337D92" w:rsidRPr="00861C29" w:rsidRDefault="00A13675" w:rsidP="004977FF">
            <w:pPr>
              <w:pStyle w:val="PargrafodaLista"/>
              <w:numPr>
                <w:ilvl w:val="0"/>
                <w:numId w:val="60"/>
              </w:numPr>
              <w:spacing w:after="0" w:line="240" w:lineRule="auto"/>
              <w:ind w:left="151" w:hanging="142"/>
              <w:rPr>
                <w:rFonts w:ascii="Times New Roman" w:hAnsi="Times New Roman"/>
                <w:color w:val="000000" w:themeColor="text1"/>
                <w:sz w:val="24"/>
                <w:szCs w:val="24"/>
              </w:rPr>
            </w:pPr>
            <w:r w:rsidRPr="00861C29">
              <w:rPr>
                <w:rFonts w:ascii="Times New Roman" w:hAnsi="Times New Roman"/>
                <w:color w:val="000000" w:themeColor="text1"/>
                <w:sz w:val="24"/>
                <w:szCs w:val="24"/>
              </w:rPr>
              <w:t>Instal</w:t>
            </w:r>
            <w:r>
              <w:rPr>
                <w:rFonts w:ascii="Times New Roman" w:hAnsi="Times New Roman"/>
                <w:color w:val="000000" w:themeColor="text1"/>
                <w:sz w:val="24"/>
                <w:szCs w:val="24"/>
              </w:rPr>
              <w:t xml:space="preserve">ar </w:t>
            </w:r>
            <w:r w:rsidR="00337D92" w:rsidRPr="00861C29">
              <w:rPr>
                <w:rFonts w:ascii="Times New Roman" w:hAnsi="Times New Roman"/>
                <w:color w:val="000000" w:themeColor="text1"/>
                <w:sz w:val="24"/>
                <w:szCs w:val="24"/>
              </w:rPr>
              <w:t>sinais de trânsito</w:t>
            </w:r>
          </w:p>
          <w:p w:rsidR="00337D92" w:rsidRPr="00861C29" w:rsidRDefault="00A13675" w:rsidP="004977FF">
            <w:pPr>
              <w:pStyle w:val="PargrafodaLista"/>
              <w:numPr>
                <w:ilvl w:val="0"/>
                <w:numId w:val="60"/>
              </w:numPr>
              <w:spacing w:after="0" w:line="240" w:lineRule="auto"/>
              <w:ind w:left="151" w:hanging="142"/>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Evit</w:t>
            </w:r>
            <w:r>
              <w:rPr>
                <w:rFonts w:ascii="Times New Roman" w:hAnsi="Times New Roman"/>
                <w:color w:val="000000" w:themeColor="text1"/>
                <w:sz w:val="24"/>
                <w:szCs w:val="24"/>
                <w:lang w:val="pt-BR"/>
              </w:rPr>
              <w:t xml:space="preserve">ar </w:t>
            </w:r>
            <w:r w:rsidR="00337D92" w:rsidRPr="00861C29">
              <w:rPr>
                <w:rFonts w:ascii="Times New Roman" w:hAnsi="Times New Roman"/>
                <w:color w:val="000000" w:themeColor="text1"/>
                <w:sz w:val="24"/>
                <w:szCs w:val="24"/>
                <w:lang w:val="pt-BR"/>
              </w:rPr>
              <w:t>estacionamentos prolongados de caminhões nas margens de vias urbanas;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Conscientizar os motoristas sobre os riscos de acidentes e respeitar a carga por eixo;</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337D92">
            <w:pPr>
              <w:jc w:val="both"/>
              <w:rPr>
                <w:color w:val="000000" w:themeColor="text1"/>
                <w:lang w:val="pt-BR"/>
              </w:rPr>
            </w:pPr>
            <w:r w:rsidRPr="00861C29">
              <w:rPr>
                <w:color w:val="000000" w:themeColor="text1"/>
                <w:lang w:val="pt-BR"/>
              </w:rPr>
              <w:t>-Risco de perda relativamente</w:t>
            </w:r>
          </w:p>
          <w:p w:rsidR="00337D92" w:rsidRPr="00861C29" w:rsidRDefault="00337D92" w:rsidP="00337D92">
            <w:pPr>
              <w:jc w:val="both"/>
              <w:rPr>
                <w:color w:val="000000" w:themeColor="text1"/>
                <w:lang w:val="pt-BR"/>
              </w:rPr>
            </w:pPr>
            <w:r w:rsidRPr="00861C29">
              <w:rPr>
                <w:color w:val="000000" w:themeColor="text1"/>
                <w:lang w:val="pt-BR"/>
              </w:rPr>
              <w:t>-Baixa vegetação e fauna Risco de migração de espécies de avifauna.</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destruição de nichos ecológicos</w:t>
            </w:r>
          </w:p>
        </w:tc>
        <w:tc>
          <w:tcPr>
            <w:tcW w:w="5392" w:type="dxa"/>
            <w:tcBorders>
              <w:top w:val="single" w:sz="4" w:space="0" w:color="auto"/>
            </w:tcBorders>
            <w:shd w:val="clear" w:color="auto" w:fill="FFFFFF" w:themeFill="background1"/>
            <w:vAlign w:val="center"/>
          </w:tcPr>
          <w:p w:rsidR="00337D92" w:rsidRPr="00861C29" w:rsidRDefault="00A13675"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Solicit</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autorizações especiais dos Serviços de Água e Florestas;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Estabelecer memorando de entendimento para reflorestamento compensatório;</w:t>
            </w:r>
          </w:p>
          <w:p w:rsidR="00337D92" w:rsidRPr="00861C29" w:rsidRDefault="00A13675"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Adot</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uma configuração que integre seu ambiente;</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Incluir canteiros de obras</w:t>
            </w:r>
          </w:p>
          <w:p w:rsidR="00337D92" w:rsidRPr="00861C29" w:rsidRDefault="00337D92" w:rsidP="00337D92">
            <w:pPr>
              <w:rPr>
                <w:lang w:val="pt-BR"/>
              </w:rPr>
            </w:pPr>
            <w:r w:rsidRPr="00861C29">
              <w:rPr>
                <w:lang w:val="pt-BR"/>
              </w:rPr>
              <w:t xml:space="preserve">- </w:t>
            </w:r>
            <w:r w:rsidR="00A13675" w:rsidRPr="00861C29">
              <w:rPr>
                <w:lang w:val="pt-BR"/>
              </w:rPr>
              <w:t>Protej</w:t>
            </w:r>
            <w:r w:rsidR="00A13675">
              <w:rPr>
                <w:lang w:val="pt-BR"/>
              </w:rPr>
              <w:t>er</w:t>
            </w:r>
            <w:r w:rsidR="00A13675" w:rsidRPr="00861C29">
              <w:rPr>
                <w:lang w:val="pt-BR"/>
              </w:rPr>
              <w:t xml:space="preserve"> </w:t>
            </w:r>
            <w:r w:rsidRPr="00861C29">
              <w:rPr>
                <w:lang w:val="pt-BR"/>
              </w:rPr>
              <w:t>lagoas e rotas de gado na área;</w:t>
            </w:r>
          </w:p>
          <w:p w:rsidR="00337D92" w:rsidRPr="00861C29" w:rsidRDefault="00337D92" w:rsidP="00337D92">
            <w:pPr>
              <w:rPr>
                <w:lang w:val="pt-BR"/>
              </w:rPr>
            </w:pPr>
            <w:r w:rsidRPr="00861C29">
              <w:rPr>
                <w:lang w:val="pt-BR"/>
              </w:rPr>
              <w:t xml:space="preserve">- </w:t>
            </w:r>
            <w:r w:rsidR="00A13675" w:rsidRPr="00861C29">
              <w:rPr>
                <w:lang w:val="pt-BR"/>
              </w:rPr>
              <w:t>Evit</w:t>
            </w:r>
            <w:r w:rsidR="00A13675">
              <w:rPr>
                <w:lang w:val="pt-BR"/>
              </w:rPr>
              <w:t>ar</w:t>
            </w:r>
            <w:r w:rsidR="00A13675" w:rsidRPr="00861C29">
              <w:rPr>
                <w:lang w:val="pt-BR"/>
              </w:rPr>
              <w:t xml:space="preserve"> </w:t>
            </w:r>
            <w:r w:rsidRPr="00861C29">
              <w:rPr>
                <w:lang w:val="pt-BR"/>
              </w:rPr>
              <w:t xml:space="preserve">e </w:t>
            </w:r>
            <w:r w:rsidR="00A13675" w:rsidRPr="00861C29">
              <w:rPr>
                <w:lang w:val="pt-BR"/>
              </w:rPr>
              <w:t>proíb</w:t>
            </w:r>
            <w:r w:rsidR="00A13675">
              <w:rPr>
                <w:lang w:val="pt-BR"/>
              </w:rPr>
              <w:t>ir</w:t>
            </w:r>
            <w:r w:rsidRPr="00861C29">
              <w:rPr>
                <w:lang w:val="pt-BR"/>
              </w:rPr>
              <w:t>, tanto quanto possível, matar ou destruir o habitat natural;</w:t>
            </w:r>
          </w:p>
          <w:p w:rsidR="00337D92" w:rsidRPr="00861C29" w:rsidRDefault="00337D92" w:rsidP="00337D92">
            <w:pPr>
              <w:rPr>
                <w:lang w:val="pt-BR"/>
              </w:rPr>
            </w:pPr>
            <w:r w:rsidRPr="00861C29">
              <w:rPr>
                <w:lang w:val="pt-BR"/>
              </w:rPr>
              <w:t>- Organizar campanhas de sensibilização com criadores para evitar o risco de acidentes com gado;</w:t>
            </w:r>
          </w:p>
          <w:p w:rsidR="00337D92" w:rsidRPr="00861C29" w:rsidRDefault="00337D92" w:rsidP="00337D92">
            <w:pPr>
              <w:rPr>
                <w:lang w:val="pt-BR"/>
              </w:rPr>
            </w:pPr>
            <w:r w:rsidRPr="00861C29">
              <w:rPr>
                <w:lang w:val="pt-BR"/>
              </w:rPr>
              <w:t>- Colocar placas de prevenção contra acidentes com animais;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sz w:val="24"/>
                <w:szCs w:val="24"/>
                <w:lang w:val="pt-BR"/>
              </w:rPr>
              <w:t>Informar e educar motoristas de caminhões e máquinas sobre a presença de animais no eixo</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Risco de poluição do solo devido a derramamentos acidentais de óleos ou hidrocarbonetos </w:t>
            </w: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Conscientizar a equipe de construção sobre a gestão de resíduos do local </w:t>
            </w:r>
          </w:p>
          <w:p w:rsidR="00337D92" w:rsidRPr="00861C29" w:rsidRDefault="00A13675"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Instal</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uma pavimentação de concreto ou um tanque de retenção para o armazenamento de óleos usados ​​no local. A quantidade armazenada também não deve exceder 20 litros e uma duração de uma semana no nível do local.</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337D92">
            <w:pPr>
              <w:rPr>
                <w:color w:val="000000" w:themeColor="text1"/>
                <w:lang w:val="fr-CA"/>
              </w:rPr>
            </w:pPr>
            <w:r w:rsidRPr="00861C29">
              <w:rPr>
                <w:rFonts w:eastAsia="Calibri"/>
              </w:rPr>
              <w:t>-Ruído</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xml:space="preserve">- </w:t>
            </w:r>
            <w:r w:rsidR="00A13675" w:rsidRPr="00861C29">
              <w:rPr>
                <w:lang w:val="pt-BR"/>
              </w:rPr>
              <w:t>Respeit</w:t>
            </w:r>
            <w:r w:rsidR="00A13675">
              <w:rPr>
                <w:lang w:val="pt-BR"/>
              </w:rPr>
              <w:t>ar</w:t>
            </w:r>
            <w:r w:rsidR="00A13675" w:rsidRPr="00861C29">
              <w:rPr>
                <w:lang w:val="pt-BR"/>
              </w:rPr>
              <w:t xml:space="preserve"> </w:t>
            </w:r>
            <w:r w:rsidRPr="00861C29">
              <w:rPr>
                <w:lang w:val="pt-BR"/>
              </w:rPr>
              <w:t>os limiares de som aceitos em relação ao meio ambiente</w:t>
            </w:r>
          </w:p>
          <w:p w:rsidR="00337D92" w:rsidRPr="00861C29" w:rsidRDefault="00337D92" w:rsidP="00337D92">
            <w:pPr>
              <w:rPr>
                <w:lang w:val="pt-BR"/>
              </w:rPr>
            </w:pPr>
            <w:r w:rsidRPr="00861C29">
              <w:rPr>
                <w:lang w:val="pt-BR"/>
              </w:rPr>
              <w:t>- Respeitar o horário de trabalho;</w:t>
            </w:r>
          </w:p>
          <w:p w:rsidR="00337D92" w:rsidRPr="00861C29" w:rsidRDefault="00337D92" w:rsidP="00337D92">
            <w:pPr>
              <w:rPr>
                <w:lang w:val="pt-BR"/>
              </w:rPr>
            </w:pPr>
            <w:r w:rsidRPr="00861C29">
              <w:rPr>
                <w:lang w:val="pt-BR"/>
              </w:rPr>
              <w:t>- Limitar as emissões de ruído durante as horas de descanso das populações vizinhas;</w:t>
            </w:r>
          </w:p>
          <w:p w:rsidR="00337D92" w:rsidRPr="00861C29" w:rsidRDefault="00337D92" w:rsidP="00337D92">
            <w:pPr>
              <w:rPr>
                <w:lang w:val="pt-BR"/>
              </w:rPr>
            </w:pPr>
            <w:r w:rsidRPr="00861C29">
              <w:rPr>
                <w:lang w:val="pt-BR"/>
              </w:rPr>
              <w:t>- Fornecer capacetes de proteção aos trabalhadores;</w:t>
            </w:r>
          </w:p>
          <w:p w:rsidR="00337D92" w:rsidRPr="00861C29" w:rsidRDefault="00337D92" w:rsidP="00337D92">
            <w:pPr>
              <w:rPr>
                <w:lang w:val="pt-BR"/>
              </w:rPr>
            </w:pPr>
            <w:r w:rsidRPr="00861C29">
              <w:rPr>
                <w:lang w:val="pt-BR"/>
              </w:rPr>
              <w:t>- Colocar placas indicando os níveis máximos de ruído;</w:t>
            </w:r>
          </w:p>
          <w:p w:rsidR="00337D92" w:rsidRPr="00861C29" w:rsidRDefault="00337D92" w:rsidP="00337D92">
            <w:pPr>
              <w:jc w:val="both"/>
              <w:rPr>
                <w:color w:val="000000" w:themeColor="text1"/>
                <w:lang w:val="pt-BR"/>
              </w:rPr>
            </w:pPr>
            <w:r w:rsidRPr="00861C29">
              <w:rPr>
                <w:lang w:val="pt-BR"/>
              </w:rPr>
              <w:t>- Conscientizar os trabalhadores sobre os riscos da poluição sonora;</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337D92">
            <w:pPr>
              <w:rPr>
                <w:rFonts w:eastAsia="Calibri"/>
                <w:lang w:val="pt-BR"/>
              </w:rPr>
            </w:pPr>
            <w:r w:rsidRPr="00861C29">
              <w:rPr>
                <w:rFonts w:eastAsia="Calibri"/>
                <w:lang w:val="pt-BR"/>
              </w:rPr>
              <w:t>- Risco de perda de terras de cultivo de arroz ou propriedades das pessoas</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Identificar e sensibilizar as pessoas afetadas pelo projeto;</w:t>
            </w:r>
          </w:p>
          <w:p w:rsidR="00337D92" w:rsidRPr="00861C29" w:rsidRDefault="00337D92" w:rsidP="00337D92">
            <w:pPr>
              <w:rPr>
                <w:lang w:val="pt-BR"/>
              </w:rPr>
            </w:pPr>
            <w:r w:rsidRPr="00861C29">
              <w:rPr>
                <w:lang w:val="pt-BR"/>
              </w:rPr>
              <w:t>- Considerar a compensação financeira por perdas;</w:t>
            </w:r>
          </w:p>
          <w:p w:rsidR="00337D92" w:rsidRPr="00861C29" w:rsidRDefault="00337D92" w:rsidP="00337D92">
            <w:pPr>
              <w:rPr>
                <w:lang w:val="pt-BR"/>
              </w:rPr>
            </w:pPr>
            <w:r w:rsidRPr="00861C29">
              <w:rPr>
                <w:lang w:val="pt-BR"/>
              </w:rPr>
              <w:t>- Envolver autoridades administrativas e locais;</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337D92">
            <w:pPr>
              <w:rPr>
                <w:rFonts w:eastAsia="Calibri"/>
                <w:lang w:val="pt-BR"/>
              </w:rPr>
            </w:pPr>
            <w:r w:rsidRPr="00861C29">
              <w:rPr>
                <w:rFonts w:eastAsia="Calibri"/>
                <w:lang w:val="pt-BR"/>
              </w:rPr>
              <w:t>-Risco de incêndio ou incêndio florestal;</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Sensibilizar a equipe para a ação de risco de iniciar um incêndio florestal;</w:t>
            </w:r>
          </w:p>
          <w:p w:rsidR="00337D92" w:rsidRPr="00861C29" w:rsidRDefault="00337D92" w:rsidP="00337D92">
            <w:pPr>
              <w:rPr>
                <w:lang w:val="pt-BR"/>
              </w:rPr>
            </w:pPr>
            <w:r w:rsidRPr="00861C29">
              <w:rPr>
                <w:lang w:val="pt-BR"/>
              </w:rPr>
              <w:t>- Montar áreas de descanso em concreto equipadas com extintores de incêndio;</w:t>
            </w:r>
          </w:p>
          <w:p w:rsidR="00337D92" w:rsidRPr="00861C29" w:rsidRDefault="00337D92" w:rsidP="00337D92">
            <w:pPr>
              <w:rPr>
                <w:lang w:val="pt-BR"/>
              </w:rPr>
            </w:pPr>
            <w:r w:rsidRPr="00861C29">
              <w:rPr>
                <w:lang w:val="pt-BR"/>
              </w:rPr>
              <w:t>- Evit</w:t>
            </w:r>
            <w:r w:rsidR="008225F6">
              <w:rPr>
                <w:lang w:val="pt-BR"/>
              </w:rPr>
              <w:t>ar</w:t>
            </w:r>
            <w:r w:rsidRPr="00861C29">
              <w:rPr>
                <w:lang w:val="pt-BR"/>
              </w:rPr>
              <w:t xml:space="preserve"> áreas sensíveis ao fogo;</w:t>
            </w:r>
          </w:p>
          <w:p w:rsidR="00337D92" w:rsidRPr="00861C29" w:rsidRDefault="00337D92" w:rsidP="00337D92">
            <w:pPr>
              <w:rPr>
                <w:lang w:val="pt-BR"/>
              </w:rPr>
            </w:pPr>
            <w:r w:rsidRPr="00861C29">
              <w:rPr>
                <w:lang w:val="pt-BR"/>
              </w:rPr>
              <w:t>- Colocar placas proibindo fumar em áreas sensíveis;</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337D92">
            <w:pPr>
              <w:rPr>
                <w:rFonts w:eastAsia="Calibri"/>
                <w:lang w:val="pt-BR"/>
              </w:rPr>
            </w:pPr>
            <w:r w:rsidRPr="00861C29">
              <w:rPr>
                <w:rFonts w:eastAsia="Calibri"/>
                <w:lang w:val="pt-BR"/>
              </w:rPr>
              <w:t>-Riscos de interrupção / degradação das redes da concessionária (água potável, eletricidade, etc.)</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Envolv</w:t>
            </w:r>
            <w:r w:rsidR="008225F6">
              <w:rPr>
                <w:lang w:val="pt-BR"/>
              </w:rPr>
              <w:t>er</w:t>
            </w:r>
            <w:r w:rsidRPr="00861C29">
              <w:rPr>
                <w:lang w:val="pt-BR"/>
              </w:rPr>
              <w:t xml:space="preserve"> todos os revendedores antes e durante o curso das atividades,</w:t>
            </w:r>
          </w:p>
          <w:p w:rsidR="00337D92" w:rsidRPr="00861C29" w:rsidRDefault="00337D92" w:rsidP="00337D92">
            <w:pPr>
              <w:rPr>
                <w:lang w:val="pt-BR"/>
              </w:rPr>
            </w:pPr>
            <w:r w:rsidRPr="00861C29">
              <w:rPr>
                <w:lang w:val="pt-BR"/>
              </w:rPr>
              <w:t>- Evit</w:t>
            </w:r>
            <w:r w:rsidR="008225F6">
              <w:rPr>
                <w:lang w:val="pt-BR"/>
              </w:rPr>
              <w:t>ar</w:t>
            </w:r>
            <w:r w:rsidRPr="00861C29">
              <w:rPr>
                <w:lang w:val="pt-BR"/>
              </w:rPr>
              <w:t xml:space="preserve"> tocar nas redes de água, eletricidade, etc. tanto quanto possível.</w:t>
            </w:r>
          </w:p>
        </w:tc>
      </w:tr>
      <w:tr w:rsidR="00337D92" w:rsidRPr="002623EB" w:rsidTr="008F798F">
        <w:trPr>
          <w:trHeight w:val="852"/>
          <w:tblHeader/>
        </w:trPr>
        <w:tc>
          <w:tcPr>
            <w:tcW w:w="1834" w:type="dxa"/>
            <w:vMerge w:val="restart"/>
            <w:shd w:val="clear" w:color="auto" w:fill="E2EFD9" w:themeFill="accent6" w:themeFillTint="33"/>
            <w:vAlign w:val="center"/>
          </w:tcPr>
          <w:p w:rsidR="00337D92" w:rsidRPr="00861C29" w:rsidRDefault="00337D92" w:rsidP="00337D92">
            <w:pPr>
              <w:jc w:val="center"/>
              <w:rPr>
                <w:b/>
                <w:lang w:val="pt-BR"/>
              </w:rPr>
            </w:pPr>
            <w:r w:rsidRPr="00861C29">
              <w:rPr>
                <w:b/>
                <w:lang w:val="pt-BR"/>
              </w:rPr>
              <w:lastRenderedPageBreak/>
              <w:t>Comissionamento de estruturas de armazenamento, construção de mercados locais, etc.</w:t>
            </w: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jc w:val="both"/>
              <w:rPr>
                <w:rFonts w:ascii="Times New Roman" w:hAnsi="Times New Roman"/>
                <w:sz w:val="24"/>
                <w:szCs w:val="24"/>
                <w:lang w:val="pt-BR"/>
              </w:rPr>
            </w:pPr>
            <w:r w:rsidRPr="00861C29">
              <w:rPr>
                <w:rFonts w:ascii="Times New Roman" w:eastAsiaTheme="minorHAnsi" w:hAnsi="Times New Roman"/>
                <w:sz w:val="24"/>
                <w:szCs w:val="24"/>
                <w:lang w:val="pt-BR"/>
              </w:rPr>
              <w:t>Riscos de interrupção do sistema de drenagem natural da água</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Proteger estruturas de engenharia contra resíduos sólidos;</w:t>
            </w:r>
          </w:p>
          <w:p w:rsidR="00337D92" w:rsidRPr="00861C29" w:rsidRDefault="00337D92" w:rsidP="00337D92">
            <w:pPr>
              <w:rPr>
                <w:lang w:val="pt-BR"/>
              </w:rPr>
            </w:pPr>
            <w:r w:rsidRPr="00861C29">
              <w:rPr>
                <w:lang w:val="pt-BR"/>
              </w:rPr>
              <w:t>- Evitar fenômenos de assoreamento de estruturas como pontes, embornais; bocais, canais de drenagem, etc. ;</w:t>
            </w:r>
          </w:p>
          <w:p w:rsidR="00337D92" w:rsidRPr="00861C29" w:rsidRDefault="00337D92" w:rsidP="00337D92">
            <w:pPr>
              <w:jc w:val="both"/>
              <w:rPr>
                <w:lang w:val="pt-BR"/>
              </w:rPr>
            </w:pPr>
            <w:r w:rsidRPr="00861C29">
              <w:rPr>
                <w:lang w:val="pt-BR"/>
              </w:rPr>
              <w:t>-Garantir a conservação e manutenção periódica e regular das estruturas de engenharia;</w:t>
            </w:r>
          </w:p>
        </w:tc>
      </w:tr>
      <w:tr w:rsidR="00337D92" w:rsidRPr="00861C29"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conflitos sociais ligados a movimentos de protesto dentro da comunidade, se a escolha dos locais para a implantação das infra-estruturas não for feita de forma consensual;</w:t>
            </w: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Envolver e sensibilizar as autoridades locais, os chefes das aldeias em todo o andamento das atividades.</w:t>
            </w:r>
          </w:p>
          <w:p w:rsidR="00337D92" w:rsidRPr="00861C29" w:rsidRDefault="008225F6"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Respeit</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as opiniões e recomendações das autoridades e populações locais.</w:t>
            </w:r>
          </w:p>
          <w:p w:rsidR="00337D92" w:rsidRPr="00861C29" w:rsidRDefault="008225F6"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rPr>
            </w:pPr>
            <w:r w:rsidRPr="00861C29">
              <w:rPr>
                <w:rFonts w:ascii="Times New Roman" w:hAnsi="Times New Roman"/>
                <w:color w:val="000000" w:themeColor="text1"/>
                <w:sz w:val="24"/>
                <w:szCs w:val="24"/>
              </w:rPr>
              <w:t>Respeit</w:t>
            </w:r>
            <w:r>
              <w:rPr>
                <w:rFonts w:ascii="Times New Roman" w:hAnsi="Times New Roman"/>
                <w:color w:val="000000" w:themeColor="text1"/>
                <w:sz w:val="24"/>
                <w:szCs w:val="24"/>
              </w:rPr>
              <w:t>ar</w:t>
            </w:r>
            <w:r w:rsidRPr="00861C29">
              <w:rPr>
                <w:rFonts w:ascii="Times New Roman" w:hAnsi="Times New Roman"/>
                <w:color w:val="000000" w:themeColor="text1"/>
                <w:sz w:val="24"/>
                <w:szCs w:val="24"/>
              </w:rPr>
              <w:t xml:space="preserve"> </w:t>
            </w:r>
            <w:r w:rsidR="00337D92" w:rsidRPr="00861C29">
              <w:rPr>
                <w:rFonts w:ascii="Times New Roman" w:hAnsi="Times New Roman"/>
                <w:color w:val="000000" w:themeColor="text1"/>
                <w:sz w:val="24"/>
                <w:szCs w:val="24"/>
              </w:rPr>
              <w:t>os compromissos assumidos</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Riscos de perda de terrenos nos setores em causa para a realização de mercados e estruturas de armazenamento;</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Identificar e sensibilizar as pessoas afetadas pelo projeto;</w:t>
            </w:r>
          </w:p>
          <w:p w:rsidR="00337D92" w:rsidRPr="00861C29" w:rsidRDefault="00337D92" w:rsidP="00337D92">
            <w:pPr>
              <w:rPr>
                <w:lang w:val="pt-BR"/>
              </w:rPr>
            </w:pPr>
            <w:r w:rsidRPr="00861C29">
              <w:rPr>
                <w:lang w:val="pt-BR"/>
              </w:rPr>
              <w:t>- Considerar a compensação financeira por perdas;</w:t>
            </w:r>
          </w:p>
          <w:p w:rsidR="00337D92" w:rsidRPr="00861C29" w:rsidRDefault="00337D92" w:rsidP="00337D92">
            <w:pPr>
              <w:rPr>
                <w:lang w:val="pt-BR"/>
              </w:rPr>
            </w:pPr>
            <w:r w:rsidRPr="00861C29">
              <w:rPr>
                <w:lang w:val="pt-BR"/>
              </w:rPr>
              <w:t>- Envolver autoridades administrativas e locais;</w:t>
            </w:r>
          </w:p>
        </w:tc>
      </w:tr>
      <w:tr w:rsidR="00337D92" w:rsidRPr="002623EB" w:rsidTr="008F798F">
        <w:trPr>
          <w:trHeight w:val="852"/>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Riscos de genes e interrupção do tráfego de veículos;</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xml:space="preserve">- </w:t>
            </w:r>
            <w:r w:rsidR="008225F6" w:rsidRPr="00861C29">
              <w:rPr>
                <w:lang w:val="pt-BR"/>
              </w:rPr>
              <w:t>Estabele</w:t>
            </w:r>
            <w:r w:rsidR="00E1442F">
              <w:rPr>
                <w:lang w:val="pt-BR"/>
              </w:rPr>
              <w:t>c</w:t>
            </w:r>
            <w:r w:rsidR="008225F6">
              <w:rPr>
                <w:lang w:val="pt-BR"/>
              </w:rPr>
              <w:t>er</w:t>
            </w:r>
            <w:r w:rsidR="008225F6" w:rsidRPr="00861C29">
              <w:rPr>
                <w:lang w:val="pt-BR"/>
              </w:rPr>
              <w:t xml:space="preserve"> </w:t>
            </w:r>
            <w:r w:rsidRPr="00861C29">
              <w:rPr>
                <w:lang w:val="pt-BR"/>
              </w:rPr>
              <w:t>um perímetro de segurança ao nível dos vários sites</w:t>
            </w:r>
          </w:p>
          <w:p w:rsidR="00337D92" w:rsidRPr="00861C29" w:rsidRDefault="00337D92" w:rsidP="00337D92">
            <w:pPr>
              <w:rPr>
                <w:lang w:val="pt-BR"/>
              </w:rPr>
            </w:pPr>
            <w:r w:rsidRPr="00861C29">
              <w:rPr>
                <w:lang w:val="pt-BR"/>
              </w:rPr>
              <w:t xml:space="preserve">- </w:t>
            </w:r>
            <w:r w:rsidR="008225F6" w:rsidRPr="00861C29">
              <w:rPr>
                <w:lang w:val="pt-BR"/>
              </w:rPr>
              <w:t>Instal</w:t>
            </w:r>
            <w:r w:rsidR="008225F6">
              <w:rPr>
                <w:lang w:val="pt-BR"/>
              </w:rPr>
              <w:t>ar</w:t>
            </w:r>
            <w:r w:rsidR="008225F6" w:rsidRPr="00861C29">
              <w:rPr>
                <w:lang w:val="pt-BR"/>
              </w:rPr>
              <w:t xml:space="preserve"> </w:t>
            </w:r>
            <w:r w:rsidRPr="00861C29">
              <w:rPr>
                <w:lang w:val="pt-BR"/>
              </w:rPr>
              <w:t>sinais de trânsito</w:t>
            </w:r>
          </w:p>
          <w:p w:rsidR="00337D92" w:rsidRPr="00861C29" w:rsidRDefault="00337D92" w:rsidP="00337D92">
            <w:pPr>
              <w:rPr>
                <w:lang w:val="pt-BR"/>
              </w:rPr>
            </w:pPr>
            <w:r w:rsidRPr="00861C29">
              <w:rPr>
                <w:lang w:val="pt-BR"/>
              </w:rPr>
              <w:t xml:space="preserve">- </w:t>
            </w:r>
            <w:r w:rsidR="008225F6" w:rsidRPr="00861C29">
              <w:rPr>
                <w:lang w:val="pt-BR"/>
              </w:rPr>
              <w:t>Evit</w:t>
            </w:r>
            <w:r w:rsidR="008225F6">
              <w:rPr>
                <w:lang w:val="pt-BR"/>
              </w:rPr>
              <w:t>ar</w:t>
            </w:r>
            <w:r w:rsidR="008225F6" w:rsidRPr="00861C29">
              <w:rPr>
                <w:lang w:val="pt-BR"/>
              </w:rPr>
              <w:t xml:space="preserve"> </w:t>
            </w:r>
            <w:r w:rsidRPr="00861C29">
              <w:rPr>
                <w:lang w:val="pt-BR"/>
              </w:rPr>
              <w:t>estacionamentos prolongados de caminhões nas margens das vias de acesso</w:t>
            </w:r>
          </w:p>
          <w:p w:rsidR="00337D92" w:rsidRPr="00861C29" w:rsidRDefault="00337D92" w:rsidP="00337D92">
            <w:pPr>
              <w:rPr>
                <w:lang w:val="pt-BR"/>
              </w:rPr>
            </w:pPr>
            <w:r w:rsidRPr="00861C29">
              <w:rPr>
                <w:lang w:val="pt-BR"/>
              </w:rPr>
              <w:t>- Exigir o uso obrigatório de EPI, etc. ;</w:t>
            </w:r>
          </w:p>
          <w:p w:rsidR="00337D92" w:rsidRPr="00861C29" w:rsidRDefault="00337D92" w:rsidP="00337D92">
            <w:pPr>
              <w:rPr>
                <w:lang w:val="pt-BR"/>
              </w:rPr>
            </w:pPr>
            <w:r w:rsidRPr="00861C29">
              <w:rPr>
                <w:lang w:val="pt-BR"/>
              </w:rPr>
              <w:t>- Conscientizar os motoristas sobre os riscos ocupacionais</w:t>
            </w:r>
          </w:p>
          <w:p w:rsidR="008F798F" w:rsidRPr="00861C29" w:rsidRDefault="008F798F" w:rsidP="00337D92">
            <w:pPr>
              <w:rPr>
                <w:lang w:val="pt-BR"/>
              </w:rPr>
            </w:pPr>
          </w:p>
          <w:p w:rsidR="008F798F" w:rsidRPr="00861C29" w:rsidRDefault="008F798F" w:rsidP="00337D92">
            <w:pPr>
              <w:rPr>
                <w:lang w:val="pt-BR"/>
              </w:rPr>
            </w:pPr>
          </w:p>
          <w:p w:rsidR="008F798F" w:rsidRPr="00861C29" w:rsidRDefault="008F798F" w:rsidP="00337D92">
            <w:pPr>
              <w:rPr>
                <w:lang w:val="pt-BR"/>
              </w:rPr>
            </w:pPr>
          </w:p>
        </w:tc>
      </w:tr>
      <w:tr w:rsidR="00337D92" w:rsidRPr="00861C29" w:rsidTr="008F798F">
        <w:trPr>
          <w:trHeight w:val="67"/>
          <w:tblHeader/>
        </w:trPr>
        <w:tc>
          <w:tcPr>
            <w:tcW w:w="1834" w:type="dxa"/>
            <w:vMerge/>
            <w:shd w:val="clear" w:color="auto" w:fill="E2EFD9" w:themeFill="accent6" w:themeFillTint="33"/>
            <w:vAlign w:val="center"/>
          </w:tcPr>
          <w:p w:rsidR="00337D92" w:rsidRPr="00861C29" w:rsidRDefault="00337D92" w:rsidP="00337D92">
            <w:pPr>
              <w:jc w:val="center"/>
              <w:rPr>
                <w:b/>
                <w:u w:val="single"/>
                <w:lang w:val="pt-BR"/>
              </w:rPr>
            </w:pPr>
          </w:p>
        </w:tc>
        <w:tc>
          <w:tcPr>
            <w:tcW w:w="8656" w:type="dxa"/>
            <w:gridSpan w:val="2"/>
            <w:tcBorders>
              <w:top w:val="single" w:sz="4" w:space="0" w:color="auto"/>
            </w:tcBorders>
            <w:shd w:val="clear" w:color="auto" w:fill="DEEAF6" w:themeFill="accent1" w:themeFillTint="33"/>
          </w:tcPr>
          <w:p w:rsidR="00337D92" w:rsidRPr="00861C29" w:rsidRDefault="00337D92" w:rsidP="00337D92">
            <w:pPr>
              <w:jc w:val="center"/>
              <w:rPr>
                <w:rFonts w:eastAsia="Calibri"/>
                <w:b/>
                <w:bCs/>
                <w:color w:val="000000"/>
              </w:rPr>
            </w:pPr>
            <w:r w:rsidRPr="00861C29">
              <w:rPr>
                <w:b/>
                <w:color w:val="000000" w:themeColor="text1"/>
              </w:rPr>
              <w:t xml:space="preserve">Em fase operacional </w:t>
            </w:r>
          </w:p>
        </w:tc>
      </w:tr>
      <w:tr w:rsidR="00337D92" w:rsidRPr="002623EB" w:rsidTr="008F798F">
        <w:trPr>
          <w:trHeight w:val="501"/>
          <w:tblHeader/>
        </w:trPr>
        <w:tc>
          <w:tcPr>
            <w:tcW w:w="1834" w:type="dxa"/>
            <w:vMerge w:val="restart"/>
            <w:shd w:val="clear" w:color="auto" w:fill="E2EFD9" w:themeFill="accent6" w:themeFillTint="33"/>
            <w:vAlign w:val="center"/>
          </w:tcPr>
          <w:p w:rsidR="00337D92" w:rsidRPr="00861C29" w:rsidRDefault="00337D92" w:rsidP="00337D92">
            <w:pPr>
              <w:jc w:val="center"/>
              <w:rPr>
                <w:b/>
                <w:u w:val="single"/>
                <w:lang w:val="pt-BR"/>
              </w:rPr>
            </w:pPr>
            <w:r w:rsidRPr="00861C29">
              <w:rPr>
                <w:b/>
                <w:lang w:val="pt-BR"/>
              </w:rPr>
              <w:t>reabilitação de estruturas de armazenamento, construção de mercados locais, etc.</w:t>
            </w:r>
          </w:p>
        </w:tc>
        <w:tc>
          <w:tcPr>
            <w:tcW w:w="3264" w:type="dxa"/>
            <w:tcBorders>
              <w:top w:val="single" w:sz="4" w:space="0" w:color="auto"/>
            </w:tcBorders>
            <w:shd w:val="clear" w:color="auto" w:fill="FFFFFF" w:themeFill="background1"/>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-Riscos de contaminantes na qualidade do ar interno da infraestrutura</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Risco de infecções respiratórias, incluindo asma, alergias respiratórias, dores de cabeça e náuseas</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-Projetar boa ventilação dos módulos;</w:t>
            </w:r>
          </w:p>
          <w:p w:rsidR="00337D92" w:rsidRPr="00861C29" w:rsidRDefault="00337D92" w:rsidP="00337D92">
            <w:pPr>
              <w:rPr>
                <w:lang w:val="pt-BR"/>
              </w:rPr>
            </w:pPr>
            <w:r w:rsidRPr="00861C29">
              <w:rPr>
                <w:lang w:val="pt-BR"/>
              </w:rPr>
              <w:t>-Otimizar a orientação dos edifícios em relação ao sol;</w:t>
            </w:r>
          </w:p>
          <w:p w:rsidR="00337D92" w:rsidRPr="00861C29" w:rsidRDefault="00337D92" w:rsidP="00337D92">
            <w:pPr>
              <w:rPr>
                <w:lang w:val="pt-BR"/>
              </w:rPr>
            </w:pPr>
            <w:r w:rsidRPr="00861C29">
              <w:rPr>
                <w:lang w:val="pt-BR"/>
              </w:rPr>
              <w:t>-Coleção e gestão de resíduos;</w:t>
            </w:r>
          </w:p>
          <w:p w:rsidR="00337D92" w:rsidRPr="00861C29" w:rsidRDefault="00337D92" w:rsidP="00337D92">
            <w:pPr>
              <w:rPr>
                <w:lang w:val="pt-BR"/>
              </w:rPr>
            </w:pPr>
            <w:r w:rsidRPr="00861C29">
              <w:rPr>
                <w:lang w:val="pt-BR"/>
              </w:rPr>
              <w:t>- Fornecer os técnicos de superfície de EPI adequados.</w:t>
            </w:r>
          </w:p>
        </w:tc>
      </w:tr>
      <w:tr w:rsidR="00337D92" w:rsidRPr="002623EB" w:rsidTr="008F798F">
        <w:trPr>
          <w:trHeight w:val="501"/>
          <w:tblHeader/>
        </w:trPr>
        <w:tc>
          <w:tcPr>
            <w:tcW w:w="1834" w:type="dxa"/>
            <w:vMerge/>
            <w:shd w:val="clear" w:color="auto" w:fill="E2EFD9" w:themeFill="accent6" w:themeFillTint="33"/>
            <w:vAlign w:val="center"/>
          </w:tcPr>
          <w:p w:rsidR="00337D92" w:rsidRPr="00861C29" w:rsidRDefault="00337D92" w:rsidP="00337D92">
            <w:pPr>
              <w:jc w:val="center"/>
              <w:rPr>
                <w:b/>
                <w:lang w:val="pt-BR"/>
              </w:rPr>
            </w:pPr>
          </w:p>
        </w:tc>
        <w:tc>
          <w:tcPr>
            <w:tcW w:w="3264" w:type="dxa"/>
            <w:tcBorders>
              <w:top w:val="single" w:sz="4" w:space="0" w:color="auto"/>
            </w:tcBorders>
            <w:shd w:val="clear" w:color="auto" w:fill="FFFFFF" w:themeFill="background1"/>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prejudicar o desperdício nos mercados locais;</w:t>
            </w:r>
          </w:p>
          <w:p w:rsidR="00337D92" w:rsidRPr="00861C29" w:rsidRDefault="00337D92" w:rsidP="004977FF">
            <w:pPr>
              <w:pStyle w:val="PargrafodaLista"/>
              <w:numPr>
                <w:ilvl w:val="0"/>
                <w:numId w:val="60"/>
              </w:numPr>
              <w:spacing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poluição das águas superficiais devido à produção de resíduos sólidos e líquidos;</w:t>
            </w:r>
          </w:p>
        </w:tc>
        <w:tc>
          <w:tcPr>
            <w:tcW w:w="5392" w:type="dxa"/>
            <w:tcBorders>
              <w:top w:val="single" w:sz="4" w:space="0" w:color="auto"/>
            </w:tcBorders>
            <w:shd w:val="clear" w:color="auto" w:fill="FFFFFF" w:themeFill="background1"/>
            <w:vAlign w:val="center"/>
          </w:tcPr>
          <w:p w:rsidR="00337D92" w:rsidRPr="00861C29" w:rsidRDefault="00337D92" w:rsidP="00337D92">
            <w:pPr>
              <w:rPr>
                <w:color w:val="000000" w:themeColor="text1"/>
                <w:lang w:val="pt-BR"/>
              </w:rPr>
            </w:pPr>
            <w:r w:rsidRPr="00861C29">
              <w:rPr>
                <w:color w:val="000000" w:themeColor="text1"/>
                <w:lang w:val="pt-BR"/>
              </w:rPr>
              <w:t>-Configurar sistemas de gerenciamento de resíduos sólidos e líquidos;</w:t>
            </w:r>
          </w:p>
          <w:p w:rsidR="00337D92" w:rsidRPr="00861C29" w:rsidRDefault="00337D92" w:rsidP="00337D92">
            <w:pPr>
              <w:rPr>
                <w:color w:val="000000" w:themeColor="text1"/>
                <w:lang w:val="pt-BR"/>
              </w:rPr>
            </w:pPr>
            <w:r w:rsidRPr="00861C29">
              <w:rPr>
                <w:color w:val="000000" w:themeColor="text1"/>
                <w:lang w:val="pt-BR"/>
              </w:rPr>
              <w:t xml:space="preserve">- </w:t>
            </w:r>
            <w:r w:rsidR="008225F6" w:rsidRPr="00861C29">
              <w:rPr>
                <w:color w:val="000000" w:themeColor="text1"/>
                <w:lang w:val="pt-BR"/>
              </w:rPr>
              <w:t>Mont</w:t>
            </w:r>
            <w:r w:rsidR="008225F6">
              <w:rPr>
                <w:color w:val="000000" w:themeColor="text1"/>
                <w:lang w:val="pt-BR"/>
              </w:rPr>
              <w:t>ar</w:t>
            </w:r>
            <w:r w:rsidR="008225F6" w:rsidRPr="00861C29">
              <w:rPr>
                <w:color w:val="000000" w:themeColor="text1"/>
                <w:lang w:val="pt-BR"/>
              </w:rPr>
              <w:t xml:space="preserve"> </w:t>
            </w:r>
            <w:r w:rsidRPr="00861C29">
              <w:rPr>
                <w:color w:val="000000" w:themeColor="text1"/>
                <w:lang w:val="pt-BR"/>
              </w:rPr>
              <w:t xml:space="preserve">e </w:t>
            </w:r>
            <w:r w:rsidR="008225F6" w:rsidRPr="00861C29">
              <w:rPr>
                <w:color w:val="000000" w:themeColor="text1"/>
                <w:lang w:val="pt-BR"/>
              </w:rPr>
              <w:t>afix</w:t>
            </w:r>
            <w:r w:rsidR="008225F6">
              <w:rPr>
                <w:color w:val="000000" w:themeColor="text1"/>
                <w:lang w:val="pt-BR"/>
              </w:rPr>
              <w:t>ar</w:t>
            </w:r>
            <w:r w:rsidR="008225F6" w:rsidRPr="00861C29">
              <w:rPr>
                <w:color w:val="000000" w:themeColor="text1"/>
                <w:lang w:val="pt-BR"/>
              </w:rPr>
              <w:t xml:space="preserve"> </w:t>
            </w:r>
            <w:r w:rsidRPr="00861C29">
              <w:rPr>
                <w:color w:val="000000" w:themeColor="text1"/>
                <w:lang w:val="pt-BR"/>
              </w:rPr>
              <w:t>​​as instruções de uso dos banheiros;</w:t>
            </w:r>
          </w:p>
          <w:p w:rsidR="00337D92" w:rsidRPr="00861C29" w:rsidRDefault="00337D92" w:rsidP="00337D92">
            <w:pPr>
              <w:rPr>
                <w:color w:val="000000" w:themeColor="text1"/>
                <w:lang w:val="pt-BR"/>
              </w:rPr>
            </w:pPr>
            <w:r w:rsidRPr="00861C29">
              <w:rPr>
                <w:color w:val="000000" w:themeColor="text1"/>
                <w:lang w:val="pt-BR"/>
              </w:rPr>
              <w:t>- Implantar rede de coleta de águas residuais e pluviais nos mercados e armazéns;</w:t>
            </w:r>
          </w:p>
          <w:p w:rsidR="00337D92" w:rsidRPr="00861C29" w:rsidRDefault="00337D92" w:rsidP="00337D92">
            <w:pPr>
              <w:rPr>
                <w:color w:val="000000" w:themeColor="text1"/>
                <w:lang w:val="pt-BR"/>
              </w:rPr>
            </w:pPr>
            <w:r w:rsidRPr="00861C29">
              <w:rPr>
                <w:color w:val="000000" w:themeColor="text1"/>
                <w:lang w:val="pt-BR"/>
              </w:rPr>
              <w:t xml:space="preserve">- </w:t>
            </w:r>
            <w:r w:rsidR="008225F6" w:rsidRPr="00861C29">
              <w:rPr>
                <w:color w:val="000000" w:themeColor="text1"/>
                <w:lang w:val="pt-BR"/>
              </w:rPr>
              <w:t>Proced</w:t>
            </w:r>
            <w:r w:rsidR="008225F6">
              <w:rPr>
                <w:color w:val="000000" w:themeColor="text1"/>
                <w:lang w:val="pt-BR"/>
              </w:rPr>
              <w:t>er</w:t>
            </w:r>
            <w:r w:rsidR="008225F6" w:rsidRPr="00861C29">
              <w:rPr>
                <w:color w:val="000000" w:themeColor="text1"/>
                <w:lang w:val="pt-BR"/>
              </w:rPr>
              <w:t xml:space="preserve"> </w:t>
            </w:r>
            <w:r w:rsidRPr="00861C29">
              <w:rPr>
                <w:color w:val="000000" w:themeColor="text1"/>
                <w:lang w:val="pt-BR"/>
              </w:rPr>
              <w:t>com a retirada regular das latas de lixo;</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Apoiar a instituição na implantação de um sistema de gestão de resíduos sustentável; </w:t>
            </w:r>
          </w:p>
        </w:tc>
      </w:tr>
      <w:tr w:rsidR="00337D92" w:rsidRPr="002623EB" w:rsidTr="008F798F">
        <w:trPr>
          <w:trHeight w:val="515"/>
          <w:tblHeader/>
        </w:trPr>
        <w:tc>
          <w:tcPr>
            <w:tcW w:w="1834" w:type="dxa"/>
            <w:vMerge/>
            <w:shd w:val="clear" w:color="auto" w:fill="E2EFD9" w:themeFill="accent6" w:themeFillTint="33"/>
            <w:vAlign w:val="center"/>
          </w:tcPr>
          <w:p w:rsidR="00337D92" w:rsidRPr="00861C29" w:rsidRDefault="00337D92" w:rsidP="00337D92">
            <w:pPr>
              <w:jc w:val="center"/>
              <w:rPr>
                <w:b/>
                <w:u w:val="single"/>
                <w:lang w:val="pt-BR"/>
              </w:rPr>
            </w:pPr>
          </w:p>
        </w:tc>
        <w:tc>
          <w:tcPr>
            <w:tcW w:w="3264" w:type="dxa"/>
            <w:tcBorders>
              <w:top w:val="single" w:sz="4" w:space="0" w:color="auto"/>
            </w:tcBorders>
            <w:shd w:val="clear" w:color="auto" w:fill="FFFFFF" w:themeFill="background1"/>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incêndio na infraestrutura de armazenamento e mercados locais;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fr-CA"/>
              </w:rPr>
            </w:pPr>
            <w:r w:rsidRPr="00861C29">
              <w:rPr>
                <w:rFonts w:ascii="Times New Roman" w:hAnsi="Times New Roman"/>
                <w:color w:val="000000" w:themeColor="text1"/>
                <w:sz w:val="24"/>
                <w:szCs w:val="24"/>
                <w:lang w:val="fr-CA"/>
              </w:rPr>
              <w:t>Risco de eletrocussão;</w:t>
            </w:r>
          </w:p>
        </w:tc>
        <w:tc>
          <w:tcPr>
            <w:tcW w:w="5392" w:type="dxa"/>
            <w:tcBorders>
              <w:top w:val="single" w:sz="4" w:space="0" w:color="auto"/>
            </w:tcBorders>
            <w:shd w:val="clear" w:color="auto" w:fill="FFFFFF" w:themeFill="background1"/>
            <w:vAlign w:val="center"/>
          </w:tcPr>
          <w:p w:rsidR="00337D92" w:rsidRPr="00861C29" w:rsidRDefault="00337D92" w:rsidP="00337D92">
            <w:pPr>
              <w:rPr>
                <w:color w:val="000000" w:themeColor="text1"/>
                <w:lang w:val="pt-BR"/>
              </w:rPr>
            </w:pPr>
            <w:r w:rsidRPr="00861C29">
              <w:rPr>
                <w:color w:val="000000" w:themeColor="text1"/>
                <w:lang w:val="pt-BR"/>
              </w:rPr>
              <w:t xml:space="preserve">- </w:t>
            </w:r>
            <w:r w:rsidR="008225F6" w:rsidRPr="00861C29">
              <w:rPr>
                <w:color w:val="000000" w:themeColor="text1"/>
                <w:lang w:val="pt-BR"/>
              </w:rPr>
              <w:t>Conscientiz</w:t>
            </w:r>
            <w:r w:rsidR="008225F6">
              <w:rPr>
                <w:color w:val="000000" w:themeColor="text1"/>
                <w:lang w:val="pt-BR"/>
              </w:rPr>
              <w:t>ar</w:t>
            </w:r>
            <w:r w:rsidR="008225F6" w:rsidRPr="00861C29">
              <w:rPr>
                <w:color w:val="000000" w:themeColor="text1"/>
                <w:lang w:val="pt-BR"/>
              </w:rPr>
              <w:t xml:space="preserve"> </w:t>
            </w:r>
            <w:r w:rsidRPr="00861C29">
              <w:rPr>
                <w:color w:val="000000" w:themeColor="text1"/>
                <w:lang w:val="pt-BR"/>
              </w:rPr>
              <w:t>os trabalhadores sobre os riscos de eletrocussão,</w:t>
            </w:r>
          </w:p>
          <w:p w:rsidR="00337D92" w:rsidRPr="00861C29" w:rsidRDefault="00337D92" w:rsidP="00337D92">
            <w:pPr>
              <w:rPr>
                <w:color w:val="000000" w:themeColor="text1"/>
                <w:lang w:val="pt-BR"/>
              </w:rPr>
            </w:pPr>
            <w:r w:rsidRPr="00861C29">
              <w:rPr>
                <w:color w:val="000000" w:themeColor="text1"/>
                <w:lang w:val="pt-BR"/>
              </w:rPr>
              <w:t>- Controlar toda a rede elétrica;</w:t>
            </w:r>
          </w:p>
          <w:p w:rsidR="00337D92" w:rsidRPr="00861C29" w:rsidRDefault="00337D92" w:rsidP="00337D92">
            <w:pPr>
              <w:rPr>
                <w:color w:val="000000" w:themeColor="text1"/>
                <w:lang w:val="pt-BR"/>
              </w:rPr>
            </w:pPr>
            <w:r w:rsidRPr="00861C29">
              <w:rPr>
                <w:color w:val="000000" w:themeColor="text1"/>
                <w:lang w:val="pt-BR"/>
              </w:rPr>
              <w:t>- Equipar os trabalhadores com EPI adaptativo;</w:t>
            </w:r>
          </w:p>
          <w:p w:rsidR="00337D92" w:rsidRPr="00861C29" w:rsidRDefault="00337D92" w:rsidP="00337D92">
            <w:pPr>
              <w:rPr>
                <w:color w:val="000000" w:themeColor="text1"/>
                <w:lang w:val="pt-BR"/>
              </w:rPr>
            </w:pPr>
            <w:r w:rsidRPr="00861C29">
              <w:rPr>
                <w:color w:val="000000" w:themeColor="text1"/>
                <w:lang w:val="pt-BR"/>
              </w:rPr>
              <w:t xml:space="preserve">- </w:t>
            </w:r>
            <w:r w:rsidR="008225F6" w:rsidRPr="00861C29">
              <w:rPr>
                <w:color w:val="000000" w:themeColor="text1"/>
                <w:lang w:val="pt-BR"/>
              </w:rPr>
              <w:t>Evit</w:t>
            </w:r>
            <w:r w:rsidR="008225F6">
              <w:rPr>
                <w:color w:val="000000" w:themeColor="text1"/>
                <w:lang w:val="pt-BR"/>
              </w:rPr>
              <w:t>ar as</w:t>
            </w:r>
            <w:r w:rsidR="008225F6" w:rsidRPr="00861C29">
              <w:rPr>
                <w:color w:val="000000" w:themeColor="text1"/>
                <w:lang w:val="pt-BR"/>
              </w:rPr>
              <w:t xml:space="preserve"> </w:t>
            </w:r>
            <w:r w:rsidRPr="00861C29">
              <w:rPr>
                <w:color w:val="000000" w:themeColor="text1"/>
                <w:lang w:val="pt-BR"/>
              </w:rPr>
              <w:t>áreas sensíveis ao fogo;</w:t>
            </w:r>
          </w:p>
          <w:p w:rsidR="00337D92" w:rsidRPr="00861C29" w:rsidRDefault="00337D92" w:rsidP="00337D92">
            <w:pPr>
              <w:rPr>
                <w:color w:val="000000" w:themeColor="text1"/>
                <w:lang w:val="pt-BR"/>
              </w:rPr>
            </w:pPr>
            <w:r w:rsidRPr="00861C29">
              <w:rPr>
                <w:b/>
                <w:color w:val="000000" w:themeColor="text1"/>
                <w:lang w:val="pt-BR"/>
              </w:rPr>
              <w:t xml:space="preserve">- </w:t>
            </w:r>
            <w:r w:rsidR="008225F6" w:rsidRPr="00861C29">
              <w:rPr>
                <w:color w:val="000000" w:themeColor="text1"/>
                <w:lang w:val="pt-BR"/>
              </w:rPr>
              <w:t>Colo</w:t>
            </w:r>
            <w:r w:rsidR="008225F6">
              <w:rPr>
                <w:color w:val="000000" w:themeColor="text1"/>
                <w:lang w:val="pt-BR"/>
              </w:rPr>
              <w:t>car</w:t>
            </w:r>
            <w:r w:rsidR="008225F6" w:rsidRPr="00861C29">
              <w:rPr>
                <w:color w:val="000000" w:themeColor="text1"/>
                <w:lang w:val="pt-BR"/>
              </w:rPr>
              <w:t xml:space="preserve"> </w:t>
            </w:r>
            <w:r w:rsidRPr="00861C29">
              <w:rPr>
                <w:color w:val="000000" w:themeColor="text1"/>
                <w:lang w:val="pt-BR"/>
              </w:rPr>
              <w:t>placas de proibição de fumar em áreas sensíveis;</w:t>
            </w:r>
          </w:p>
        </w:tc>
      </w:tr>
      <w:tr w:rsidR="00337D92" w:rsidRPr="002623EB" w:rsidTr="008F798F">
        <w:trPr>
          <w:trHeight w:val="515"/>
          <w:tblHeader/>
        </w:trPr>
        <w:tc>
          <w:tcPr>
            <w:tcW w:w="1834" w:type="dxa"/>
            <w:vMerge w:val="restart"/>
            <w:shd w:val="clear" w:color="auto" w:fill="E2EFD9" w:themeFill="accent6" w:themeFillTint="33"/>
            <w:vAlign w:val="center"/>
          </w:tcPr>
          <w:p w:rsidR="00337D92" w:rsidRPr="00861C29" w:rsidRDefault="00337D92" w:rsidP="00337D92">
            <w:pPr>
              <w:jc w:val="center"/>
              <w:rPr>
                <w:b/>
                <w:u w:val="single"/>
                <w:lang w:val="pt-BR"/>
              </w:rPr>
            </w:pPr>
            <w:r w:rsidRPr="00861C29">
              <w:rPr>
                <w:b/>
                <w:lang w:val="pt-BR"/>
              </w:rPr>
              <w:t>Abertura de vias de acesso às áreas de produção agrícola</w:t>
            </w:r>
          </w:p>
        </w:tc>
        <w:tc>
          <w:tcPr>
            <w:tcW w:w="3264" w:type="dxa"/>
            <w:tcBorders>
              <w:top w:val="single" w:sz="4" w:space="0" w:color="auto"/>
            </w:tcBorders>
            <w:shd w:val="clear" w:color="auto" w:fill="FFFFFF" w:themeFill="background1"/>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Risco de acidentes a nível de gado e homens ligados à passagem de veículos;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Ressurgimento de doenças respiratórias associadas à passagem de veículos;</w:t>
            </w: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Colocar sinais de trânsito e limites de velocidade; </w:t>
            </w:r>
          </w:p>
          <w:p w:rsidR="00337D92" w:rsidRPr="00861C29" w:rsidRDefault="008225F6"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Colo</w:t>
            </w:r>
            <w:r>
              <w:rPr>
                <w:rFonts w:ascii="Times New Roman" w:hAnsi="Times New Roman"/>
                <w:color w:val="000000" w:themeColor="text1"/>
                <w:sz w:val="24"/>
                <w:szCs w:val="24"/>
                <w:lang w:val="pt-BR"/>
              </w:rPr>
              <w:t>car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placas indicando a presença de animais;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Organizar dias para aumentar a conscientização sobre segurança no trânsito;</w:t>
            </w:r>
          </w:p>
        </w:tc>
      </w:tr>
      <w:tr w:rsidR="00337D92" w:rsidRPr="002623EB" w:rsidTr="008F798F">
        <w:trPr>
          <w:trHeight w:val="515"/>
          <w:tblHeader/>
        </w:trPr>
        <w:tc>
          <w:tcPr>
            <w:tcW w:w="1834" w:type="dxa"/>
            <w:vMerge/>
            <w:shd w:val="clear" w:color="auto" w:fill="E2EFD9" w:themeFill="accent6" w:themeFillTint="33"/>
            <w:vAlign w:val="center"/>
          </w:tcPr>
          <w:p w:rsidR="00337D92" w:rsidRPr="00861C29" w:rsidRDefault="00337D92" w:rsidP="00337D92">
            <w:pPr>
              <w:jc w:val="center"/>
              <w:rPr>
                <w:b/>
                <w:u w:val="single"/>
                <w:lang w:val="pt-BR"/>
              </w:rPr>
            </w:pPr>
          </w:p>
        </w:tc>
        <w:tc>
          <w:tcPr>
            <w:tcW w:w="3264" w:type="dxa"/>
            <w:tcBorders>
              <w:top w:val="single" w:sz="4" w:space="0" w:color="auto"/>
            </w:tcBorders>
            <w:shd w:val="clear" w:color="auto" w:fill="FFFFFF" w:themeFill="background1"/>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inundação devido à falta de estruturas para atravessar as águas pluviais ao nível das vias;</w:t>
            </w:r>
          </w:p>
        </w:tc>
        <w:tc>
          <w:tcPr>
            <w:tcW w:w="5392"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Colocar e proteger as estruturas de engenharia civil contra assoreamento para evitar fenômenos de inundação;</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Manter obras de arte, como pontes, embornais; bocais, canais de drenagem, etc.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Assegurar a manutenção periódica e regular das estruturas de engenharia;</w:t>
            </w:r>
          </w:p>
        </w:tc>
      </w:tr>
      <w:tr w:rsidR="00337D92" w:rsidRPr="002623EB" w:rsidTr="008F798F">
        <w:trPr>
          <w:trHeight w:val="515"/>
          <w:tblHeader/>
        </w:trPr>
        <w:tc>
          <w:tcPr>
            <w:tcW w:w="1834" w:type="dxa"/>
            <w:vMerge/>
            <w:shd w:val="clear" w:color="auto" w:fill="E2EFD9" w:themeFill="accent6" w:themeFillTint="33"/>
            <w:vAlign w:val="center"/>
          </w:tcPr>
          <w:p w:rsidR="00337D92" w:rsidRPr="00861C29" w:rsidRDefault="00337D92" w:rsidP="00337D92">
            <w:pPr>
              <w:jc w:val="center"/>
              <w:rPr>
                <w:b/>
                <w:u w:val="single"/>
                <w:lang w:val="pt-BR"/>
              </w:rPr>
            </w:pPr>
          </w:p>
        </w:tc>
        <w:tc>
          <w:tcPr>
            <w:tcW w:w="3264" w:type="dxa"/>
            <w:tcBorders>
              <w:top w:val="single" w:sz="4" w:space="0" w:color="auto"/>
            </w:tcBorders>
            <w:shd w:val="clear" w:color="auto" w:fill="FFFFFF" w:themeFill="background1"/>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sz w:val="24"/>
                <w:szCs w:val="24"/>
                <w:lang w:val="pt-BR"/>
              </w:rPr>
              <w:t>Risco de emissões de gases de efeito estufa;</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Organizar campanhas de sensibilização para o combate à emissão de gases com efeito de estufa;</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sz w:val="24"/>
                <w:szCs w:val="24"/>
                <w:lang w:val="pt-BR"/>
              </w:rPr>
              <w:t>Assegurar inspeções técnicas de veículos;</w:t>
            </w:r>
          </w:p>
        </w:tc>
      </w:tr>
      <w:tr w:rsidR="00337D92" w:rsidRPr="002623EB" w:rsidTr="008F798F">
        <w:trPr>
          <w:trHeight w:val="515"/>
          <w:tblHeader/>
        </w:trPr>
        <w:tc>
          <w:tcPr>
            <w:tcW w:w="1834" w:type="dxa"/>
            <w:vMerge/>
            <w:shd w:val="clear" w:color="auto" w:fill="E2EFD9" w:themeFill="accent6" w:themeFillTint="33"/>
            <w:vAlign w:val="center"/>
          </w:tcPr>
          <w:p w:rsidR="00337D92" w:rsidRPr="00861C29" w:rsidRDefault="00337D92" w:rsidP="00337D92">
            <w:pPr>
              <w:jc w:val="center"/>
              <w:rPr>
                <w:b/>
                <w:u w:val="single"/>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sz w:val="24"/>
                <w:szCs w:val="24"/>
                <w:lang w:val="pt-BR"/>
              </w:rPr>
              <w:t>Risco de área de infiltração reduzida e maior escoamento de água da chuva.</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Proteger estruturas de engenharia contra resíduos sólidos;</w:t>
            </w:r>
          </w:p>
          <w:p w:rsidR="00337D92" w:rsidRPr="00861C29" w:rsidRDefault="00337D92" w:rsidP="00337D92">
            <w:pPr>
              <w:rPr>
                <w:lang w:val="pt-BR"/>
              </w:rPr>
            </w:pPr>
            <w:r w:rsidRPr="00861C29">
              <w:rPr>
                <w:lang w:val="pt-BR"/>
              </w:rPr>
              <w:t>- Evitar fenômenos de assoreamento de estruturas como pontes, embornais; bocais, canais de drenagem, etc.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sz w:val="24"/>
                <w:szCs w:val="24"/>
                <w:lang w:val="pt-BR"/>
              </w:rPr>
              <w:t>Assegurar a conservação e manutenção periódica e regular das estruturas de engenharia;</w:t>
            </w:r>
          </w:p>
        </w:tc>
      </w:tr>
      <w:tr w:rsidR="00337D92" w:rsidRPr="002623EB" w:rsidTr="008F798F">
        <w:trPr>
          <w:trHeight w:val="515"/>
          <w:tblHeader/>
        </w:trPr>
        <w:tc>
          <w:tcPr>
            <w:tcW w:w="1834" w:type="dxa"/>
            <w:vMerge/>
            <w:shd w:val="clear" w:color="auto" w:fill="E2EFD9" w:themeFill="accent6" w:themeFillTint="33"/>
            <w:vAlign w:val="center"/>
          </w:tcPr>
          <w:p w:rsidR="00337D92" w:rsidRPr="00861C29" w:rsidRDefault="00337D92" w:rsidP="00337D92">
            <w:pPr>
              <w:jc w:val="center"/>
              <w:rPr>
                <w:b/>
                <w:u w:val="single"/>
                <w:lang w:val="pt-BR"/>
              </w:rPr>
            </w:pPr>
          </w:p>
        </w:tc>
        <w:tc>
          <w:tcPr>
            <w:tcW w:w="3264" w:type="dxa"/>
            <w:tcBorders>
              <w:top w:val="single" w:sz="4" w:space="0" w:color="auto"/>
            </w:tcBorders>
            <w:shd w:val="clear" w:color="auto" w:fill="FFFFFF" w:themeFill="background1"/>
            <w:vAlign w:val="center"/>
          </w:tcPr>
          <w:p w:rsidR="00337D92" w:rsidRPr="00861C29" w:rsidRDefault="00337D92" w:rsidP="00337D92">
            <w:pPr>
              <w:rPr>
                <w:rFonts w:eastAsia="Calibri"/>
                <w:lang w:val="pt-BR"/>
              </w:rPr>
            </w:pPr>
            <w:r w:rsidRPr="00861C29">
              <w:rPr>
                <w:rFonts w:eastAsia="Calibri"/>
                <w:lang w:val="pt-BR"/>
              </w:rPr>
              <w:t>- Riscos de incêndios florestais ao longo da estrada;</w:t>
            </w:r>
          </w:p>
          <w:p w:rsidR="00337D92" w:rsidRPr="00861C29" w:rsidRDefault="00337D92" w:rsidP="004977FF">
            <w:pPr>
              <w:pStyle w:val="PargrafodaLista"/>
              <w:numPr>
                <w:ilvl w:val="0"/>
                <w:numId w:val="60"/>
              </w:numPr>
              <w:spacing w:line="240" w:lineRule="auto"/>
              <w:ind w:left="151" w:hanging="142"/>
              <w:jc w:val="both"/>
              <w:rPr>
                <w:rFonts w:ascii="Times New Roman" w:hAnsi="Times New Roman"/>
                <w:sz w:val="24"/>
                <w:szCs w:val="24"/>
                <w:lang w:val="pt-BR"/>
              </w:rPr>
            </w:pPr>
            <w:r w:rsidRPr="00861C29">
              <w:rPr>
                <w:rFonts w:ascii="Times New Roman" w:hAnsi="Times New Roman"/>
                <w:sz w:val="24"/>
                <w:szCs w:val="24"/>
                <w:lang w:val="pt-BR"/>
              </w:rPr>
              <w:t>Risco de acidentes com animais selvagens cruzando a estrada;</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Organizar campanhas de sensibilização para o combate aos incêndios florestais;</w:t>
            </w:r>
          </w:p>
          <w:p w:rsidR="00337D92" w:rsidRPr="00861C29" w:rsidRDefault="00337D92" w:rsidP="00337D92">
            <w:pPr>
              <w:rPr>
                <w:lang w:val="pt-BR"/>
              </w:rPr>
            </w:pPr>
            <w:r w:rsidRPr="00861C29">
              <w:rPr>
                <w:lang w:val="pt-BR"/>
              </w:rPr>
              <w:t>- Sensibilizar os condutores de veículos para evitar o lançamento de bitucas de cigarro;</w:t>
            </w:r>
          </w:p>
          <w:p w:rsidR="00337D92" w:rsidRPr="00861C29" w:rsidRDefault="00337D92" w:rsidP="00337D92">
            <w:pPr>
              <w:rPr>
                <w:lang w:val="pt-BR"/>
              </w:rPr>
            </w:pPr>
            <w:r w:rsidRPr="00861C29">
              <w:rPr>
                <w:lang w:val="pt-BR"/>
              </w:rPr>
              <w:t xml:space="preserve">- </w:t>
            </w:r>
            <w:r w:rsidR="008225F6" w:rsidRPr="00861C29">
              <w:rPr>
                <w:lang w:val="pt-BR"/>
              </w:rPr>
              <w:t>Evit</w:t>
            </w:r>
            <w:r w:rsidR="008225F6">
              <w:rPr>
                <w:lang w:val="pt-BR"/>
              </w:rPr>
              <w:t>ar</w:t>
            </w:r>
            <w:r w:rsidR="008225F6" w:rsidRPr="00861C29">
              <w:rPr>
                <w:lang w:val="pt-BR"/>
              </w:rPr>
              <w:t xml:space="preserve"> </w:t>
            </w:r>
            <w:r w:rsidRPr="00861C29">
              <w:rPr>
                <w:lang w:val="pt-BR"/>
              </w:rPr>
              <w:t xml:space="preserve">fazer fogo na </w:t>
            </w:r>
            <w:r w:rsidR="008225F6">
              <w:rPr>
                <w:lang w:val="pt-BR"/>
              </w:rPr>
              <w:t>margem</w:t>
            </w:r>
            <w:r w:rsidR="008225F6" w:rsidRPr="00861C29">
              <w:rPr>
                <w:lang w:val="pt-BR"/>
              </w:rPr>
              <w:t xml:space="preserve"> </w:t>
            </w:r>
            <w:r w:rsidRPr="00861C29">
              <w:rPr>
                <w:lang w:val="pt-BR"/>
              </w:rPr>
              <w:t>da estrada;</w:t>
            </w:r>
          </w:p>
          <w:p w:rsidR="00337D92" w:rsidRPr="00861C29" w:rsidRDefault="00337D92" w:rsidP="00337D92">
            <w:pPr>
              <w:rPr>
                <w:lang w:val="pt-BR"/>
              </w:rPr>
            </w:pPr>
            <w:r w:rsidRPr="00861C29">
              <w:rPr>
                <w:lang w:val="pt-BR"/>
              </w:rPr>
              <w:t xml:space="preserve">- </w:t>
            </w:r>
            <w:r w:rsidR="00D402CF" w:rsidRPr="00861C29">
              <w:rPr>
                <w:lang w:val="pt-BR"/>
              </w:rPr>
              <w:t>Mar</w:t>
            </w:r>
            <w:r w:rsidR="00D402CF">
              <w:rPr>
                <w:lang w:val="pt-BR"/>
              </w:rPr>
              <w:t>car</w:t>
            </w:r>
            <w:r w:rsidR="00D402CF" w:rsidRPr="00861C29">
              <w:rPr>
                <w:lang w:val="pt-BR"/>
              </w:rPr>
              <w:t xml:space="preserve"> </w:t>
            </w:r>
            <w:r w:rsidRPr="00861C29">
              <w:rPr>
                <w:lang w:val="pt-BR"/>
              </w:rPr>
              <w:t>claramente as áreas por onde os animais passam;</w:t>
            </w:r>
          </w:p>
          <w:p w:rsidR="00337D92" w:rsidRPr="00861C29" w:rsidRDefault="00337D92" w:rsidP="00337D92">
            <w:pPr>
              <w:rPr>
                <w:lang w:val="pt-BR"/>
              </w:rPr>
            </w:pPr>
            <w:r w:rsidRPr="00861C29">
              <w:rPr>
                <w:lang w:val="pt-BR"/>
              </w:rPr>
              <w:t xml:space="preserve">- Organizar jornadas de sensibilização e informação aos motoristas para a preservação de animais silvestres; </w:t>
            </w:r>
          </w:p>
        </w:tc>
      </w:tr>
      <w:tr w:rsidR="00337D92" w:rsidRPr="002623EB" w:rsidTr="008F798F">
        <w:trPr>
          <w:trHeight w:val="515"/>
          <w:tblHeader/>
        </w:trPr>
        <w:tc>
          <w:tcPr>
            <w:tcW w:w="1834" w:type="dxa"/>
            <w:vMerge/>
            <w:shd w:val="clear" w:color="auto" w:fill="E2EFD9" w:themeFill="accent6" w:themeFillTint="33"/>
            <w:vAlign w:val="center"/>
          </w:tcPr>
          <w:p w:rsidR="00337D92" w:rsidRPr="00861C29" w:rsidRDefault="00337D92" w:rsidP="00337D92">
            <w:pPr>
              <w:jc w:val="center"/>
              <w:rPr>
                <w:b/>
                <w:u w:val="single"/>
                <w:lang w:val="pt-BR"/>
              </w:rPr>
            </w:pPr>
          </w:p>
        </w:tc>
        <w:tc>
          <w:tcPr>
            <w:tcW w:w="3264" w:type="dxa"/>
            <w:tcBorders>
              <w:top w:val="single" w:sz="4" w:space="0" w:color="auto"/>
            </w:tcBorders>
            <w:shd w:val="clear" w:color="auto" w:fill="FFFFFF" w:themeFill="background1"/>
            <w:vAlign w:val="center"/>
          </w:tcPr>
          <w:p w:rsidR="00337D92" w:rsidRPr="00861C29" w:rsidRDefault="00337D92" w:rsidP="00337D92">
            <w:pPr>
              <w:rPr>
                <w:rFonts w:eastAsia="Calibri"/>
                <w:lang w:val="pt-BR"/>
              </w:rPr>
            </w:pPr>
            <w:r w:rsidRPr="00861C29">
              <w:rPr>
                <w:rFonts w:eastAsia="Calibri"/>
                <w:lang w:val="pt-BR"/>
              </w:rPr>
              <w:t>- Risco de acidentes devido à circulação de veículos;</w:t>
            </w:r>
          </w:p>
          <w:p w:rsidR="00337D92" w:rsidRPr="00861C29" w:rsidRDefault="00337D92" w:rsidP="00337D92">
            <w:pPr>
              <w:rPr>
                <w:rFonts w:eastAsia="Calibri"/>
                <w:lang w:val="pt-BR"/>
              </w:rPr>
            </w:pPr>
            <w:r w:rsidRPr="00861C29">
              <w:rPr>
                <w:rFonts w:eastAsia="Calibri"/>
                <w:lang w:val="pt-BR"/>
              </w:rPr>
              <w:t>- Risco de aumento do tráfego rodoviário;</w:t>
            </w:r>
          </w:p>
        </w:tc>
        <w:tc>
          <w:tcPr>
            <w:tcW w:w="5392" w:type="dxa"/>
            <w:tcBorders>
              <w:top w:val="single" w:sz="4" w:space="0" w:color="auto"/>
            </w:tcBorders>
            <w:shd w:val="clear" w:color="auto" w:fill="FFFFFF" w:themeFill="background1"/>
            <w:vAlign w:val="center"/>
          </w:tcPr>
          <w:p w:rsidR="00337D92" w:rsidRPr="00861C29" w:rsidRDefault="00337D92" w:rsidP="00337D92">
            <w:pPr>
              <w:rPr>
                <w:lang w:val="pt-BR"/>
              </w:rPr>
            </w:pPr>
            <w:r w:rsidRPr="00861C29">
              <w:rPr>
                <w:lang w:val="pt-BR"/>
              </w:rPr>
              <w:t xml:space="preserve">- </w:t>
            </w:r>
            <w:r w:rsidR="00D402CF" w:rsidRPr="00861C29">
              <w:rPr>
                <w:lang w:val="pt-BR"/>
              </w:rPr>
              <w:t>Colo</w:t>
            </w:r>
            <w:r w:rsidR="00D402CF">
              <w:rPr>
                <w:lang w:val="pt-BR"/>
              </w:rPr>
              <w:t>car</w:t>
            </w:r>
            <w:r w:rsidR="00D402CF" w:rsidRPr="00861C29">
              <w:rPr>
                <w:lang w:val="pt-BR"/>
              </w:rPr>
              <w:t xml:space="preserve"> </w:t>
            </w:r>
            <w:r w:rsidRPr="00861C29">
              <w:rPr>
                <w:lang w:val="pt-BR"/>
              </w:rPr>
              <w:t>sinais horizontais, verticais e de solo,</w:t>
            </w:r>
          </w:p>
          <w:p w:rsidR="00337D92" w:rsidRPr="00861C29" w:rsidRDefault="00337D92" w:rsidP="00337D92">
            <w:pPr>
              <w:rPr>
                <w:lang w:val="pt-BR"/>
              </w:rPr>
            </w:pPr>
            <w:r w:rsidRPr="00861C29">
              <w:rPr>
                <w:lang w:val="pt-BR"/>
              </w:rPr>
              <w:t xml:space="preserve">- </w:t>
            </w:r>
            <w:r w:rsidR="00D402CF" w:rsidRPr="00861C29">
              <w:rPr>
                <w:lang w:val="pt-BR"/>
              </w:rPr>
              <w:t>Mar</w:t>
            </w:r>
            <w:r w:rsidR="00D402CF">
              <w:rPr>
                <w:lang w:val="pt-BR"/>
              </w:rPr>
              <w:t>car</w:t>
            </w:r>
            <w:r w:rsidR="00D402CF" w:rsidRPr="00861C29">
              <w:rPr>
                <w:lang w:val="pt-BR"/>
              </w:rPr>
              <w:t xml:space="preserve"> </w:t>
            </w:r>
            <w:r w:rsidRPr="00861C29">
              <w:rPr>
                <w:lang w:val="pt-BR"/>
              </w:rPr>
              <w:t>claramente as passagens de pedestres, crianças, animais, etc.</w:t>
            </w:r>
          </w:p>
          <w:p w:rsidR="00337D92" w:rsidRPr="00861C29" w:rsidRDefault="00337D92" w:rsidP="00337D92">
            <w:pPr>
              <w:rPr>
                <w:lang w:val="pt-BR"/>
              </w:rPr>
            </w:pPr>
            <w:r w:rsidRPr="00861C29">
              <w:rPr>
                <w:lang w:val="pt-BR"/>
              </w:rPr>
              <w:t>- Conscientizar os motoristas sobre a segurança no trânsito;</w:t>
            </w:r>
          </w:p>
        </w:tc>
      </w:tr>
      <w:tr w:rsidR="00337D92" w:rsidRPr="002623EB" w:rsidTr="008F798F">
        <w:trPr>
          <w:trHeight w:val="1396"/>
          <w:tblHeader/>
        </w:trPr>
        <w:tc>
          <w:tcPr>
            <w:tcW w:w="1834" w:type="dxa"/>
            <w:vMerge w:val="restart"/>
            <w:shd w:val="clear" w:color="auto" w:fill="E2EFD9" w:themeFill="accent6" w:themeFillTint="33"/>
            <w:vAlign w:val="center"/>
          </w:tcPr>
          <w:p w:rsidR="00337D92" w:rsidRPr="00861C29" w:rsidRDefault="00337D92" w:rsidP="00337D92">
            <w:pPr>
              <w:jc w:val="center"/>
              <w:rPr>
                <w:b/>
                <w:u w:val="single"/>
                <w:lang w:val="pt-BR"/>
              </w:rPr>
            </w:pPr>
            <w:r w:rsidRPr="00861C29">
              <w:rPr>
                <w:b/>
                <w:lang w:val="pt-BR"/>
              </w:rPr>
              <w:lastRenderedPageBreak/>
              <w:t>Suporte para Redes de Segurança Comunitária (comum às várias obras)</w:t>
            </w: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Riscos de abuso e exploração sexual e assédio sexual </w:t>
            </w:r>
          </w:p>
        </w:tc>
        <w:tc>
          <w:tcPr>
            <w:tcW w:w="5392" w:type="dxa"/>
            <w:tcBorders>
              <w:top w:val="single" w:sz="4" w:space="0" w:color="auto"/>
            </w:tcBorders>
            <w:shd w:val="clear" w:color="auto" w:fill="FFFFFF" w:themeFill="background1"/>
          </w:tcPr>
          <w:p w:rsidR="00337D92" w:rsidRPr="00861C29" w:rsidRDefault="00D402CF"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Respeit</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os regulamentos internos dos sites</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Programas de apoio integrando a mobilização da comunidade sobre a VBG;</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Apoiar atividades com ampla representação da comunidade de base;</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Luta contra todos os tipos de discriminação contra as mulheres ou pessoas com deficiência;</w:t>
            </w:r>
          </w:p>
        </w:tc>
      </w:tr>
      <w:tr w:rsidR="00337D92" w:rsidRPr="002623EB" w:rsidTr="008F798F">
        <w:trPr>
          <w:trHeight w:val="320"/>
          <w:tblHeader/>
        </w:trPr>
        <w:tc>
          <w:tcPr>
            <w:tcW w:w="1834" w:type="dxa"/>
            <w:vMerge/>
            <w:shd w:val="clear" w:color="auto" w:fill="E2EFD9" w:themeFill="accent6" w:themeFillTint="33"/>
            <w:vAlign w:val="center"/>
          </w:tcPr>
          <w:p w:rsidR="00337D92" w:rsidRPr="00861C29" w:rsidRDefault="00337D92" w:rsidP="00337D92">
            <w:pPr>
              <w:jc w:val="center"/>
              <w:rPr>
                <w:b/>
                <w:u w:val="single"/>
                <w:lang w:val="pt-BR"/>
              </w:rPr>
            </w:pPr>
          </w:p>
        </w:tc>
        <w:tc>
          <w:tcPr>
            <w:tcW w:w="3264" w:type="dxa"/>
            <w:tcBorders>
              <w:top w:val="single" w:sz="4" w:space="0" w:color="auto"/>
            </w:tcBorders>
            <w:shd w:val="clear" w:color="auto" w:fill="FFFFFF" w:themeFill="background1"/>
            <w:vAlign w:val="center"/>
          </w:tcPr>
          <w:p w:rsidR="00337D92" w:rsidRPr="00861C29" w:rsidRDefault="00337D92" w:rsidP="004977FF">
            <w:pPr>
              <w:pStyle w:val="PargrafodaLista"/>
              <w:numPr>
                <w:ilvl w:val="0"/>
                <w:numId w:val="60"/>
              </w:numPr>
              <w:spacing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desenvolvimento de parasitoses em animais;</w:t>
            </w:r>
          </w:p>
          <w:p w:rsidR="00337D92" w:rsidRPr="00861C29" w:rsidRDefault="00337D92" w:rsidP="004977FF">
            <w:pPr>
              <w:pStyle w:val="PargrafodaLista"/>
              <w:numPr>
                <w:ilvl w:val="0"/>
                <w:numId w:val="60"/>
              </w:numPr>
              <w:spacing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emergência de doenças animais transfronteiriças;</w:t>
            </w:r>
          </w:p>
          <w:p w:rsidR="00337D92" w:rsidRPr="00861C29" w:rsidRDefault="00337D92" w:rsidP="004977FF">
            <w:pPr>
              <w:pStyle w:val="PargrafodaLista"/>
              <w:numPr>
                <w:ilvl w:val="0"/>
                <w:numId w:val="60"/>
              </w:numPr>
              <w:spacing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 xml:space="preserve">Risco de exposição a patógenos contidos em resíduos orgânicos e outras zoonoses </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Risco de ferimentos por seringas usadas, causando infecções (tétano);</w:t>
            </w:r>
          </w:p>
        </w:tc>
        <w:tc>
          <w:tcPr>
            <w:tcW w:w="5392" w:type="dxa"/>
            <w:tcBorders>
              <w:top w:val="single" w:sz="4" w:space="0" w:color="auto"/>
            </w:tcBorders>
            <w:shd w:val="clear" w:color="auto" w:fill="FFFFFF" w:themeFill="background1"/>
          </w:tcPr>
          <w:p w:rsidR="00337D92" w:rsidRPr="00861C29" w:rsidRDefault="00D402CF"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Organiz</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dias de conscientização com criadores para o combate a doenças e promoção da vacinação animal</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Montar parques de vacinação de gado</w:t>
            </w:r>
          </w:p>
          <w:p w:rsidR="00337D92" w:rsidRPr="00861C29" w:rsidRDefault="00D402CF"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Evit</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rotas de gado tanto quanto possível</w:t>
            </w:r>
          </w:p>
          <w:p w:rsidR="00337D92" w:rsidRPr="00861C29" w:rsidRDefault="00D402CF"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Evit</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jogar lixo orgânico na natureza</w:t>
            </w:r>
          </w:p>
          <w:p w:rsidR="00337D92" w:rsidRPr="00861C29" w:rsidRDefault="00337D92"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Dotar os responsáveis ​​pelas atividades de vacinação de material suficiente e de qualidade;</w:t>
            </w:r>
          </w:p>
          <w:p w:rsidR="00337D92" w:rsidRPr="00861C29" w:rsidRDefault="00D402CF"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Inform</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esses agentes sobre o risco de ferimentos causados ​​por seringas usadas;</w:t>
            </w:r>
          </w:p>
          <w:p w:rsidR="00337D92" w:rsidRPr="00861C29" w:rsidRDefault="00D402CF" w:rsidP="004977FF">
            <w:pPr>
              <w:pStyle w:val="PargrafodaLista"/>
              <w:numPr>
                <w:ilvl w:val="0"/>
                <w:numId w:val="60"/>
              </w:numPr>
              <w:spacing w:after="0" w:line="240" w:lineRule="auto"/>
              <w:ind w:left="151" w:hanging="142"/>
              <w:jc w:val="both"/>
              <w:rPr>
                <w:rFonts w:ascii="Times New Roman" w:hAnsi="Times New Roman"/>
                <w:color w:val="000000" w:themeColor="text1"/>
                <w:sz w:val="24"/>
                <w:szCs w:val="24"/>
                <w:lang w:val="pt-BR"/>
              </w:rPr>
            </w:pPr>
            <w:r w:rsidRPr="00861C29">
              <w:rPr>
                <w:rFonts w:ascii="Times New Roman" w:hAnsi="Times New Roman"/>
                <w:color w:val="000000" w:themeColor="text1"/>
                <w:sz w:val="24"/>
                <w:szCs w:val="24"/>
                <w:lang w:val="pt-BR"/>
              </w:rPr>
              <w:t>Evit</w:t>
            </w:r>
            <w:r>
              <w:rPr>
                <w:rFonts w:ascii="Times New Roman" w:hAnsi="Times New Roman"/>
                <w:color w:val="000000" w:themeColor="text1"/>
                <w:sz w:val="24"/>
                <w:szCs w:val="24"/>
                <w:lang w:val="pt-BR"/>
              </w:rPr>
              <w:t>ar</w:t>
            </w:r>
            <w:r w:rsidRPr="00861C29">
              <w:rPr>
                <w:rFonts w:ascii="Times New Roman" w:hAnsi="Times New Roman"/>
                <w:color w:val="000000" w:themeColor="text1"/>
                <w:sz w:val="24"/>
                <w:szCs w:val="24"/>
                <w:lang w:val="pt-BR"/>
              </w:rPr>
              <w:t xml:space="preserve"> </w:t>
            </w:r>
            <w:r w:rsidR="00337D92" w:rsidRPr="00861C29">
              <w:rPr>
                <w:rFonts w:ascii="Times New Roman" w:hAnsi="Times New Roman"/>
                <w:color w:val="000000" w:themeColor="text1"/>
                <w:sz w:val="24"/>
                <w:szCs w:val="24"/>
                <w:lang w:val="pt-BR"/>
              </w:rPr>
              <w:t>lagoas e, se possível, instale bebedouros em áreas onde o acesso à água é difícil</w:t>
            </w:r>
          </w:p>
          <w:p w:rsidR="00337D92" w:rsidRPr="00861C29" w:rsidRDefault="00337D92" w:rsidP="00337D92">
            <w:pPr>
              <w:rPr>
                <w:b/>
                <w:color w:val="000000" w:themeColor="text1"/>
                <w:lang w:val="pt-BR"/>
              </w:rPr>
            </w:pPr>
            <w:r w:rsidRPr="00861C29">
              <w:rPr>
                <w:color w:val="000000" w:themeColor="text1"/>
                <w:lang w:val="pt-BR"/>
              </w:rPr>
              <w:t>Aumentar os controles sobre a saúde do gado</w:t>
            </w:r>
          </w:p>
        </w:tc>
      </w:tr>
    </w:tbl>
    <w:p w:rsidR="00337D92" w:rsidRPr="00861C29" w:rsidRDefault="00337D92" w:rsidP="00337D92">
      <w:pPr>
        <w:tabs>
          <w:tab w:val="right" w:leader="dot" w:pos="10348"/>
        </w:tabs>
        <w:ind w:right="-993"/>
        <w:rPr>
          <w:bCs/>
          <w:lang w:val="pt-BR"/>
        </w:rPr>
      </w:pPr>
    </w:p>
    <w:p w:rsidR="00337D92" w:rsidRPr="00861C29" w:rsidRDefault="00337D92" w:rsidP="00337D92">
      <w:pPr>
        <w:tabs>
          <w:tab w:val="right" w:leader="dot" w:pos="10348"/>
        </w:tabs>
        <w:ind w:right="-993"/>
        <w:rPr>
          <w:bCs/>
          <w:lang w:val="pt-BR"/>
        </w:rPr>
      </w:pPr>
    </w:p>
    <w:p w:rsidR="00337D92" w:rsidRPr="00861C29" w:rsidRDefault="00416C86" w:rsidP="004977FF">
      <w:pPr>
        <w:pStyle w:val="PargrafodaLista"/>
        <w:numPr>
          <w:ilvl w:val="0"/>
          <w:numId w:val="246"/>
        </w:numPr>
        <w:tabs>
          <w:tab w:val="left" w:pos="1418"/>
          <w:tab w:val="left" w:pos="1843"/>
        </w:tabs>
        <w:spacing w:after="0" w:line="240" w:lineRule="auto"/>
        <w:ind w:right="-993"/>
        <w:contextualSpacing w:val="0"/>
        <w:rPr>
          <w:rFonts w:ascii="Times New Roman" w:hAnsi="Times New Roman"/>
          <w:b/>
          <w:bCs/>
          <w:i/>
          <w:sz w:val="24"/>
          <w:szCs w:val="24"/>
          <w:lang w:val="pt-BR"/>
        </w:rPr>
      </w:pPr>
      <w:r w:rsidRPr="00861C29">
        <w:rPr>
          <w:rFonts w:ascii="Times New Roman" w:hAnsi="Times New Roman"/>
          <w:b/>
          <w:bCs/>
          <w:i/>
          <w:sz w:val="24"/>
          <w:szCs w:val="24"/>
          <w:lang w:val="pt-BR"/>
        </w:rPr>
        <w:t xml:space="preserve">PROCEDIMENTO </w:t>
      </w:r>
      <w:r w:rsidR="00337D92" w:rsidRPr="00861C29">
        <w:rPr>
          <w:rFonts w:ascii="Times New Roman" w:hAnsi="Times New Roman"/>
          <w:b/>
          <w:bCs/>
          <w:i/>
          <w:sz w:val="24"/>
          <w:szCs w:val="24"/>
          <w:lang w:val="pt-BR"/>
        </w:rPr>
        <w:t>DE GESTÃO AMBIENTAL E SOCIAL</w:t>
      </w:r>
      <w:r w:rsidR="00337D92" w:rsidRPr="00861C29">
        <w:rPr>
          <w:rFonts w:ascii="Times New Roman" w:hAnsi="Times New Roman"/>
          <w:b/>
          <w:bCs/>
          <w:i/>
          <w:sz w:val="24"/>
          <w:szCs w:val="24"/>
          <w:lang w:val="pt-BR"/>
        </w:rPr>
        <w:tab/>
      </w:r>
    </w:p>
    <w:p w:rsidR="00337D92" w:rsidRPr="00861C29" w:rsidRDefault="00337D92" w:rsidP="00B10459">
      <w:pPr>
        <w:ind w:right="-144"/>
        <w:jc w:val="both"/>
        <w:rPr>
          <w:lang w:val="pt-BR"/>
        </w:rPr>
      </w:pPr>
      <w:r w:rsidRPr="00861C29">
        <w:rPr>
          <w:lang w:val="pt-BR"/>
        </w:rPr>
        <w:t>O Procedimento de Gestão Ambiental e Social (PGAS) apoiará a implementação das atividades do projeto de segurança alimentar de emergência (PUSA) nas suas áreas de intervenção no país.</w:t>
      </w:r>
    </w:p>
    <w:p w:rsidR="00337D92" w:rsidRPr="00861C29" w:rsidRDefault="00337D92" w:rsidP="00B10459">
      <w:pPr>
        <w:tabs>
          <w:tab w:val="right" w:leader="dot" w:pos="10348"/>
        </w:tabs>
        <w:ind w:right="-144"/>
        <w:jc w:val="both"/>
        <w:rPr>
          <w:lang w:val="pt-BR"/>
        </w:rPr>
      </w:pPr>
      <w:r w:rsidRPr="00861C29">
        <w:rPr>
          <w:lang w:val="pt-BR"/>
        </w:rPr>
        <w:t>É a ferramenta que permite aproveitar (ao máximo) os efeitos positivos do projeto, propondo um conjunto de medidas que visam eliminar ou reduzir os potenciais impactos negativos do projeto nas componentes biofísicas e sociais da intervenção. área. Seu principal objetivo é consolidar as ambições do Projeto PUSA, melhorando a renda de pequenos e grandes produtores agrícolas.</w:t>
      </w:r>
    </w:p>
    <w:p w:rsidR="00337D92" w:rsidRPr="00861C29" w:rsidRDefault="00337D92" w:rsidP="00B10459">
      <w:pPr>
        <w:ind w:right="-993"/>
        <w:jc w:val="both"/>
        <w:rPr>
          <w:lang w:val="pt-BR"/>
        </w:rPr>
      </w:pPr>
    </w:p>
    <w:p w:rsidR="00337D92" w:rsidRPr="00861C29" w:rsidRDefault="00337D92" w:rsidP="00B10459">
      <w:pPr>
        <w:ind w:right="-993"/>
        <w:jc w:val="both"/>
        <w:rPr>
          <w:lang w:val="pt-BR"/>
        </w:rPr>
      </w:pPr>
      <w:r w:rsidRPr="00861C29">
        <w:rPr>
          <w:lang w:val="pt-BR"/>
        </w:rPr>
        <w:t>A triagem visa os seguintes objetivos:</w:t>
      </w:r>
    </w:p>
    <w:p w:rsidR="00337D92" w:rsidRPr="00861C29" w:rsidRDefault="00337D92" w:rsidP="00927C67">
      <w:pPr>
        <w:numPr>
          <w:ilvl w:val="0"/>
          <w:numId w:val="63"/>
        </w:numPr>
        <w:ind w:left="426" w:hanging="283"/>
        <w:jc w:val="both"/>
        <w:rPr>
          <w:lang w:val="pt-BR"/>
        </w:rPr>
      </w:pPr>
      <w:r w:rsidRPr="00861C29">
        <w:rPr>
          <w:lang w:val="pt-BR"/>
        </w:rPr>
        <w:t>determinar as atividades da PUSA potencialmente com maiores impactos negativos a nível ambiental e social;</w:t>
      </w:r>
    </w:p>
    <w:p w:rsidR="00337D92" w:rsidRPr="00861C29" w:rsidRDefault="00337D92" w:rsidP="00927C67">
      <w:pPr>
        <w:numPr>
          <w:ilvl w:val="0"/>
          <w:numId w:val="63"/>
        </w:numPr>
        <w:ind w:left="426" w:hanging="283"/>
        <w:jc w:val="both"/>
        <w:rPr>
          <w:lang w:val="pt-BR"/>
        </w:rPr>
      </w:pPr>
      <w:r w:rsidRPr="00861C29">
        <w:rPr>
          <w:lang w:val="pt-BR"/>
        </w:rPr>
        <w:t>determinar as atividades que requerem estudos adicionais de impacto ambiental e social (</w:t>
      </w:r>
      <w:r w:rsidR="00B21230" w:rsidRPr="00861C29">
        <w:rPr>
          <w:lang w:val="pt-BR"/>
        </w:rPr>
        <w:t>EIAS</w:t>
      </w:r>
      <w:r w:rsidRPr="00861C29">
        <w:rPr>
          <w:lang w:val="pt-BR"/>
        </w:rPr>
        <w:t>);</w:t>
      </w:r>
    </w:p>
    <w:p w:rsidR="00337D92" w:rsidRPr="00861C29" w:rsidRDefault="00337D92" w:rsidP="00927C67">
      <w:pPr>
        <w:numPr>
          <w:ilvl w:val="0"/>
          <w:numId w:val="63"/>
        </w:numPr>
        <w:ind w:left="426" w:hanging="283"/>
        <w:jc w:val="both"/>
        <w:rPr>
          <w:lang w:val="pt-BR"/>
        </w:rPr>
      </w:pPr>
      <w:r w:rsidRPr="00861C29">
        <w:rPr>
          <w:lang w:val="pt-BR"/>
        </w:rPr>
        <w:t xml:space="preserve">para atividades que não requerem um </w:t>
      </w:r>
      <w:r w:rsidR="00E342E8">
        <w:rPr>
          <w:lang w:val="pt-BR"/>
        </w:rPr>
        <w:t>EIAS</w:t>
      </w:r>
      <w:r w:rsidRPr="00861C29">
        <w:rPr>
          <w:lang w:val="pt-BR"/>
        </w:rPr>
        <w:t>, identifique as medidas de mitigação relevantes a serem incluídas nos registros dessas atividades;</w:t>
      </w:r>
    </w:p>
    <w:p w:rsidR="00337D92" w:rsidRPr="00861C29" w:rsidRDefault="00337D92" w:rsidP="00337D92">
      <w:pPr>
        <w:ind w:left="426" w:right="-847"/>
        <w:jc w:val="both"/>
        <w:rPr>
          <w:lang w:val="pt-BR"/>
        </w:rPr>
      </w:pPr>
    </w:p>
    <w:p w:rsidR="00337D92" w:rsidRPr="00861C29" w:rsidRDefault="00337D92" w:rsidP="004977FF">
      <w:pPr>
        <w:pStyle w:val="PargrafodaLista"/>
        <w:numPr>
          <w:ilvl w:val="1"/>
          <w:numId w:val="64"/>
        </w:numPr>
        <w:spacing w:after="0" w:line="240" w:lineRule="auto"/>
        <w:ind w:right="-993"/>
        <w:outlineLvl w:val="1"/>
        <w:rPr>
          <w:rFonts w:ascii="Times New Roman" w:hAnsi="Times New Roman"/>
          <w:b/>
          <w:bCs/>
          <w:sz w:val="24"/>
          <w:szCs w:val="24"/>
        </w:rPr>
      </w:pPr>
      <w:bookmarkStart w:id="50" w:name="_Toc75432237"/>
      <w:r w:rsidRPr="00861C29">
        <w:rPr>
          <w:rFonts w:ascii="Times New Roman" w:hAnsi="Times New Roman"/>
          <w:b/>
          <w:bCs/>
          <w:sz w:val="24"/>
          <w:szCs w:val="24"/>
        </w:rPr>
        <w:t>AÇÕES CORRETIVAS</w:t>
      </w:r>
      <w:bookmarkEnd w:id="50"/>
    </w:p>
    <w:p w:rsidR="00337D92" w:rsidRPr="00861C29" w:rsidRDefault="00337D92" w:rsidP="00B10459">
      <w:pPr>
        <w:ind w:right="-144"/>
        <w:jc w:val="both"/>
        <w:rPr>
          <w:lang w:val="pt-BR"/>
        </w:rPr>
      </w:pPr>
      <w:r w:rsidRPr="00861C29">
        <w:rPr>
          <w:lang w:val="pt-BR"/>
        </w:rPr>
        <w:t>Para evitar / reduzir os impactos negativos do Projecto de Emergência de Segurança Alimentar na Guiné-Bissau (PUSA), são frequentemente tomadas medidas com vista a amplificar os seus impactos positivos. O projeto PUSA já integrou várias medidas neste sentido.</w:t>
      </w:r>
    </w:p>
    <w:p w:rsidR="00337D92" w:rsidRPr="00861C29" w:rsidRDefault="00337D92" w:rsidP="00337D92">
      <w:pPr>
        <w:tabs>
          <w:tab w:val="right" w:leader="dot" w:pos="10348"/>
        </w:tabs>
        <w:ind w:left="-284" w:right="-993"/>
        <w:jc w:val="both"/>
      </w:pPr>
    </w:p>
    <w:p w:rsidR="00337D92" w:rsidRPr="00861C29" w:rsidRDefault="00337D92" w:rsidP="004977FF">
      <w:pPr>
        <w:pStyle w:val="PargrafodaLista"/>
        <w:numPr>
          <w:ilvl w:val="0"/>
          <w:numId w:val="252"/>
        </w:numPr>
        <w:spacing w:after="0" w:line="240" w:lineRule="auto"/>
        <w:ind w:left="709" w:right="-993"/>
        <w:outlineLvl w:val="1"/>
        <w:rPr>
          <w:rFonts w:ascii="Times New Roman" w:hAnsi="Times New Roman"/>
          <w:b/>
          <w:bCs/>
          <w:sz w:val="24"/>
          <w:szCs w:val="24"/>
          <w:lang w:val="pt-BR"/>
        </w:rPr>
      </w:pPr>
      <w:bookmarkStart w:id="51" w:name="_Toc75432238"/>
      <w:r w:rsidRPr="00861C29">
        <w:rPr>
          <w:rFonts w:ascii="Times New Roman" w:hAnsi="Times New Roman"/>
          <w:b/>
          <w:bCs/>
          <w:sz w:val="24"/>
          <w:szCs w:val="24"/>
          <w:lang w:val="pt-BR"/>
        </w:rPr>
        <w:t>O processo e as etapas da seleção ambiental e social das atividades da PUSA</w:t>
      </w:r>
      <w:bookmarkEnd w:id="51"/>
    </w:p>
    <w:p w:rsidR="00337D92" w:rsidRPr="00861C29" w:rsidRDefault="00337D92" w:rsidP="00B10459">
      <w:pPr>
        <w:ind w:right="-144"/>
        <w:jc w:val="both"/>
        <w:rPr>
          <w:lang w:val="pt-BR"/>
        </w:rPr>
      </w:pPr>
      <w:r w:rsidRPr="00861C29">
        <w:rPr>
          <w:lang w:val="pt-BR"/>
        </w:rPr>
        <w:t xml:space="preserve">Conforme anunciado na secção relativa ao enquadramento legal e regulamentar, a lei do ambiente da Guiné-Bissau ainda não definiu um procedimento de classificação e selecção ambiental e social de projectos. Além disso, um processo de seleção ambiental e social será </w:t>
      </w:r>
      <w:r w:rsidRPr="00861C29">
        <w:rPr>
          <w:lang w:val="pt-BR"/>
        </w:rPr>
        <w:lastRenderedPageBreak/>
        <w:t>proposto abaixo para os subprojetos elegíveis no âmbito do projeto de segurança alimentar de emergência (PUSA).</w:t>
      </w:r>
    </w:p>
    <w:p w:rsidR="00337D92" w:rsidRPr="00861C29" w:rsidRDefault="00337D92" w:rsidP="00B10459">
      <w:pPr>
        <w:ind w:right="-144"/>
        <w:jc w:val="both"/>
        <w:rPr>
          <w:lang w:val="pt-BR"/>
        </w:rPr>
      </w:pPr>
      <w:r w:rsidRPr="00861C29">
        <w:rPr>
          <w:lang w:val="pt-BR"/>
        </w:rPr>
        <w:t>O Projeto apoiará a implementação de subprojetos que serão escolhidos e validados pelas comunidades. No processo de triagem, o objetivo é eliminar os subprojetos que exigiriam intervenções complicadas em nível ambiental e social.</w:t>
      </w:r>
    </w:p>
    <w:p w:rsidR="00337D92" w:rsidRPr="00861C29" w:rsidRDefault="00337D92" w:rsidP="00B10459">
      <w:pPr>
        <w:ind w:right="-144"/>
        <w:jc w:val="both"/>
        <w:rPr>
          <w:lang w:val="pt-BR"/>
        </w:rPr>
      </w:pPr>
      <w:r w:rsidRPr="00861C29">
        <w:rPr>
          <w:lang w:val="pt-BR"/>
        </w:rPr>
        <w:t xml:space="preserve">No total, trata-se de conduzir a subprojetos: </w:t>
      </w:r>
    </w:p>
    <w:p w:rsidR="00337D92" w:rsidRPr="00861C29" w:rsidRDefault="00337D92" w:rsidP="00D47C37">
      <w:pPr>
        <w:pStyle w:val="PargrafodaLista"/>
        <w:widowControl w:val="0"/>
        <w:numPr>
          <w:ilvl w:val="0"/>
          <w:numId w:val="248"/>
        </w:numPr>
        <w:tabs>
          <w:tab w:val="left" w:pos="220"/>
        </w:tabs>
        <w:autoSpaceDE w:val="0"/>
        <w:autoSpaceDN w:val="0"/>
        <w:adjustRightInd w:val="0"/>
        <w:ind w:right="-144"/>
        <w:rPr>
          <w:rFonts w:ascii="Times New Roman" w:hAnsi="Times New Roman"/>
          <w:color w:val="000000"/>
          <w:sz w:val="24"/>
          <w:szCs w:val="24"/>
          <w:lang w:val="pt-BR" w:eastAsia="en-US"/>
        </w:rPr>
      </w:pPr>
      <w:r w:rsidRPr="00861C29">
        <w:rPr>
          <w:rFonts w:ascii="Times New Roman" w:hAnsi="Times New Roman"/>
          <w:color w:val="000000"/>
          <w:sz w:val="24"/>
          <w:szCs w:val="24"/>
          <w:lang w:val="pt-BR" w:eastAsia="en-US"/>
        </w:rPr>
        <w:t>que não acionam uma política de salvaguarda (portanto, nenhum impacto), ou</w:t>
      </w:r>
    </w:p>
    <w:p w:rsidR="00337D92" w:rsidRPr="00861C29" w:rsidRDefault="00337D92" w:rsidP="00D47C37">
      <w:pPr>
        <w:pStyle w:val="PargrafodaLista"/>
        <w:widowControl w:val="0"/>
        <w:numPr>
          <w:ilvl w:val="0"/>
          <w:numId w:val="248"/>
        </w:numPr>
        <w:tabs>
          <w:tab w:val="left" w:pos="220"/>
        </w:tabs>
        <w:autoSpaceDE w:val="0"/>
        <w:autoSpaceDN w:val="0"/>
        <w:adjustRightInd w:val="0"/>
        <w:ind w:right="-144"/>
        <w:rPr>
          <w:rFonts w:ascii="Times New Roman" w:hAnsi="Times New Roman"/>
          <w:color w:val="000000"/>
          <w:sz w:val="24"/>
          <w:szCs w:val="24"/>
          <w:lang w:val="pt-BR" w:eastAsia="en-US"/>
        </w:rPr>
      </w:pPr>
      <w:r w:rsidRPr="00861C29">
        <w:rPr>
          <w:rFonts w:ascii="Times New Roman" w:hAnsi="Times New Roman"/>
          <w:color w:val="000000"/>
          <w:sz w:val="24"/>
          <w:szCs w:val="24"/>
          <w:lang w:val="pt-BR" w:eastAsia="en-US"/>
        </w:rPr>
        <w:t>que geram impactos considerados “moderados ou pequenos” (nestes casos, não será necessário fazer uma avaliação de impacto completa, mas sim uma Avaliação Ambiental Inicial (IAA).</w:t>
      </w:r>
    </w:p>
    <w:p w:rsidR="00337D92" w:rsidRPr="00861C29" w:rsidRDefault="00337D92" w:rsidP="004977FF">
      <w:pPr>
        <w:pStyle w:val="PargrafodaLista"/>
        <w:widowControl w:val="0"/>
        <w:numPr>
          <w:ilvl w:val="0"/>
          <w:numId w:val="248"/>
        </w:numPr>
        <w:tabs>
          <w:tab w:val="left" w:pos="220"/>
        </w:tabs>
        <w:autoSpaceDE w:val="0"/>
        <w:autoSpaceDN w:val="0"/>
        <w:adjustRightInd w:val="0"/>
        <w:spacing w:after="0" w:line="240" w:lineRule="auto"/>
        <w:ind w:right="-993" w:hanging="720"/>
        <w:rPr>
          <w:rFonts w:ascii="Times New Roman" w:hAnsi="Times New Roman"/>
          <w:i/>
          <w:iCs/>
          <w:color w:val="000000"/>
          <w:sz w:val="24"/>
          <w:szCs w:val="24"/>
          <w:u w:val="single"/>
          <w:lang w:val="pt-BR" w:eastAsia="en-US"/>
        </w:rPr>
      </w:pPr>
      <w:r w:rsidRPr="00861C29">
        <w:rPr>
          <w:rFonts w:ascii="Times New Roman" w:hAnsi="Times New Roman"/>
          <w:i/>
          <w:iCs/>
          <w:color w:val="000000"/>
          <w:sz w:val="24"/>
          <w:szCs w:val="24"/>
          <w:u w:val="single"/>
          <w:lang w:val="pt-BR" w:eastAsia="en-US"/>
        </w:rPr>
        <w:t xml:space="preserve">Etapa 1: Preenchimento do formulário de seleção ambiental e social para microprojetos </w:t>
      </w:r>
    </w:p>
    <w:p w:rsidR="00337D92" w:rsidRPr="00861C29" w:rsidRDefault="00337D92" w:rsidP="004977FF">
      <w:pPr>
        <w:pStyle w:val="PargrafodaLista"/>
        <w:widowControl w:val="0"/>
        <w:numPr>
          <w:ilvl w:val="0"/>
          <w:numId w:val="248"/>
        </w:numPr>
        <w:tabs>
          <w:tab w:val="left" w:pos="220"/>
        </w:tabs>
        <w:autoSpaceDE w:val="0"/>
        <w:autoSpaceDN w:val="0"/>
        <w:adjustRightInd w:val="0"/>
        <w:spacing w:after="0" w:line="240" w:lineRule="auto"/>
        <w:ind w:right="-993" w:hanging="720"/>
        <w:rPr>
          <w:rFonts w:ascii="Times New Roman" w:hAnsi="Times New Roman"/>
          <w:i/>
          <w:iCs/>
          <w:color w:val="000000"/>
          <w:sz w:val="24"/>
          <w:szCs w:val="24"/>
          <w:u w:val="single"/>
          <w:lang w:val="pt-BR" w:eastAsia="en-US"/>
        </w:rPr>
      </w:pPr>
      <w:r w:rsidRPr="00861C29">
        <w:rPr>
          <w:rFonts w:ascii="Times New Roman" w:hAnsi="Times New Roman"/>
          <w:i/>
          <w:iCs/>
          <w:color w:val="000000"/>
          <w:sz w:val="24"/>
          <w:szCs w:val="24"/>
          <w:u w:val="single"/>
          <w:lang w:val="pt-BR" w:eastAsia="en-US"/>
        </w:rPr>
        <w:t xml:space="preserve">Etapa 2: Validação da seleção e classificação ambiental e social de microprojetos </w:t>
      </w:r>
    </w:p>
    <w:p w:rsidR="00337D92" w:rsidRPr="00861C29" w:rsidRDefault="00337D92" w:rsidP="004977FF">
      <w:pPr>
        <w:pStyle w:val="PargrafodaLista"/>
        <w:widowControl w:val="0"/>
        <w:numPr>
          <w:ilvl w:val="0"/>
          <w:numId w:val="248"/>
        </w:numPr>
        <w:tabs>
          <w:tab w:val="left" w:pos="220"/>
        </w:tabs>
        <w:autoSpaceDE w:val="0"/>
        <w:autoSpaceDN w:val="0"/>
        <w:adjustRightInd w:val="0"/>
        <w:spacing w:after="0" w:line="240" w:lineRule="auto"/>
        <w:ind w:right="-993" w:hanging="720"/>
        <w:rPr>
          <w:rFonts w:ascii="Times New Roman" w:hAnsi="Times New Roman"/>
          <w:i/>
          <w:iCs/>
          <w:color w:val="000000"/>
          <w:sz w:val="24"/>
          <w:szCs w:val="24"/>
          <w:u w:val="single"/>
          <w:lang w:val="pt-BR" w:eastAsia="en-US"/>
        </w:rPr>
      </w:pPr>
      <w:r w:rsidRPr="00861C29">
        <w:rPr>
          <w:rFonts w:ascii="Times New Roman" w:hAnsi="Times New Roman"/>
          <w:i/>
          <w:iCs/>
          <w:color w:val="000000"/>
          <w:sz w:val="24"/>
          <w:szCs w:val="24"/>
          <w:u w:val="single"/>
          <w:lang w:val="pt-BR" w:eastAsia="en-US"/>
        </w:rPr>
        <w:t>Etapa 3: Realização de “trabalho” ambiental e social</w:t>
      </w:r>
    </w:p>
    <w:p w:rsidR="00337D92" w:rsidRPr="00861C29" w:rsidRDefault="00337D92" w:rsidP="004977FF">
      <w:pPr>
        <w:pStyle w:val="PargrafodaLista"/>
        <w:widowControl w:val="0"/>
        <w:numPr>
          <w:ilvl w:val="0"/>
          <w:numId w:val="248"/>
        </w:numPr>
        <w:tabs>
          <w:tab w:val="left" w:pos="220"/>
        </w:tabs>
        <w:autoSpaceDE w:val="0"/>
        <w:autoSpaceDN w:val="0"/>
        <w:adjustRightInd w:val="0"/>
        <w:spacing w:after="0" w:line="240" w:lineRule="auto"/>
        <w:ind w:right="-993" w:hanging="720"/>
        <w:rPr>
          <w:rFonts w:ascii="Times New Roman" w:hAnsi="Times New Roman"/>
          <w:i/>
          <w:iCs/>
          <w:color w:val="000000"/>
          <w:sz w:val="24"/>
          <w:szCs w:val="24"/>
          <w:u w:val="single"/>
          <w:lang w:val="pt-BR" w:eastAsia="en-US"/>
        </w:rPr>
      </w:pPr>
      <w:r w:rsidRPr="00861C29">
        <w:rPr>
          <w:rFonts w:ascii="Times New Roman" w:hAnsi="Times New Roman"/>
          <w:i/>
          <w:iCs/>
          <w:color w:val="000000"/>
          <w:sz w:val="24"/>
          <w:szCs w:val="24"/>
          <w:u w:val="single"/>
          <w:lang w:val="pt-BR" w:eastAsia="en-US"/>
        </w:rPr>
        <w:t xml:space="preserve">Etapa 4: Consultas públicas e participação e divulgação: </w:t>
      </w:r>
    </w:p>
    <w:p w:rsidR="00337D92" w:rsidRPr="00861C29" w:rsidRDefault="00337D92" w:rsidP="00337D92">
      <w:pPr>
        <w:pStyle w:val="PargrafodaLista"/>
        <w:widowControl w:val="0"/>
        <w:tabs>
          <w:tab w:val="left" w:pos="220"/>
        </w:tabs>
        <w:autoSpaceDE w:val="0"/>
        <w:autoSpaceDN w:val="0"/>
        <w:adjustRightInd w:val="0"/>
        <w:spacing w:after="0" w:line="240" w:lineRule="auto"/>
        <w:ind w:right="-993"/>
        <w:rPr>
          <w:i/>
          <w:iCs/>
          <w:color w:val="000000"/>
          <w:sz w:val="24"/>
          <w:szCs w:val="24"/>
          <w:lang w:val="pt-BR" w:eastAsia="en-US"/>
        </w:rPr>
      </w:pPr>
    </w:p>
    <w:p w:rsidR="00337D92" w:rsidRPr="00861C29" w:rsidRDefault="00337D92" w:rsidP="004977FF">
      <w:pPr>
        <w:pStyle w:val="PargrafodaLista"/>
        <w:numPr>
          <w:ilvl w:val="0"/>
          <w:numId w:val="254"/>
        </w:numPr>
        <w:spacing w:after="0" w:line="240" w:lineRule="auto"/>
        <w:ind w:left="709" w:right="-993" w:hanging="283"/>
        <w:outlineLvl w:val="1"/>
        <w:rPr>
          <w:rFonts w:ascii="Times New Roman" w:hAnsi="Times New Roman"/>
          <w:b/>
          <w:bCs/>
          <w:sz w:val="24"/>
          <w:szCs w:val="24"/>
          <w:lang w:val="pt-BR"/>
        </w:rPr>
      </w:pPr>
      <w:bookmarkStart w:id="52" w:name="_Toc75432239"/>
      <w:r w:rsidRPr="00861C29">
        <w:rPr>
          <w:rFonts w:ascii="Times New Roman" w:hAnsi="Times New Roman"/>
          <w:b/>
          <w:bCs/>
          <w:sz w:val="24"/>
          <w:szCs w:val="24"/>
          <w:lang w:val="pt-BR"/>
        </w:rPr>
        <w:t>PROGRAMA DE MONITORAMENTO E MONITORAMENTO AMBIENTAL E SOCIAL</w:t>
      </w:r>
      <w:bookmarkEnd w:id="52"/>
    </w:p>
    <w:p w:rsidR="00337D92" w:rsidRPr="00861C29" w:rsidRDefault="00337D92" w:rsidP="00337D92">
      <w:pPr>
        <w:ind w:left="924" w:right="-993"/>
        <w:jc w:val="both"/>
        <w:rPr>
          <w:rFonts w:eastAsia="Calibri"/>
          <w:lang w:val="pt-BR"/>
        </w:rPr>
      </w:pPr>
    </w:p>
    <w:p w:rsidR="00337D92" w:rsidRPr="00861C29" w:rsidRDefault="00337D92" w:rsidP="004977FF">
      <w:pPr>
        <w:pStyle w:val="PargrafodaLista"/>
        <w:numPr>
          <w:ilvl w:val="0"/>
          <w:numId w:val="253"/>
        </w:numPr>
        <w:spacing w:after="0" w:line="240" w:lineRule="auto"/>
        <w:ind w:right="-993"/>
        <w:outlineLvl w:val="1"/>
        <w:rPr>
          <w:rFonts w:ascii="Times New Roman" w:hAnsi="Times New Roman"/>
          <w:b/>
          <w:bCs/>
          <w:sz w:val="24"/>
          <w:szCs w:val="24"/>
          <w:lang w:val="pt-BR"/>
        </w:rPr>
      </w:pPr>
      <w:bookmarkStart w:id="53" w:name="_Toc75432240"/>
      <w:r w:rsidRPr="00861C29">
        <w:rPr>
          <w:rFonts w:ascii="Times New Roman" w:hAnsi="Times New Roman"/>
          <w:b/>
          <w:bCs/>
          <w:sz w:val="24"/>
          <w:szCs w:val="24"/>
          <w:lang w:val="pt-BR"/>
        </w:rPr>
        <w:t>Indicadores de monitoramento para o processo de implementação</w:t>
      </w:r>
      <w:bookmarkEnd w:id="53"/>
    </w:p>
    <w:p w:rsidR="00337D92" w:rsidRPr="00861C29" w:rsidRDefault="00337D92" w:rsidP="00B10459">
      <w:pPr>
        <w:ind w:right="144"/>
        <w:jc w:val="both"/>
        <w:rPr>
          <w:lang w:val="pt-BR"/>
        </w:rPr>
      </w:pPr>
      <w:r w:rsidRPr="00861C29">
        <w:rPr>
          <w:lang w:val="pt-BR"/>
        </w:rPr>
        <w:t>Esses indicadores são usados ​​para avaliar o nível de implementação do Plano de Gestão Ambiental e Social e se relacionam com:</w:t>
      </w:r>
    </w:p>
    <w:p w:rsidR="00337D92" w:rsidRPr="00861C29" w:rsidRDefault="00337D92" w:rsidP="00D47C37">
      <w:pPr>
        <w:ind w:left="709" w:right="144"/>
        <w:jc w:val="both"/>
        <w:rPr>
          <w:lang w:val="pt-BR"/>
        </w:rPr>
      </w:pPr>
    </w:p>
    <w:p w:rsidR="00337D92" w:rsidRPr="00861C29" w:rsidRDefault="00337D92" w:rsidP="00D47C37">
      <w:pPr>
        <w:pStyle w:val="PargrafodaLista"/>
        <w:numPr>
          <w:ilvl w:val="0"/>
          <w:numId w:val="257"/>
        </w:numPr>
        <w:spacing w:after="0" w:line="240" w:lineRule="auto"/>
        <w:ind w:right="144"/>
        <w:jc w:val="both"/>
        <w:rPr>
          <w:rFonts w:ascii="Times New Roman" w:hAnsi="Times New Roman"/>
          <w:sz w:val="24"/>
          <w:szCs w:val="24"/>
          <w:lang w:val="pt-BR"/>
        </w:rPr>
      </w:pPr>
      <w:r w:rsidRPr="00861C29">
        <w:rPr>
          <w:rFonts w:ascii="Times New Roman" w:hAnsi="Times New Roman"/>
          <w:sz w:val="24"/>
          <w:szCs w:val="24"/>
          <w:lang w:val="pt-BR"/>
        </w:rPr>
        <w:t xml:space="preserve">O recrutamento de um consultor ambiental especializado trabalhando na unidade de coordenação do projeto e que seria responsável pelo monitoramento ambiental; </w:t>
      </w:r>
    </w:p>
    <w:p w:rsidR="00337D92" w:rsidRPr="00861C29" w:rsidRDefault="00337D92" w:rsidP="00D47C37">
      <w:pPr>
        <w:pStyle w:val="PargrafodaLista"/>
        <w:numPr>
          <w:ilvl w:val="0"/>
          <w:numId w:val="257"/>
        </w:numPr>
        <w:spacing w:after="0" w:line="240" w:lineRule="auto"/>
        <w:ind w:right="144"/>
        <w:jc w:val="both"/>
        <w:rPr>
          <w:rFonts w:ascii="Times New Roman" w:hAnsi="Times New Roman"/>
          <w:sz w:val="24"/>
          <w:szCs w:val="24"/>
          <w:lang w:val="pt-BR"/>
        </w:rPr>
      </w:pPr>
      <w:r w:rsidRPr="00861C29">
        <w:rPr>
          <w:rFonts w:ascii="Times New Roman" w:hAnsi="Times New Roman"/>
          <w:sz w:val="24"/>
          <w:szCs w:val="24"/>
          <w:lang w:val="pt-BR"/>
        </w:rPr>
        <w:t>A designação de pontos focais ambientais e sociais vinculados ao Ministério do Meio Ambiente (AAAC)</w:t>
      </w:r>
    </w:p>
    <w:p w:rsidR="00337D92" w:rsidRPr="00861C29" w:rsidRDefault="00337D92" w:rsidP="00D47C37">
      <w:pPr>
        <w:pStyle w:val="PargrafodaLista"/>
        <w:numPr>
          <w:ilvl w:val="0"/>
          <w:numId w:val="257"/>
        </w:numPr>
        <w:spacing w:after="0" w:line="240" w:lineRule="auto"/>
        <w:ind w:right="144"/>
        <w:jc w:val="both"/>
        <w:rPr>
          <w:rFonts w:ascii="Times New Roman" w:hAnsi="Times New Roman"/>
          <w:sz w:val="24"/>
          <w:szCs w:val="24"/>
          <w:lang w:val="pt-BR"/>
        </w:rPr>
      </w:pPr>
      <w:r w:rsidRPr="00861C29">
        <w:rPr>
          <w:rFonts w:ascii="Times New Roman" w:hAnsi="Times New Roman"/>
          <w:sz w:val="24"/>
          <w:szCs w:val="24"/>
          <w:lang w:val="pt-BR"/>
        </w:rPr>
        <w:t xml:space="preserve">A eficácia das avaliações ambientais na implementação das atividades do projeto </w:t>
      </w:r>
    </w:p>
    <w:p w:rsidR="00337D92" w:rsidRPr="00861C29" w:rsidRDefault="00337D92" w:rsidP="00D47C37">
      <w:pPr>
        <w:pStyle w:val="PargrafodaLista"/>
        <w:numPr>
          <w:ilvl w:val="0"/>
          <w:numId w:val="257"/>
        </w:numPr>
        <w:spacing w:after="0" w:line="240" w:lineRule="auto"/>
        <w:ind w:right="144"/>
        <w:jc w:val="both"/>
        <w:rPr>
          <w:rFonts w:ascii="Times New Roman" w:hAnsi="Times New Roman"/>
          <w:sz w:val="24"/>
          <w:szCs w:val="24"/>
          <w:lang w:val="pt-BR"/>
        </w:rPr>
      </w:pPr>
      <w:r w:rsidRPr="00861C29">
        <w:rPr>
          <w:rFonts w:ascii="Times New Roman" w:hAnsi="Times New Roman"/>
          <w:sz w:val="24"/>
          <w:szCs w:val="24"/>
          <w:lang w:val="pt-BR"/>
        </w:rPr>
        <w:t xml:space="preserve">A implementação de programas de capacitação </w:t>
      </w:r>
    </w:p>
    <w:p w:rsidR="00337D92" w:rsidRPr="00861C29" w:rsidRDefault="00337D92" w:rsidP="00D47C37">
      <w:pPr>
        <w:pStyle w:val="PargrafodaLista"/>
        <w:numPr>
          <w:ilvl w:val="0"/>
          <w:numId w:val="257"/>
        </w:numPr>
        <w:spacing w:after="0" w:line="240" w:lineRule="auto"/>
        <w:ind w:right="144"/>
        <w:jc w:val="both"/>
        <w:rPr>
          <w:rFonts w:ascii="Times New Roman" w:hAnsi="Times New Roman"/>
          <w:sz w:val="24"/>
          <w:szCs w:val="24"/>
          <w:lang w:val="pt-BR"/>
        </w:rPr>
      </w:pPr>
      <w:r w:rsidRPr="00861C29">
        <w:rPr>
          <w:rFonts w:ascii="Times New Roman" w:hAnsi="Times New Roman"/>
          <w:sz w:val="24"/>
          <w:szCs w:val="24"/>
          <w:lang w:val="pt-BR"/>
        </w:rPr>
        <w:t>A eficácia da coordenação e do monitoramento ambiental e social.</w:t>
      </w:r>
    </w:p>
    <w:p w:rsidR="00337D92" w:rsidRPr="00861C29" w:rsidRDefault="00337D92" w:rsidP="00D47C37">
      <w:pPr>
        <w:pStyle w:val="PargrafodaLista"/>
        <w:numPr>
          <w:ilvl w:val="0"/>
          <w:numId w:val="257"/>
        </w:numPr>
        <w:spacing w:after="0" w:line="240" w:lineRule="auto"/>
        <w:ind w:right="144"/>
        <w:jc w:val="both"/>
        <w:rPr>
          <w:rFonts w:ascii="Times New Roman" w:hAnsi="Times New Roman"/>
          <w:sz w:val="24"/>
          <w:szCs w:val="24"/>
          <w:lang w:val="pt-BR"/>
        </w:rPr>
      </w:pPr>
      <w:r w:rsidRPr="00861C29">
        <w:rPr>
          <w:rFonts w:ascii="Times New Roman" w:hAnsi="Times New Roman"/>
          <w:sz w:val="24"/>
          <w:szCs w:val="24"/>
          <w:lang w:val="pt-BR"/>
        </w:rPr>
        <w:t>Número de acidentes ligados ao não cumprimento das medidas de segurança</w:t>
      </w:r>
    </w:p>
    <w:p w:rsidR="00337D92" w:rsidRPr="00861C29" w:rsidRDefault="00337D92" w:rsidP="00337D92">
      <w:pPr>
        <w:ind w:left="709" w:right="-993"/>
        <w:jc w:val="both"/>
        <w:rPr>
          <w:rFonts w:eastAsia="Calibri"/>
          <w:lang w:val="pt-BR"/>
        </w:rPr>
      </w:pPr>
    </w:p>
    <w:p w:rsidR="00337D92" w:rsidRPr="00861C29" w:rsidRDefault="00337D92" w:rsidP="00927C67">
      <w:pPr>
        <w:pStyle w:val="PargrafodaLista"/>
        <w:numPr>
          <w:ilvl w:val="0"/>
          <w:numId w:val="254"/>
        </w:numPr>
        <w:spacing w:after="0" w:line="240" w:lineRule="auto"/>
        <w:ind w:left="709" w:hanging="283"/>
        <w:outlineLvl w:val="1"/>
        <w:rPr>
          <w:rFonts w:ascii="Times New Roman" w:hAnsi="Times New Roman"/>
          <w:b/>
          <w:bCs/>
          <w:sz w:val="24"/>
          <w:szCs w:val="24"/>
          <w:lang w:val="pt-BR"/>
        </w:rPr>
      </w:pPr>
      <w:bookmarkStart w:id="54" w:name="_Toc75432241"/>
      <w:r w:rsidRPr="00861C29">
        <w:rPr>
          <w:rFonts w:ascii="Times New Roman" w:hAnsi="Times New Roman"/>
          <w:b/>
          <w:bCs/>
          <w:sz w:val="24"/>
          <w:szCs w:val="24"/>
          <w:lang w:val="pt-BR"/>
        </w:rPr>
        <w:t>DESCRIÇÃO DE CAPACITAÇÃO, TREINAMENTO E ASSISTÊNCIA TÉCNICA</w:t>
      </w:r>
      <w:bookmarkEnd w:id="54"/>
    </w:p>
    <w:p w:rsidR="00337D92" w:rsidRPr="00861C29" w:rsidRDefault="00337D92" w:rsidP="00337D92">
      <w:pPr>
        <w:ind w:right="-993"/>
        <w:rPr>
          <w:lang w:val="pt-BR"/>
        </w:rPr>
      </w:pPr>
      <w:r w:rsidRPr="00861C29">
        <w:rPr>
          <w:lang w:val="pt-BR"/>
        </w:rPr>
        <w:tab/>
      </w:r>
    </w:p>
    <w:p w:rsidR="00337D92" w:rsidRPr="00861C29" w:rsidRDefault="00337D92" w:rsidP="004977FF">
      <w:pPr>
        <w:pStyle w:val="PargrafodaLista"/>
        <w:numPr>
          <w:ilvl w:val="0"/>
          <w:numId w:val="255"/>
        </w:numPr>
        <w:spacing w:after="0" w:line="240" w:lineRule="auto"/>
        <w:ind w:right="-993"/>
        <w:outlineLvl w:val="1"/>
        <w:rPr>
          <w:rFonts w:ascii="Times New Roman" w:hAnsi="Times New Roman"/>
          <w:bCs/>
          <w:sz w:val="24"/>
          <w:szCs w:val="24"/>
          <w:lang w:val="pt-BR"/>
        </w:rPr>
      </w:pPr>
      <w:bookmarkStart w:id="55" w:name="_Toc75432242"/>
      <w:r w:rsidRPr="00861C29">
        <w:rPr>
          <w:rFonts w:ascii="Times New Roman" w:hAnsi="Times New Roman"/>
          <w:bCs/>
          <w:sz w:val="24"/>
          <w:szCs w:val="24"/>
          <w:lang w:val="pt-BR"/>
        </w:rPr>
        <w:t>Responsabilidade pela implementação da seleção ambiental e social</w:t>
      </w:r>
      <w:bookmarkEnd w:id="55"/>
    </w:p>
    <w:p w:rsidR="00337D92" w:rsidRPr="00861C29" w:rsidRDefault="00337D92" w:rsidP="004977FF">
      <w:pPr>
        <w:pStyle w:val="PargrafodaLista"/>
        <w:numPr>
          <w:ilvl w:val="0"/>
          <w:numId w:val="255"/>
        </w:numPr>
        <w:spacing w:after="0" w:line="240" w:lineRule="auto"/>
        <w:ind w:right="-993"/>
        <w:outlineLvl w:val="1"/>
        <w:rPr>
          <w:rFonts w:ascii="Times New Roman" w:hAnsi="Times New Roman"/>
          <w:bCs/>
          <w:sz w:val="24"/>
          <w:szCs w:val="24"/>
          <w:lang w:val="pt-BR"/>
        </w:rPr>
      </w:pPr>
      <w:bookmarkStart w:id="56" w:name="_Toc75432243"/>
      <w:r w:rsidRPr="00861C29">
        <w:rPr>
          <w:rFonts w:ascii="Times New Roman" w:hAnsi="Times New Roman"/>
          <w:bCs/>
          <w:sz w:val="24"/>
          <w:szCs w:val="24"/>
          <w:lang w:val="pt-BR"/>
        </w:rPr>
        <w:t>Recomendações para a gestão ambiental e social do projeto</w:t>
      </w:r>
      <w:bookmarkEnd w:id="56"/>
    </w:p>
    <w:p w:rsidR="00337D92" w:rsidRPr="00861C29" w:rsidRDefault="00337D92" w:rsidP="004977FF">
      <w:pPr>
        <w:pStyle w:val="Cabealho3"/>
        <w:keepLines/>
        <w:numPr>
          <w:ilvl w:val="2"/>
          <w:numId w:val="105"/>
        </w:numPr>
        <w:spacing w:before="0" w:after="0"/>
        <w:ind w:left="2268" w:right="-993"/>
        <w:jc w:val="both"/>
        <w:rPr>
          <w:rFonts w:ascii="Times New Roman" w:hAnsi="Times New Roman"/>
          <w:b w:val="0"/>
          <w:sz w:val="24"/>
          <w:szCs w:val="24"/>
        </w:rPr>
      </w:pPr>
      <w:r w:rsidRPr="00861C29">
        <w:rPr>
          <w:rFonts w:ascii="Times New Roman" w:hAnsi="Times New Roman"/>
          <w:b w:val="0"/>
          <w:sz w:val="24"/>
          <w:szCs w:val="24"/>
        </w:rPr>
        <w:t>Medidas de fortalecimento institucional</w:t>
      </w:r>
    </w:p>
    <w:p w:rsidR="00337D92" w:rsidRPr="00861C29" w:rsidRDefault="00337D92" w:rsidP="004977FF">
      <w:pPr>
        <w:pStyle w:val="Cabealho3"/>
        <w:keepLines/>
        <w:numPr>
          <w:ilvl w:val="2"/>
          <w:numId w:val="105"/>
        </w:numPr>
        <w:spacing w:before="0" w:after="0"/>
        <w:ind w:left="2268" w:right="-993"/>
        <w:jc w:val="both"/>
        <w:rPr>
          <w:rFonts w:ascii="Times New Roman" w:hAnsi="Times New Roman"/>
          <w:b w:val="0"/>
          <w:sz w:val="24"/>
          <w:szCs w:val="24"/>
        </w:rPr>
      </w:pPr>
      <w:r w:rsidRPr="00861C29">
        <w:rPr>
          <w:rFonts w:ascii="Times New Roman" w:hAnsi="Times New Roman"/>
          <w:b w:val="0"/>
          <w:sz w:val="24"/>
          <w:szCs w:val="24"/>
        </w:rPr>
        <w:t>Medidas de fortalecimento técnico</w:t>
      </w:r>
    </w:p>
    <w:p w:rsidR="00337D92" w:rsidRPr="00861C29" w:rsidRDefault="00337D92" w:rsidP="00927C67">
      <w:pPr>
        <w:pStyle w:val="PargrafodaLista"/>
        <w:numPr>
          <w:ilvl w:val="0"/>
          <w:numId w:val="256"/>
        </w:numPr>
        <w:spacing w:before="60" w:after="0" w:line="240" w:lineRule="auto"/>
        <w:ind w:left="1134" w:right="-142"/>
        <w:contextualSpacing w:val="0"/>
        <w:jc w:val="both"/>
        <w:rPr>
          <w:rFonts w:ascii="Times New Roman" w:hAnsi="Times New Roman"/>
          <w:bCs/>
          <w:i/>
          <w:iCs/>
          <w:sz w:val="24"/>
          <w:szCs w:val="24"/>
          <w:lang w:val="pt-BR"/>
        </w:rPr>
      </w:pPr>
      <w:r w:rsidRPr="00861C29">
        <w:rPr>
          <w:rFonts w:ascii="Times New Roman" w:hAnsi="Times New Roman"/>
          <w:bCs/>
          <w:i/>
          <w:iCs/>
          <w:sz w:val="24"/>
          <w:szCs w:val="24"/>
          <w:lang w:val="pt-BR"/>
        </w:rPr>
        <w:t xml:space="preserve">Provisão para a realização de Estudos de Impacto Ambiental e Social e sua implementação </w:t>
      </w:r>
    </w:p>
    <w:p w:rsidR="00337D92" w:rsidRPr="00861C29" w:rsidRDefault="00337D92" w:rsidP="00927C67">
      <w:pPr>
        <w:pStyle w:val="PargrafodaLista"/>
        <w:numPr>
          <w:ilvl w:val="0"/>
          <w:numId w:val="256"/>
        </w:numPr>
        <w:spacing w:before="60" w:after="0" w:line="240" w:lineRule="auto"/>
        <w:ind w:left="1134" w:right="-142"/>
        <w:contextualSpacing w:val="0"/>
        <w:jc w:val="both"/>
        <w:rPr>
          <w:rFonts w:ascii="Times New Roman" w:hAnsi="Times New Roman"/>
          <w:bCs/>
          <w:i/>
          <w:iCs/>
          <w:sz w:val="24"/>
          <w:szCs w:val="24"/>
          <w:lang w:val="pt-BR"/>
        </w:rPr>
      </w:pPr>
      <w:r w:rsidRPr="00861C29">
        <w:rPr>
          <w:rFonts w:ascii="Times New Roman" w:hAnsi="Times New Roman"/>
          <w:bCs/>
          <w:i/>
          <w:iCs/>
          <w:sz w:val="24"/>
          <w:szCs w:val="24"/>
          <w:lang w:val="pt-BR"/>
        </w:rPr>
        <w:t>Monitoramento e avaliação das atividades do projeto</w:t>
      </w:r>
    </w:p>
    <w:p w:rsidR="00337D92" w:rsidRPr="00861C29" w:rsidRDefault="00337D92" w:rsidP="004977FF">
      <w:pPr>
        <w:pStyle w:val="Cabealho3"/>
        <w:keepLines/>
        <w:numPr>
          <w:ilvl w:val="2"/>
          <w:numId w:val="105"/>
        </w:numPr>
        <w:spacing w:before="0" w:after="0"/>
        <w:ind w:left="2268" w:right="-993"/>
        <w:jc w:val="both"/>
        <w:rPr>
          <w:rFonts w:ascii="Times New Roman" w:hAnsi="Times New Roman"/>
          <w:b w:val="0"/>
          <w:sz w:val="24"/>
          <w:szCs w:val="24"/>
          <w:lang w:val="pt-BR"/>
        </w:rPr>
      </w:pPr>
      <w:r w:rsidRPr="00861C29">
        <w:rPr>
          <w:rFonts w:ascii="Times New Roman" w:hAnsi="Times New Roman"/>
          <w:b w:val="0"/>
          <w:sz w:val="24"/>
          <w:szCs w:val="24"/>
          <w:lang w:val="pt-BR"/>
        </w:rPr>
        <w:t>Capacitação dos atores envolvidos na implantação do projeto</w:t>
      </w:r>
    </w:p>
    <w:p w:rsidR="00337D92" w:rsidRPr="00861C29" w:rsidRDefault="00337D92" w:rsidP="004977FF">
      <w:pPr>
        <w:pStyle w:val="PargrafodaLista"/>
        <w:numPr>
          <w:ilvl w:val="0"/>
          <w:numId w:val="255"/>
        </w:numPr>
        <w:spacing w:after="0" w:line="240" w:lineRule="auto"/>
        <w:ind w:right="-993"/>
        <w:outlineLvl w:val="1"/>
        <w:rPr>
          <w:rFonts w:ascii="Times New Roman" w:hAnsi="Times New Roman"/>
          <w:bCs/>
          <w:sz w:val="24"/>
          <w:szCs w:val="24"/>
        </w:rPr>
      </w:pPr>
      <w:bookmarkStart w:id="57" w:name="_Toc75432244"/>
      <w:r w:rsidRPr="00861C29">
        <w:rPr>
          <w:rFonts w:ascii="Times New Roman" w:hAnsi="Times New Roman"/>
          <w:bCs/>
          <w:sz w:val="24"/>
          <w:szCs w:val="24"/>
        </w:rPr>
        <w:t>Módulos de treinamento</w:t>
      </w:r>
      <w:bookmarkEnd w:id="57"/>
    </w:p>
    <w:p w:rsidR="00337D92" w:rsidRPr="00861C29" w:rsidRDefault="00337D92" w:rsidP="004977FF">
      <w:pPr>
        <w:pStyle w:val="PargrafodaLista"/>
        <w:numPr>
          <w:ilvl w:val="0"/>
          <w:numId w:val="61"/>
        </w:numPr>
        <w:spacing w:before="40" w:after="0" w:line="240" w:lineRule="auto"/>
        <w:ind w:left="2410" w:right="-993"/>
        <w:jc w:val="both"/>
        <w:rPr>
          <w:rFonts w:ascii="Times New Roman" w:hAnsi="Times New Roman"/>
          <w:i/>
          <w:sz w:val="24"/>
          <w:szCs w:val="24"/>
          <w:lang w:val="pt-BR"/>
        </w:rPr>
      </w:pPr>
      <w:r w:rsidRPr="00861C29">
        <w:rPr>
          <w:rFonts w:ascii="Times New Roman" w:hAnsi="Times New Roman"/>
          <w:i/>
          <w:sz w:val="24"/>
          <w:szCs w:val="24"/>
          <w:lang w:val="pt-BR"/>
        </w:rPr>
        <w:t>Treinamento em atividades agrícolas com foco em</w:t>
      </w:r>
    </w:p>
    <w:p w:rsidR="00337D92" w:rsidRPr="00861C29" w:rsidRDefault="00337D92" w:rsidP="004977FF">
      <w:pPr>
        <w:pStyle w:val="PargrafodaLista"/>
        <w:numPr>
          <w:ilvl w:val="0"/>
          <w:numId w:val="61"/>
        </w:numPr>
        <w:spacing w:before="40" w:after="0" w:line="240" w:lineRule="auto"/>
        <w:ind w:left="2410" w:right="-993"/>
        <w:jc w:val="both"/>
        <w:rPr>
          <w:rFonts w:ascii="Times New Roman" w:hAnsi="Times New Roman"/>
          <w:i/>
          <w:sz w:val="24"/>
          <w:szCs w:val="24"/>
          <w:lang w:val="pt-BR"/>
        </w:rPr>
      </w:pPr>
      <w:r w:rsidRPr="00861C29">
        <w:rPr>
          <w:rFonts w:ascii="Times New Roman" w:hAnsi="Times New Roman"/>
          <w:i/>
          <w:sz w:val="24"/>
          <w:szCs w:val="24"/>
          <w:lang w:val="pt-BR"/>
        </w:rPr>
        <w:t xml:space="preserve">Treinamento em avaliações ambientais e sociais </w:t>
      </w:r>
    </w:p>
    <w:p w:rsidR="00337D92" w:rsidRPr="00861C29" w:rsidRDefault="00337D92" w:rsidP="004977FF">
      <w:pPr>
        <w:pStyle w:val="PargrafodaLista"/>
        <w:numPr>
          <w:ilvl w:val="0"/>
          <w:numId w:val="61"/>
        </w:numPr>
        <w:spacing w:after="0" w:line="240" w:lineRule="auto"/>
        <w:ind w:left="2410" w:right="-993"/>
        <w:outlineLvl w:val="1"/>
        <w:rPr>
          <w:rFonts w:ascii="Times New Roman" w:hAnsi="Times New Roman"/>
          <w:bCs/>
          <w:sz w:val="24"/>
          <w:szCs w:val="24"/>
          <w:lang w:val="pt-BR"/>
        </w:rPr>
      </w:pPr>
      <w:bookmarkStart w:id="58" w:name="_Toc75432245"/>
      <w:r w:rsidRPr="00861C29">
        <w:rPr>
          <w:rFonts w:ascii="Times New Roman" w:hAnsi="Times New Roman"/>
          <w:i/>
          <w:sz w:val="24"/>
          <w:szCs w:val="24"/>
          <w:lang w:val="pt-BR"/>
        </w:rPr>
        <w:t>Treinamento em monitoramento ambiental e social</w:t>
      </w:r>
      <w:bookmarkEnd w:id="58"/>
    </w:p>
    <w:p w:rsidR="00337D92" w:rsidRPr="00861C29" w:rsidRDefault="00337D92" w:rsidP="004977FF">
      <w:pPr>
        <w:pStyle w:val="PargrafodaLista"/>
        <w:numPr>
          <w:ilvl w:val="0"/>
          <w:numId w:val="61"/>
        </w:numPr>
        <w:spacing w:before="40" w:after="0" w:line="240" w:lineRule="auto"/>
        <w:ind w:left="2410" w:right="-993"/>
        <w:jc w:val="both"/>
        <w:rPr>
          <w:rFonts w:ascii="Times New Roman" w:hAnsi="Times New Roman"/>
          <w:i/>
          <w:sz w:val="24"/>
          <w:szCs w:val="24"/>
          <w:lang w:val="pt-BR"/>
        </w:rPr>
      </w:pPr>
      <w:r w:rsidRPr="00861C29">
        <w:rPr>
          <w:rFonts w:ascii="Times New Roman" w:hAnsi="Times New Roman"/>
          <w:i/>
          <w:sz w:val="24"/>
          <w:szCs w:val="24"/>
          <w:lang w:val="pt-BR"/>
        </w:rPr>
        <w:lastRenderedPageBreak/>
        <w:t xml:space="preserve">Capacitação em gestão de recursos naturais e meio ambiente (GRNE) </w:t>
      </w:r>
    </w:p>
    <w:p w:rsidR="00337D92" w:rsidRPr="00861C29" w:rsidRDefault="00337D92" w:rsidP="004977FF">
      <w:pPr>
        <w:pStyle w:val="PargrafodaLista"/>
        <w:numPr>
          <w:ilvl w:val="0"/>
          <w:numId w:val="61"/>
        </w:numPr>
        <w:spacing w:before="40" w:after="0" w:line="240" w:lineRule="auto"/>
        <w:ind w:left="2410" w:right="-993"/>
        <w:jc w:val="both"/>
        <w:rPr>
          <w:rFonts w:ascii="Times New Roman" w:hAnsi="Times New Roman"/>
          <w:i/>
          <w:sz w:val="24"/>
          <w:szCs w:val="24"/>
        </w:rPr>
      </w:pPr>
      <w:r w:rsidRPr="00861C29">
        <w:rPr>
          <w:rFonts w:ascii="Times New Roman" w:hAnsi="Times New Roman"/>
          <w:i/>
          <w:sz w:val="24"/>
          <w:szCs w:val="24"/>
        </w:rPr>
        <w:t xml:space="preserve">Treinamento de manejo de pesticidas </w:t>
      </w:r>
    </w:p>
    <w:p w:rsidR="00337D92" w:rsidRPr="00861C29" w:rsidRDefault="00337D92" w:rsidP="004977FF">
      <w:pPr>
        <w:pStyle w:val="PargrafodaLista"/>
        <w:numPr>
          <w:ilvl w:val="0"/>
          <w:numId w:val="255"/>
        </w:numPr>
        <w:spacing w:after="0" w:line="240" w:lineRule="auto"/>
        <w:ind w:right="-993"/>
        <w:outlineLvl w:val="1"/>
        <w:rPr>
          <w:rFonts w:ascii="Times New Roman" w:hAnsi="Times New Roman"/>
          <w:bCs/>
          <w:sz w:val="24"/>
          <w:szCs w:val="24"/>
        </w:rPr>
      </w:pPr>
      <w:bookmarkStart w:id="59" w:name="_Toc75432246"/>
      <w:r w:rsidRPr="00861C29">
        <w:rPr>
          <w:rFonts w:ascii="Times New Roman" w:hAnsi="Times New Roman"/>
          <w:bCs/>
          <w:sz w:val="24"/>
          <w:szCs w:val="24"/>
        </w:rPr>
        <w:t>Informação e Conscientização</w:t>
      </w:r>
      <w:bookmarkEnd w:id="59"/>
    </w:p>
    <w:p w:rsidR="00337D92" w:rsidRPr="00861C29" w:rsidRDefault="00337D92" w:rsidP="00337D92"/>
    <w:p w:rsidR="00337D92" w:rsidRPr="00861C29" w:rsidRDefault="00337D92" w:rsidP="004977FF">
      <w:pPr>
        <w:pStyle w:val="PargrafodaLista"/>
        <w:numPr>
          <w:ilvl w:val="0"/>
          <w:numId w:val="254"/>
        </w:numPr>
        <w:spacing w:after="0" w:line="240" w:lineRule="auto"/>
        <w:ind w:left="709" w:right="-993" w:hanging="283"/>
        <w:outlineLvl w:val="1"/>
        <w:rPr>
          <w:rFonts w:ascii="Times New Roman" w:hAnsi="Times New Roman"/>
          <w:b/>
          <w:bCs/>
          <w:sz w:val="24"/>
          <w:szCs w:val="24"/>
          <w:lang w:val="pt-BR"/>
        </w:rPr>
      </w:pPr>
      <w:bookmarkStart w:id="60" w:name="_Toc75432247"/>
      <w:r w:rsidRPr="00861C29">
        <w:rPr>
          <w:rFonts w:ascii="Times New Roman" w:hAnsi="Times New Roman"/>
          <w:b/>
          <w:bCs/>
          <w:sz w:val="24"/>
          <w:szCs w:val="24"/>
          <w:lang w:val="pt-BR"/>
        </w:rPr>
        <w:t>AVALIAÇÃO DOS CUSTOS DE MEDIDAS AMBIENTAIS E SOCIAIS</w:t>
      </w:r>
      <w:bookmarkEnd w:id="60"/>
    </w:p>
    <w:p w:rsidR="00337D92" w:rsidRPr="00861C29" w:rsidRDefault="00337D92" w:rsidP="00B10459">
      <w:pPr>
        <w:ind w:right="-144"/>
        <w:jc w:val="both"/>
        <w:rPr>
          <w:lang w:val="pt-BR"/>
        </w:rPr>
      </w:pPr>
      <w:r w:rsidRPr="00861C29">
        <w:rPr>
          <w:lang w:val="pt-BR"/>
        </w:rPr>
        <w:t xml:space="preserve">Os custos estimados para levar em consideração as medidas de mitigação ambiental e social, no total de </w:t>
      </w:r>
      <w:r w:rsidR="00AC77D0" w:rsidRPr="00AC77D0">
        <w:rPr>
          <w:b/>
          <w:bCs/>
          <w:lang w:val="pt-BR"/>
        </w:rPr>
        <w:t>10</w:t>
      </w:r>
      <w:r w:rsidRPr="00AC77D0">
        <w:rPr>
          <w:b/>
          <w:bCs/>
          <w:lang w:val="pt-BR"/>
        </w:rPr>
        <w:t>3.750.000 FCFA</w:t>
      </w:r>
      <w:r w:rsidRPr="00861C29">
        <w:rPr>
          <w:lang w:val="pt-BR"/>
        </w:rPr>
        <w:t xml:space="preserve">, incluem principalmente: Recrutamento de Especialistas Ambientais e Sociais; Realização de </w:t>
      </w:r>
      <w:r w:rsidR="00444D7F">
        <w:rPr>
          <w:lang w:val="pt-BR"/>
        </w:rPr>
        <w:t>Analise Ambiental Inicial (</w:t>
      </w:r>
      <w:r w:rsidRPr="00861C29">
        <w:rPr>
          <w:lang w:val="pt-BR"/>
        </w:rPr>
        <w:t>AEIs</w:t>
      </w:r>
      <w:r w:rsidR="00444D7F">
        <w:rPr>
          <w:lang w:val="pt-BR"/>
        </w:rPr>
        <w:t>)</w:t>
      </w:r>
      <w:r w:rsidRPr="00861C29">
        <w:rPr>
          <w:lang w:val="pt-BR"/>
        </w:rPr>
        <w:t xml:space="preserve"> incluindo sua implementação; Desenvolvimento de um banco de dados ambiental e social das atividades do programa; Monitoramento ambiental e social; Monitoramento ambiental e social; Avaliação (intercalar e final) do CGES do </w:t>
      </w:r>
      <w:r w:rsidR="00B10459" w:rsidRPr="00861C29">
        <w:rPr>
          <w:lang w:val="pt-BR"/>
        </w:rPr>
        <w:t xml:space="preserve">e AEI </w:t>
      </w:r>
      <w:r w:rsidRPr="00861C29">
        <w:rPr>
          <w:lang w:val="pt-BR"/>
        </w:rPr>
        <w:t>projeto PUSA.</w:t>
      </w:r>
    </w:p>
    <w:p w:rsidR="00337D92" w:rsidRDefault="00337D92" w:rsidP="00337D92">
      <w:pPr>
        <w:tabs>
          <w:tab w:val="right" w:leader="dot" w:pos="10348"/>
        </w:tabs>
        <w:ind w:right="-993"/>
        <w:rPr>
          <w:bCs/>
          <w:lang w:val="pt-BR"/>
        </w:rPr>
      </w:pPr>
    </w:p>
    <w:tbl>
      <w:tblPr>
        <w:tblStyle w:val="GrelhaClara-Cor3"/>
        <w:tblW w:w="9203" w:type="dxa"/>
        <w:jc w:val="center"/>
        <w:tblLook w:val="04A0" w:firstRow="1" w:lastRow="0" w:firstColumn="1" w:lastColumn="0" w:noHBand="0" w:noVBand="1"/>
      </w:tblPr>
      <w:tblGrid>
        <w:gridCol w:w="1669"/>
        <w:gridCol w:w="3164"/>
        <w:gridCol w:w="1750"/>
        <w:gridCol w:w="1308"/>
        <w:gridCol w:w="1312"/>
      </w:tblGrid>
      <w:tr w:rsidR="008E23EC" w:rsidRPr="00322F89" w:rsidTr="00647D50">
        <w:trPr>
          <w:cnfStyle w:val="100000000000" w:firstRow="1" w:lastRow="0" w:firstColumn="0" w:lastColumn="0" w:oddVBand="0" w:evenVBand="0" w:oddHBand="0" w:evenHBand="0" w:firstRowFirstColumn="0" w:firstRowLastColumn="0" w:lastRowFirstColumn="0" w:lastRowLastColumn="0"/>
          <w:trHeight w:val="60"/>
          <w:tblHeader/>
          <w:jc w:val="center"/>
        </w:trPr>
        <w:tc>
          <w:tcPr>
            <w:tcW w:w="0" w:type="auto"/>
            <w:gridSpan w:val="2"/>
            <w:shd w:val="clear" w:color="auto" w:fill="F2F2F2"/>
            <w:vAlign w:val="center"/>
          </w:tcPr>
          <w:p w:rsidR="008E23EC" w:rsidRPr="00322F89" w:rsidRDefault="008E23EC" w:rsidP="00647D50">
            <w:pPr>
              <w:ind w:right="12"/>
              <w:jc w:val="center"/>
              <w:rPr>
                <w:b/>
                <w:bCs/>
                <w:sz w:val="21"/>
                <w:szCs w:val="21"/>
              </w:rPr>
            </w:pPr>
            <w:r w:rsidRPr="00322F89">
              <w:rPr>
                <w:b/>
                <w:bCs/>
                <w:sz w:val="21"/>
                <w:szCs w:val="21"/>
                <w:lang w:val="pt"/>
              </w:rPr>
              <w:t>Atividades</w:t>
            </w:r>
          </w:p>
        </w:tc>
        <w:tc>
          <w:tcPr>
            <w:tcW w:w="1750" w:type="dxa"/>
            <w:shd w:val="clear" w:color="auto" w:fill="F2F2F2"/>
            <w:vAlign w:val="center"/>
          </w:tcPr>
          <w:p w:rsidR="008E23EC" w:rsidRPr="00322F89" w:rsidRDefault="008E23EC" w:rsidP="00647D50">
            <w:pPr>
              <w:ind w:right="12"/>
              <w:jc w:val="center"/>
              <w:rPr>
                <w:b/>
                <w:bCs/>
                <w:sz w:val="21"/>
                <w:szCs w:val="21"/>
              </w:rPr>
            </w:pPr>
            <w:r w:rsidRPr="00322F89">
              <w:rPr>
                <w:b/>
                <w:bCs/>
                <w:sz w:val="21"/>
                <w:szCs w:val="21"/>
                <w:lang w:val="pt"/>
              </w:rPr>
              <w:t>Quantidade</w:t>
            </w:r>
          </w:p>
        </w:tc>
        <w:tc>
          <w:tcPr>
            <w:tcW w:w="1308" w:type="dxa"/>
            <w:shd w:val="clear" w:color="auto" w:fill="F2F2F2"/>
            <w:vAlign w:val="center"/>
          </w:tcPr>
          <w:p w:rsidR="008E23EC" w:rsidRPr="00322F89" w:rsidRDefault="008E23EC" w:rsidP="00647D50">
            <w:pPr>
              <w:ind w:right="12"/>
              <w:jc w:val="center"/>
              <w:rPr>
                <w:b/>
                <w:bCs/>
                <w:sz w:val="21"/>
                <w:szCs w:val="21"/>
              </w:rPr>
            </w:pPr>
            <w:r w:rsidRPr="00322F89">
              <w:rPr>
                <w:b/>
                <w:bCs/>
                <w:sz w:val="21"/>
                <w:szCs w:val="21"/>
                <w:lang w:val="pt"/>
              </w:rPr>
              <w:t>Custos unitários</w:t>
            </w:r>
          </w:p>
          <w:p w:rsidR="008E23EC" w:rsidRPr="00322F89" w:rsidRDefault="008E23EC" w:rsidP="00647D50">
            <w:pPr>
              <w:ind w:right="12"/>
              <w:jc w:val="center"/>
              <w:rPr>
                <w:b/>
                <w:bCs/>
                <w:sz w:val="21"/>
                <w:szCs w:val="21"/>
              </w:rPr>
            </w:pPr>
            <w:r w:rsidRPr="00322F89">
              <w:rPr>
                <w:b/>
                <w:bCs/>
                <w:sz w:val="21"/>
                <w:szCs w:val="21"/>
                <w:lang w:val="pt"/>
              </w:rPr>
              <w:t>(FCFA)</w:t>
            </w:r>
          </w:p>
        </w:tc>
        <w:tc>
          <w:tcPr>
            <w:tcW w:w="1312" w:type="dxa"/>
            <w:shd w:val="clear" w:color="auto" w:fill="F2F2F2"/>
            <w:vAlign w:val="center"/>
          </w:tcPr>
          <w:p w:rsidR="008E23EC" w:rsidRPr="00322F89" w:rsidRDefault="008E23EC" w:rsidP="00647D50">
            <w:pPr>
              <w:ind w:right="12"/>
              <w:jc w:val="center"/>
              <w:rPr>
                <w:b/>
                <w:bCs/>
                <w:sz w:val="21"/>
                <w:szCs w:val="21"/>
              </w:rPr>
            </w:pPr>
            <w:r w:rsidRPr="00322F89">
              <w:rPr>
                <w:b/>
                <w:bCs/>
                <w:sz w:val="21"/>
                <w:szCs w:val="21"/>
                <w:lang w:val="pt"/>
              </w:rPr>
              <w:t>Custo total (FCFA)</w:t>
            </w:r>
          </w:p>
        </w:tc>
      </w:tr>
      <w:tr w:rsidR="008E23EC" w:rsidRPr="002623EB" w:rsidTr="00647D50">
        <w:trPr>
          <w:cnfStyle w:val="000000100000" w:firstRow="0" w:lastRow="0" w:firstColumn="0" w:lastColumn="0" w:oddVBand="0" w:evenVBand="0" w:oddHBand="1" w:evenHBand="0" w:firstRowFirstColumn="0" w:firstRowLastColumn="0" w:lastRowFirstColumn="0" w:lastRowLastColumn="0"/>
          <w:trHeight w:val="131"/>
          <w:jc w:val="center"/>
        </w:trPr>
        <w:tc>
          <w:tcPr>
            <w:tcW w:w="9203" w:type="dxa"/>
            <w:gridSpan w:val="5"/>
            <w:shd w:val="clear" w:color="auto" w:fill="F2F2F2"/>
          </w:tcPr>
          <w:p w:rsidR="008E23EC" w:rsidRPr="00FB3322" w:rsidRDefault="008E23EC" w:rsidP="00647D50">
            <w:pPr>
              <w:ind w:right="12"/>
              <w:jc w:val="center"/>
              <w:rPr>
                <w:sz w:val="21"/>
                <w:szCs w:val="21"/>
                <w:lang w:val="pt-BR"/>
              </w:rPr>
            </w:pPr>
            <w:r w:rsidRPr="00322F89">
              <w:rPr>
                <w:sz w:val="21"/>
                <w:szCs w:val="21"/>
                <w:lang w:val="pt"/>
              </w:rPr>
              <w:t>1. Custos de medidas técnicas e de acompanhamento</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590"/>
          <w:jc w:val="center"/>
        </w:trPr>
        <w:tc>
          <w:tcPr>
            <w:tcW w:w="0" w:type="auto"/>
            <w:gridSpan w:val="2"/>
            <w:shd w:val="clear" w:color="auto" w:fill="FFFFFF"/>
          </w:tcPr>
          <w:p w:rsidR="008E23EC" w:rsidRPr="00FB3322" w:rsidRDefault="008E23EC" w:rsidP="00647D50">
            <w:pPr>
              <w:numPr>
                <w:ilvl w:val="0"/>
                <w:numId w:val="90"/>
              </w:numPr>
              <w:ind w:right="12"/>
              <w:contextualSpacing/>
              <w:jc w:val="both"/>
              <w:rPr>
                <w:sz w:val="21"/>
                <w:szCs w:val="21"/>
                <w:lang w:val="pt-BR"/>
              </w:rPr>
            </w:pPr>
            <w:r w:rsidRPr="00322F89">
              <w:rPr>
                <w:spacing w:val="-2"/>
                <w:sz w:val="21"/>
                <w:szCs w:val="21"/>
                <w:lang w:val="pt"/>
              </w:rPr>
              <w:t>1</w:t>
            </w:r>
            <w:r w:rsidRPr="00322F89">
              <w:rPr>
                <w:sz w:val="21"/>
                <w:szCs w:val="21"/>
                <w:lang w:val="pt"/>
              </w:rPr>
              <w:t xml:space="preserve"> AEI para as atividades previstas em relação </w:t>
            </w:r>
            <w:r w:rsidRPr="00322F89">
              <w:rPr>
                <w:lang w:val="pt"/>
              </w:rPr>
              <w:t xml:space="preserve">ao Apoio à Produção </w:t>
            </w:r>
            <w:r w:rsidRPr="00322F89">
              <w:rPr>
                <w:b/>
                <w:sz w:val="21"/>
                <w:szCs w:val="21"/>
                <w:u w:val="single"/>
                <w:lang w:val="pt"/>
              </w:rPr>
              <w:t>Agrícola;</w:t>
            </w:r>
          </w:p>
          <w:p w:rsidR="008E23EC" w:rsidRPr="00FB3322" w:rsidRDefault="008E23EC" w:rsidP="00647D50">
            <w:pPr>
              <w:numPr>
                <w:ilvl w:val="0"/>
                <w:numId w:val="90"/>
              </w:numPr>
              <w:ind w:right="12"/>
              <w:contextualSpacing/>
              <w:jc w:val="both"/>
              <w:rPr>
                <w:sz w:val="21"/>
                <w:szCs w:val="21"/>
                <w:lang w:val="pt-BR"/>
              </w:rPr>
            </w:pPr>
            <w:r w:rsidRPr="00322F89">
              <w:rPr>
                <w:spacing w:val="-2"/>
                <w:sz w:val="21"/>
                <w:szCs w:val="21"/>
                <w:lang w:val="pt"/>
              </w:rPr>
              <w:t>1</w:t>
            </w:r>
            <w:r w:rsidRPr="00322F89">
              <w:rPr>
                <w:sz w:val="21"/>
                <w:szCs w:val="21"/>
                <w:lang w:val="pt"/>
              </w:rPr>
              <w:t xml:space="preserve"> AEI para atividades planejadas em relação</w:t>
            </w:r>
            <w:r w:rsidRPr="00322F89">
              <w:rPr>
                <w:lang w:val="pt"/>
              </w:rPr>
              <w:t xml:space="preserve"> ao</w:t>
            </w:r>
            <w:r w:rsidRPr="00322F89">
              <w:rPr>
                <w:b/>
                <w:sz w:val="21"/>
                <w:szCs w:val="21"/>
                <w:u w:val="single"/>
                <w:lang w:val="pt"/>
              </w:rPr>
              <w:t xml:space="preserve"> Suporte</w:t>
            </w:r>
            <w:r w:rsidRPr="00322F89">
              <w:rPr>
                <w:lang w:val="pt"/>
              </w:rPr>
              <w:t xml:space="preserve"> Líquido de Segurança Comunitária </w:t>
            </w:r>
            <w:r w:rsidRPr="00322F89">
              <w:rPr>
                <w:sz w:val="21"/>
                <w:szCs w:val="21"/>
                <w:lang w:val="pt"/>
              </w:rPr>
              <w:t>(conclusão de rotas de acesso; mercados e lojas locais)</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02</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2 000 000</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4 000 000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60"/>
          <w:jc w:val="center"/>
        </w:trPr>
        <w:tc>
          <w:tcPr>
            <w:tcW w:w="0" w:type="auto"/>
            <w:gridSpan w:val="2"/>
            <w:shd w:val="clear" w:color="auto" w:fill="E2EFD9" w:themeFill="accent6" w:themeFillTint="33"/>
          </w:tcPr>
          <w:p w:rsidR="008E23EC" w:rsidRPr="00322F89" w:rsidRDefault="008E23EC" w:rsidP="00647D50">
            <w:pPr>
              <w:ind w:right="12"/>
              <w:jc w:val="center"/>
              <w:rPr>
                <w:b/>
                <w:color w:val="FF0000"/>
                <w:sz w:val="21"/>
                <w:szCs w:val="21"/>
              </w:rPr>
            </w:pPr>
            <w:r w:rsidRPr="00322F89">
              <w:rPr>
                <w:b/>
                <w:color w:val="FF0000"/>
                <w:sz w:val="21"/>
                <w:szCs w:val="21"/>
                <w:lang w:val="pt"/>
              </w:rPr>
              <w:t>Subtotal 1</w:t>
            </w:r>
          </w:p>
        </w:tc>
        <w:tc>
          <w:tcPr>
            <w:tcW w:w="1750" w:type="dxa"/>
            <w:shd w:val="clear" w:color="auto" w:fill="E2EFD9" w:themeFill="accent6" w:themeFillTint="33"/>
            <w:vAlign w:val="center"/>
          </w:tcPr>
          <w:p w:rsidR="008E23EC" w:rsidRPr="00322F89" w:rsidRDefault="008E23EC" w:rsidP="00647D50">
            <w:pPr>
              <w:ind w:right="12"/>
              <w:jc w:val="center"/>
              <w:rPr>
                <w:b/>
                <w:color w:val="FF0000"/>
                <w:sz w:val="21"/>
                <w:szCs w:val="21"/>
              </w:rPr>
            </w:pPr>
            <w:r w:rsidRPr="00322F89">
              <w:rPr>
                <w:b/>
                <w:color w:val="FF0000"/>
                <w:sz w:val="21"/>
                <w:szCs w:val="21"/>
                <w:lang w:val="pt"/>
              </w:rPr>
              <w:t>02</w:t>
            </w:r>
          </w:p>
        </w:tc>
        <w:tc>
          <w:tcPr>
            <w:tcW w:w="1308" w:type="dxa"/>
            <w:shd w:val="clear" w:color="auto" w:fill="E2EFD9" w:themeFill="accent6" w:themeFillTint="33"/>
            <w:vAlign w:val="center"/>
          </w:tcPr>
          <w:p w:rsidR="008E23EC" w:rsidRPr="00322F89" w:rsidRDefault="008E23EC" w:rsidP="00647D50">
            <w:pPr>
              <w:ind w:right="12"/>
              <w:jc w:val="center"/>
              <w:rPr>
                <w:b/>
                <w:color w:val="FF0000"/>
                <w:sz w:val="21"/>
                <w:szCs w:val="21"/>
              </w:rPr>
            </w:pPr>
          </w:p>
        </w:tc>
        <w:tc>
          <w:tcPr>
            <w:tcW w:w="1312" w:type="dxa"/>
            <w:shd w:val="clear" w:color="auto" w:fill="E2EFD9" w:themeFill="accent6" w:themeFillTint="33"/>
            <w:vAlign w:val="center"/>
          </w:tcPr>
          <w:p w:rsidR="008E23EC" w:rsidRPr="00322F89" w:rsidRDefault="008E23EC" w:rsidP="00647D50">
            <w:pPr>
              <w:ind w:right="12"/>
              <w:jc w:val="center"/>
              <w:rPr>
                <w:b/>
                <w:color w:val="FF0000"/>
                <w:sz w:val="21"/>
                <w:szCs w:val="21"/>
              </w:rPr>
            </w:pPr>
            <w:r w:rsidRPr="00322F89">
              <w:rPr>
                <w:b/>
                <w:color w:val="FF0000"/>
                <w:sz w:val="21"/>
                <w:szCs w:val="21"/>
                <w:lang w:val="pt"/>
              </w:rPr>
              <w:t>4 000 000</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119"/>
          <w:jc w:val="center"/>
        </w:trPr>
        <w:tc>
          <w:tcPr>
            <w:tcW w:w="0" w:type="auto"/>
            <w:gridSpan w:val="2"/>
            <w:shd w:val="clear" w:color="auto" w:fill="FFFFFF"/>
          </w:tcPr>
          <w:p w:rsidR="008E23EC" w:rsidRPr="00FB3322" w:rsidRDefault="008E23EC" w:rsidP="00647D50">
            <w:pPr>
              <w:ind w:right="12"/>
              <w:rPr>
                <w:sz w:val="21"/>
                <w:szCs w:val="21"/>
                <w:lang w:val="pt-BR"/>
              </w:rPr>
            </w:pPr>
            <w:r w:rsidRPr="00322F89">
              <w:rPr>
                <w:sz w:val="21"/>
                <w:szCs w:val="21"/>
                <w:lang w:val="pt"/>
              </w:rPr>
              <w:t>Provisões para a implementação de EIAs</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Crime</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5 000 000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239"/>
          <w:jc w:val="center"/>
        </w:trPr>
        <w:tc>
          <w:tcPr>
            <w:tcW w:w="0" w:type="auto"/>
            <w:gridSpan w:val="2"/>
            <w:shd w:val="clear" w:color="auto" w:fill="FFFFFF"/>
          </w:tcPr>
          <w:p w:rsidR="008E23EC" w:rsidRPr="00FB3322" w:rsidRDefault="008E23EC" w:rsidP="00647D50">
            <w:pPr>
              <w:ind w:right="12"/>
              <w:rPr>
                <w:sz w:val="21"/>
                <w:szCs w:val="21"/>
                <w:lang w:val="pt-BR"/>
              </w:rPr>
            </w:pPr>
            <w:r w:rsidRPr="00322F89">
              <w:rPr>
                <w:sz w:val="21"/>
                <w:szCs w:val="21"/>
                <w:lang w:val="pt"/>
              </w:rPr>
              <w:t xml:space="preserve">Desenvolvimento de um manual de boas práticas de gestão, higiene, segurança e saúde em relação às atividades do projeto </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 manu</w:t>
            </w:r>
            <w:r w:rsidR="00455835">
              <w:rPr>
                <w:sz w:val="21"/>
                <w:szCs w:val="21"/>
                <w:lang w:val="pt"/>
              </w:rPr>
              <w:t>a</w:t>
            </w:r>
            <w:r w:rsidRPr="00322F89">
              <w:rPr>
                <w:sz w:val="21"/>
                <w:szCs w:val="21"/>
                <w:lang w:val="pt"/>
              </w:rPr>
              <w:t>l</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1 500 000</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1 500 000</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58"/>
          <w:jc w:val="center"/>
        </w:trPr>
        <w:tc>
          <w:tcPr>
            <w:tcW w:w="0" w:type="auto"/>
            <w:gridSpan w:val="2"/>
            <w:shd w:val="clear" w:color="auto" w:fill="FFFFFF"/>
          </w:tcPr>
          <w:p w:rsidR="008E23EC" w:rsidRPr="00FB3322" w:rsidRDefault="008E23EC" w:rsidP="00647D50">
            <w:pPr>
              <w:ind w:right="12"/>
              <w:rPr>
                <w:sz w:val="21"/>
                <w:szCs w:val="21"/>
                <w:lang w:val="pt-BR"/>
              </w:rPr>
            </w:pPr>
            <w:r w:rsidRPr="00322F89">
              <w:rPr>
                <w:sz w:val="21"/>
                <w:szCs w:val="21"/>
                <w:lang w:val="pt"/>
              </w:rPr>
              <w:t>Desenvolvimento de um plano de gestão de resíduos</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 relatório</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Crime</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1 500 000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239"/>
          <w:jc w:val="center"/>
        </w:trPr>
        <w:tc>
          <w:tcPr>
            <w:tcW w:w="0" w:type="auto"/>
            <w:gridSpan w:val="2"/>
            <w:shd w:val="clear" w:color="auto" w:fill="FFFFFF"/>
          </w:tcPr>
          <w:p w:rsidR="008E23EC" w:rsidRPr="00FB3322" w:rsidRDefault="008E23EC" w:rsidP="00647D50">
            <w:pPr>
              <w:ind w:right="12"/>
              <w:rPr>
                <w:sz w:val="21"/>
                <w:szCs w:val="21"/>
                <w:lang w:val="pt-BR"/>
              </w:rPr>
            </w:pPr>
            <w:r w:rsidRPr="00322F89">
              <w:rPr>
                <w:sz w:val="21"/>
                <w:szCs w:val="21"/>
                <w:lang w:val="pt"/>
              </w:rPr>
              <w:t>Provisões para a implantação de monitoramento e custo das atividades propostas</w:t>
            </w:r>
            <w:r w:rsidRPr="00322F89">
              <w:rPr>
                <w:lang w:val="pt"/>
              </w:rPr>
              <w:t xml:space="preserve"> no</w:t>
            </w:r>
            <w:r w:rsidRPr="00322F89">
              <w:rPr>
                <w:sz w:val="21"/>
                <w:szCs w:val="21"/>
                <w:lang w:val="pt"/>
              </w:rPr>
              <w:t xml:space="preserve"> PGPP</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Crime</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30 000 000</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239"/>
          <w:jc w:val="center"/>
        </w:trPr>
        <w:tc>
          <w:tcPr>
            <w:tcW w:w="0" w:type="auto"/>
            <w:gridSpan w:val="2"/>
            <w:shd w:val="clear" w:color="auto" w:fill="FFFFFF"/>
          </w:tcPr>
          <w:p w:rsidR="008E23EC" w:rsidRPr="00FB3322" w:rsidRDefault="008E23EC" w:rsidP="00647D50">
            <w:pPr>
              <w:ind w:right="12"/>
              <w:rPr>
                <w:sz w:val="21"/>
                <w:szCs w:val="21"/>
                <w:lang w:val="pt-BR"/>
              </w:rPr>
            </w:pPr>
            <w:r w:rsidRPr="00322F89">
              <w:rPr>
                <w:sz w:val="21"/>
                <w:szCs w:val="21"/>
                <w:lang w:val="pt"/>
              </w:rPr>
              <w:t>Acompanhamento do funcionamento das atividades do projeto PUSA</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12 missões/a</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500 000</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6 000 000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360"/>
          <w:jc w:val="center"/>
        </w:trPr>
        <w:tc>
          <w:tcPr>
            <w:tcW w:w="0" w:type="auto"/>
            <w:gridSpan w:val="2"/>
            <w:shd w:val="clear" w:color="auto" w:fill="FFFFFF"/>
          </w:tcPr>
          <w:p w:rsidR="008E23EC" w:rsidRPr="00FB3322" w:rsidRDefault="008E23EC" w:rsidP="00647D50">
            <w:pPr>
              <w:ind w:right="12"/>
              <w:rPr>
                <w:sz w:val="21"/>
                <w:szCs w:val="21"/>
                <w:lang w:val="pt-BR"/>
              </w:rPr>
            </w:pPr>
            <w:r w:rsidRPr="00322F89">
              <w:rPr>
                <w:sz w:val="21"/>
                <w:szCs w:val="21"/>
                <w:lang w:val="pt"/>
              </w:rPr>
              <w:t xml:space="preserve">Monitoramento permanente (Recrutamento de Consultor em monitoramento e avaliação ambiental/social) </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20 H-mês</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500 000</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10 000 000</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212"/>
          <w:jc w:val="center"/>
        </w:trPr>
        <w:tc>
          <w:tcPr>
            <w:tcW w:w="0" w:type="auto"/>
            <w:gridSpan w:val="2"/>
            <w:shd w:val="clear" w:color="auto" w:fill="FFFFFF"/>
          </w:tcPr>
          <w:p w:rsidR="008E23EC" w:rsidRPr="00FB3322" w:rsidRDefault="008E23EC" w:rsidP="00647D50">
            <w:pPr>
              <w:ind w:right="12"/>
              <w:rPr>
                <w:sz w:val="21"/>
                <w:szCs w:val="21"/>
                <w:lang w:val="pt-BR"/>
              </w:rPr>
            </w:pPr>
            <w:r w:rsidRPr="00322F89">
              <w:rPr>
                <w:sz w:val="21"/>
                <w:szCs w:val="21"/>
                <w:lang w:val="pt"/>
              </w:rPr>
              <w:t xml:space="preserve">Monitoramento externo da implementação de IEAs </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Crime</w:t>
            </w:r>
          </w:p>
        </w:tc>
        <w:tc>
          <w:tcPr>
            <w:tcW w:w="1312" w:type="dxa"/>
            <w:shd w:val="clear" w:color="auto" w:fill="FFFFFF"/>
            <w:vAlign w:val="center"/>
          </w:tcPr>
          <w:p w:rsidR="008E23EC" w:rsidRPr="00322F89" w:rsidRDefault="00F92390" w:rsidP="00647D50">
            <w:pPr>
              <w:ind w:right="12"/>
              <w:jc w:val="center"/>
              <w:rPr>
                <w:sz w:val="21"/>
                <w:szCs w:val="21"/>
              </w:rPr>
            </w:pPr>
            <w:r>
              <w:rPr>
                <w:sz w:val="21"/>
                <w:szCs w:val="21"/>
                <w:lang w:val="pt"/>
              </w:rPr>
              <w:t>2</w:t>
            </w:r>
            <w:r w:rsidR="008E23EC" w:rsidRPr="00322F89">
              <w:rPr>
                <w:sz w:val="21"/>
                <w:szCs w:val="21"/>
                <w:lang w:val="pt"/>
              </w:rPr>
              <w:t>0 000 000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100"/>
          <w:jc w:val="center"/>
        </w:trPr>
        <w:tc>
          <w:tcPr>
            <w:tcW w:w="0" w:type="auto"/>
            <w:gridSpan w:val="2"/>
            <w:shd w:val="clear" w:color="auto" w:fill="FFFFFF"/>
          </w:tcPr>
          <w:p w:rsidR="008E23EC" w:rsidRPr="00FB3322" w:rsidRDefault="008E23EC" w:rsidP="00647D50">
            <w:pPr>
              <w:ind w:right="12"/>
              <w:rPr>
                <w:sz w:val="21"/>
                <w:szCs w:val="21"/>
                <w:lang w:val="pt-BR"/>
              </w:rPr>
            </w:pPr>
            <w:r w:rsidRPr="00322F89">
              <w:rPr>
                <w:sz w:val="21"/>
                <w:szCs w:val="21"/>
                <w:lang w:val="pt"/>
              </w:rPr>
              <w:t>Análises laboratoriais e monitoramento de indicadores</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2 500 000</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58"/>
          <w:jc w:val="center"/>
        </w:trPr>
        <w:tc>
          <w:tcPr>
            <w:tcW w:w="0" w:type="auto"/>
            <w:gridSpan w:val="2"/>
            <w:shd w:val="clear" w:color="auto" w:fill="FFFFFF"/>
          </w:tcPr>
          <w:p w:rsidR="008E23EC" w:rsidRPr="00FB3322" w:rsidRDefault="008E23EC" w:rsidP="00647D50">
            <w:pPr>
              <w:ind w:right="12"/>
              <w:rPr>
                <w:sz w:val="21"/>
                <w:szCs w:val="21"/>
                <w:lang w:val="pt-BR"/>
              </w:rPr>
            </w:pPr>
            <w:r w:rsidRPr="00322F89">
              <w:rPr>
                <w:sz w:val="21"/>
                <w:szCs w:val="21"/>
                <w:lang w:val="pt"/>
              </w:rPr>
              <w:t xml:space="preserve">Avaliação intermediária e final do </w:t>
            </w:r>
            <w:r w:rsidR="00784AA0">
              <w:rPr>
                <w:sz w:val="21"/>
                <w:szCs w:val="21"/>
                <w:lang w:val="pt"/>
              </w:rPr>
              <w:t>QGAS</w:t>
            </w:r>
            <w:r w:rsidR="00784AA0" w:rsidRPr="00322F89">
              <w:rPr>
                <w:sz w:val="21"/>
                <w:szCs w:val="21"/>
                <w:lang w:val="pt"/>
              </w:rPr>
              <w:t xml:space="preserve"> </w:t>
            </w:r>
            <w:r w:rsidRPr="00322F89">
              <w:rPr>
                <w:sz w:val="21"/>
                <w:szCs w:val="21"/>
                <w:lang w:val="pt"/>
              </w:rPr>
              <w:t>e da AEI</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2</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750 000</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1 500 000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268"/>
          <w:jc w:val="center"/>
        </w:trPr>
        <w:tc>
          <w:tcPr>
            <w:tcW w:w="7891" w:type="dxa"/>
            <w:gridSpan w:val="4"/>
            <w:shd w:val="clear" w:color="auto" w:fill="E2EFD9" w:themeFill="accent6" w:themeFillTint="33"/>
            <w:vAlign w:val="center"/>
          </w:tcPr>
          <w:p w:rsidR="008E23EC" w:rsidRPr="00322F89" w:rsidRDefault="008E23EC" w:rsidP="00647D50">
            <w:pPr>
              <w:ind w:right="12"/>
              <w:jc w:val="center"/>
              <w:rPr>
                <w:b/>
                <w:color w:val="FF0000"/>
                <w:sz w:val="21"/>
                <w:szCs w:val="21"/>
              </w:rPr>
            </w:pPr>
            <w:r w:rsidRPr="00322F89">
              <w:rPr>
                <w:b/>
                <w:color w:val="FF0000"/>
                <w:sz w:val="21"/>
                <w:szCs w:val="21"/>
                <w:lang w:val="pt"/>
              </w:rPr>
              <w:t>Subtotal 2</w:t>
            </w:r>
          </w:p>
        </w:tc>
        <w:tc>
          <w:tcPr>
            <w:tcW w:w="1312" w:type="dxa"/>
            <w:shd w:val="clear" w:color="auto" w:fill="E2EFD9" w:themeFill="accent6" w:themeFillTint="33"/>
            <w:vAlign w:val="center"/>
          </w:tcPr>
          <w:p w:rsidR="008E23EC" w:rsidRPr="00322F89" w:rsidRDefault="00F92390" w:rsidP="00647D50">
            <w:pPr>
              <w:ind w:right="12"/>
              <w:jc w:val="center"/>
              <w:rPr>
                <w:b/>
                <w:color w:val="FF0000"/>
                <w:sz w:val="21"/>
                <w:szCs w:val="21"/>
              </w:rPr>
            </w:pPr>
            <w:r>
              <w:rPr>
                <w:b/>
                <w:color w:val="FF0000"/>
                <w:sz w:val="21"/>
                <w:szCs w:val="21"/>
                <w:lang w:val="pt"/>
              </w:rPr>
              <w:t>7</w:t>
            </w:r>
            <w:r w:rsidR="008E23EC" w:rsidRPr="00322F89">
              <w:rPr>
                <w:b/>
                <w:color w:val="FF0000"/>
                <w:sz w:val="21"/>
                <w:szCs w:val="21"/>
                <w:lang w:val="pt"/>
              </w:rPr>
              <w:t>8 000 000</w:t>
            </w:r>
          </w:p>
        </w:tc>
      </w:tr>
      <w:tr w:rsidR="008E23EC" w:rsidRPr="002623EB" w:rsidTr="00647D50">
        <w:trPr>
          <w:cnfStyle w:val="000000010000" w:firstRow="0" w:lastRow="0" w:firstColumn="0" w:lastColumn="0" w:oddVBand="0" w:evenVBand="0" w:oddHBand="0" w:evenHBand="1" w:firstRowFirstColumn="0" w:firstRowLastColumn="0" w:lastRowFirstColumn="0" w:lastRowLastColumn="0"/>
          <w:trHeight w:val="119"/>
          <w:jc w:val="center"/>
        </w:trPr>
        <w:tc>
          <w:tcPr>
            <w:tcW w:w="9203" w:type="dxa"/>
            <w:gridSpan w:val="5"/>
            <w:shd w:val="clear" w:color="auto" w:fill="F2F2F2"/>
          </w:tcPr>
          <w:p w:rsidR="008E23EC" w:rsidRPr="00FB3322" w:rsidRDefault="008E23EC" w:rsidP="00647D50">
            <w:pPr>
              <w:ind w:right="12"/>
              <w:jc w:val="center"/>
              <w:rPr>
                <w:sz w:val="21"/>
                <w:szCs w:val="21"/>
                <w:lang w:val="pt-BR"/>
              </w:rPr>
            </w:pPr>
            <w:r w:rsidRPr="00322F89">
              <w:rPr>
                <w:sz w:val="21"/>
                <w:szCs w:val="21"/>
                <w:lang w:val="pt"/>
              </w:rPr>
              <w:t>2. Custos de medidas organizacionais, de treinamento e de conscientização</w:t>
            </w:r>
          </w:p>
        </w:tc>
      </w:tr>
      <w:tr w:rsidR="008E23EC" w:rsidRPr="002623EB" w:rsidTr="00647D50">
        <w:trPr>
          <w:cnfStyle w:val="000000100000" w:firstRow="0" w:lastRow="0" w:firstColumn="0" w:lastColumn="0" w:oddVBand="0" w:evenVBand="0" w:oddHBand="1" w:evenHBand="0" w:firstRowFirstColumn="0" w:firstRowLastColumn="0" w:lastRowFirstColumn="0" w:lastRowLastColumn="0"/>
          <w:trHeight w:val="114"/>
          <w:jc w:val="center"/>
        </w:trPr>
        <w:tc>
          <w:tcPr>
            <w:tcW w:w="9203" w:type="dxa"/>
            <w:gridSpan w:val="5"/>
          </w:tcPr>
          <w:p w:rsidR="008E23EC" w:rsidRPr="00FB3322" w:rsidRDefault="008E23EC" w:rsidP="00647D50">
            <w:pPr>
              <w:ind w:right="12"/>
              <w:jc w:val="center"/>
              <w:rPr>
                <w:sz w:val="21"/>
                <w:szCs w:val="21"/>
                <w:lang w:val="pt-BR"/>
              </w:rPr>
            </w:pPr>
            <w:r w:rsidRPr="00322F89">
              <w:rPr>
                <w:sz w:val="21"/>
                <w:szCs w:val="21"/>
                <w:lang w:val="pt"/>
              </w:rPr>
              <w:t>Fortalecimento das capacidades de intervenção dos atores do projeto PUSA</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268"/>
          <w:jc w:val="center"/>
        </w:trPr>
        <w:tc>
          <w:tcPr>
            <w:tcW w:w="0" w:type="auto"/>
            <w:vMerge w:val="restart"/>
            <w:shd w:val="clear" w:color="auto" w:fill="FFFFFF"/>
            <w:vAlign w:val="center"/>
          </w:tcPr>
          <w:p w:rsidR="008E23EC" w:rsidRPr="00FB3322" w:rsidRDefault="008E23EC" w:rsidP="00647D50">
            <w:pPr>
              <w:tabs>
                <w:tab w:val="left" w:pos="193"/>
              </w:tabs>
              <w:autoSpaceDE w:val="0"/>
              <w:autoSpaceDN w:val="0"/>
              <w:adjustRightInd w:val="0"/>
              <w:ind w:right="12"/>
              <w:jc w:val="center"/>
              <w:rPr>
                <w:rFonts w:eastAsia="Times New Roman"/>
                <w:sz w:val="21"/>
                <w:szCs w:val="21"/>
                <w:lang w:val="pt-BR"/>
              </w:rPr>
            </w:pPr>
            <w:r w:rsidRPr="00322F89">
              <w:rPr>
                <w:sz w:val="21"/>
                <w:szCs w:val="21"/>
                <w:lang w:val="pt"/>
              </w:rPr>
              <w:t>Serviços Técnicos e Beneficiários de Sub-Projetos</w:t>
            </w:r>
          </w:p>
        </w:tc>
        <w:tc>
          <w:tcPr>
            <w:tcW w:w="0" w:type="auto"/>
            <w:shd w:val="clear" w:color="auto" w:fill="FFFFFF"/>
            <w:vAlign w:val="center"/>
          </w:tcPr>
          <w:p w:rsidR="008E23EC" w:rsidRPr="00FB3322" w:rsidRDefault="008E23EC" w:rsidP="00647D50">
            <w:pPr>
              <w:ind w:left="64" w:right="12"/>
              <w:jc w:val="center"/>
              <w:rPr>
                <w:sz w:val="21"/>
                <w:szCs w:val="21"/>
                <w:lang w:val="pt-BR"/>
              </w:rPr>
            </w:pPr>
            <w:r w:rsidRPr="00322F89">
              <w:rPr>
                <w:sz w:val="21"/>
                <w:szCs w:val="21"/>
                <w:lang w:val="pt"/>
              </w:rPr>
              <w:t>Treinamento em técnicas de processamento para produtos agrícolas</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12 módulos (2 oficinas por região)</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Crime</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5 000 000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365"/>
          <w:jc w:val="center"/>
        </w:trPr>
        <w:tc>
          <w:tcPr>
            <w:tcW w:w="0" w:type="auto"/>
            <w:vMerge/>
            <w:shd w:val="clear" w:color="auto" w:fill="FFFFFF"/>
            <w:vAlign w:val="center"/>
          </w:tcPr>
          <w:p w:rsidR="008E23EC" w:rsidRPr="00322F89" w:rsidRDefault="008E23EC" w:rsidP="00647D50">
            <w:pPr>
              <w:tabs>
                <w:tab w:val="left" w:pos="193"/>
              </w:tabs>
              <w:autoSpaceDE w:val="0"/>
              <w:autoSpaceDN w:val="0"/>
              <w:adjustRightInd w:val="0"/>
              <w:ind w:right="12"/>
              <w:jc w:val="center"/>
              <w:rPr>
                <w:rFonts w:eastAsia="Times New Roman"/>
                <w:sz w:val="21"/>
                <w:szCs w:val="21"/>
              </w:rPr>
            </w:pPr>
          </w:p>
        </w:tc>
        <w:tc>
          <w:tcPr>
            <w:tcW w:w="0" w:type="auto"/>
            <w:shd w:val="clear" w:color="auto" w:fill="FFFFFF"/>
            <w:vAlign w:val="center"/>
          </w:tcPr>
          <w:p w:rsidR="008E23EC" w:rsidRPr="00FB3322" w:rsidRDefault="008E23EC" w:rsidP="00647D50">
            <w:pPr>
              <w:ind w:left="64" w:right="12"/>
              <w:jc w:val="center"/>
              <w:rPr>
                <w:sz w:val="21"/>
                <w:szCs w:val="21"/>
                <w:lang w:val="pt-BR"/>
              </w:rPr>
            </w:pPr>
            <w:r w:rsidRPr="00322F89">
              <w:rPr>
                <w:sz w:val="21"/>
                <w:szCs w:val="21"/>
                <w:lang w:val="pt"/>
              </w:rPr>
              <w:t>Treinamento em boas técnicas de práticas agrícolas</w:t>
            </w:r>
          </w:p>
        </w:tc>
        <w:tc>
          <w:tcPr>
            <w:tcW w:w="1750" w:type="dxa"/>
            <w:shd w:val="clear" w:color="auto" w:fill="FFFFFF"/>
            <w:vAlign w:val="center"/>
          </w:tcPr>
          <w:p w:rsidR="008E23EC" w:rsidRPr="00FB3322" w:rsidRDefault="008E23EC" w:rsidP="00647D50">
            <w:pPr>
              <w:ind w:right="12"/>
              <w:jc w:val="center"/>
              <w:rPr>
                <w:sz w:val="21"/>
                <w:szCs w:val="21"/>
                <w:lang w:val="pt-BR"/>
              </w:rPr>
            </w:pPr>
            <w:r w:rsidRPr="00322F89">
              <w:rPr>
                <w:sz w:val="21"/>
                <w:szCs w:val="21"/>
                <w:lang w:val="pt"/>
              </w:rPr>
              <w:t>12 oficinas de capacitação (2 oficinas por região)</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Crime</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5 000 000</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338"/>
          <w:jc w:val="center"/>
        </w:trPr>
        <w:tc>
          <w:tcPr>
            <w:tcW w:w="0" w:type="auto"/>
            <w:vMerge/>
            <w:shd w:val="clear" w:color="auto" w:fill="FFFFFF"/>
            <w:vAlign w:val="center"/>
          </w:tcPr>
          <w:p w:rsidR="008E23EC" w:rsidRPr="00322F89" w:rsidRDefault="008E23EC" w:rsidP="00647D50">
            <w:pPr>
              <w:tabs>
                <w:tab w:val="left" w:pos="193"/>
              </w:tabs>
              <w:autoSpaceDE w:val="0"/>
              <w:autoSpaceDN w:val="0"/>
              <w:adjustRightInd w:val="0"/>
              <w:ind w:right="12"/>
              <w:jc w:val="center"/>
              <w:rPr>
                <w:rFonts w:eastAsia="Times New Roman"/>
                <w:sz w:val="21"/>
                <w:szCs w:val="21"/>
              </w:rPr>
            </w:pPr>
          </w:p>
        </w:tc>
        <w:tc>
          <w:tcPr>
            <w:tcW w:w="0" w:type="auto"/>
            <w:shd w:val="clear" w:color="auto" w:fill="FFFFFF"/>
            <w:vAlign w:val="center"/>
          </w:tcPr>
          <w:p w:rsidR="008E23EC" w:rsidRPr="00FB3322" w:rsidRDefault="008E23EC" w:rsidP="00647D50">
            <w:pPr>
              <w:ind w:left="64" w:right="12"/>
              <w:jc w:val="center"/>
              <w:rPr>
                <w:sz w:val="21"/>
                <w:szCs w:val="21"/>
                <w:lang w:val="pt-BR"/>
              </w:rPr>
            </w:pPr>
            <w:r w:rsidRPr="00322F89">
              <w:rPr>
                <w:sz w:val="21"/>
                <w:szCs w:val="21"/>
                <w:lang w:val="pt"/>
              </w:rPr>
              <w:t>Treinamento em técnicas integradas de gestão de agrotóxicos</w:t>
            </w:r>
          </w:p>
        </w:tc>
        <w:tc>
          <w:tcPr>
            <w:tcW w:w="1750" w:type="dxa"/>
            <w:shd w:val="clear" w:color="auto" w:fill="FFFFFF"/>
            <w:vAlign w:val="center"/>
          </w:tcPr>
          <w:p w:rsidR="008E23EC" w:rsidRPr="00FB3322" w:rsidRDefault="008E23EC" w:rsidP="00647D50">
            <w:pPr>
              <w:ind w:right="12"/>
              <w:jc w:val="center"/>
              <w:rPr>
                <w:sz w:val="21"/>
                <w:szCs w:val="21"/>
                <w:lang w:val="pt-BR"/>
              </w:rPr>
            </w:pPr>
            <w:r w:rsidRPr="00322F89">
              <w:rPr>
                <w:sz w:val="21"/>
                <w:szCs w:val="21"/>
                <w:lang w:val="pt"/>
              </w:rPr>
              <w:t>12 oficinas de capacitação (2 oficinas por região)</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Crime</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5 000 000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58"/>
          <w:jc w:val="center"/>
        </w:trPr>
        <w:tc>
          <w:tcPr>
            <w:tcW w:w="9203" w:type="dxa"/>
            <w:gridSpan w:val="5"/>
            <w:vAlign w:val="center"/>
          </w:tcPr>
          <w:p w:rsidR="008E23EC" w:rsidRPr="00322F89" w:rsidRDefault="008E23EC" w:rsidP="00647D50">
            <w:pPr>
              <w:ind w:right="12"/>
              <w:jc w:val="center"/>
              <w:rPr>
                <w:sz w:val="21"/>
                <w:szCs w:val="21"/>
              </w:rPr>
            </w:pPr>
            <w:r w:rsidRPr="00322F89">
              <w:rPr>
                <w:sz w:val="21"/>
                <w:szCs w:val="21"/>
                <w:lang w:val="pt"/>
              </w:rPr>
              <w:t>Formação</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556"/>
          <w:jc w:val="center"/>
        </w:trPr>
        <w:tc>
          <w:tcPr>
            <w:tcW w:w="0" w:type="auto"/>
            <w:shd w:val="clear" w:color="auto" w:fill="FFFFFF"/>
            <w:vAlign w:val="center"/>
          </w:tcPr>
          <w:p w:rsidR="008E23EC" w:rsidRPr="00322F89" w:rsidRDefault="008E23EC" w:rsidP="00647D50">
            <w:pPr>
              <w:numPr>
                <w:ilvl w:val="0"/>
                <w:numId w:val="91"/>
              </w:numPr>
              <w:tabs>
                <w:tab w:val="left" w:pos="193"/>
              </w:tabs>
              <w:autoSpaceDE w:val="0"/>
              <w:autoSpaceDN w:val="0"/>
              <w:adjustRightInd w:val="0"/>
              <w:ind w:left="0" w:right="12" w:firstLine="0"/>
              <w:jc w:val="center"/>
              <w:rPr>
                <w:rFonts w:eastAsia="Times New Roman"/>
                <w:sz w:val="21"/>
                <w:szCs w:val="21"/>
              </w:rPr>
            </w:pPr>
            <w:r w:rsidRPr="00322F89">
              <w:rPr>
                <w:sz w:val="21"/>
                <w:szCs w:val="21"/>
                <w:lang w:val="pt"/>
              </w:rPr>
              <w:lastRenderedPageBreak/>
              <w:t>AAAC</w:t>
            </w:r>
          </w:p>
          <w:p w:rsidR="008E23EC" w:rsidRPr="00322F89" w:rsidRDefault="008E23EC" w:rsidP="00647D50">
            <w:pPr>
              <w:numPr>
                <w:ilvl w:val="0"/>
                <w:numId w:val="91"/>
              </w:numPr>
              <w:tabs>
                <w:tab w:val="left" w:pos="193"/>
              </w:tabs>
              <w:autoSpaceDE w:val="0"/>
              <w:autoSpaceDN w:val="0"/>
              <w:adjustRightInd w:val="0"/>
              <w:ind w:left="0" w:right="12" w:firstLine="0"/>
              <w:jc w:val="center"/>
              <w:rPr>
                <w:rFonts w:eastAsia="Times New Roman"/>
                <w:sz w:val="21"/>
                <w:szCs w:val="21"/>
              </w:rPr>
            </w:pPr>
            <w:r w:rsidRPr="00322F89">
              <w:rPr>
                <w:sz w:val="21"/>
                <w:szCs w:val="21"/>
                <w:lang w:val="pt"/>
              </w:rPr>
              <w:t>Técnicas de serviços</w:t>
            </w:r>
          </w:p>
        </w:tc>
        <w:tc>
          <w:tcPr>
            <w:tcW w:w="0" w:type="auto"/>
            <w:shd w:val="clear" w:color="auto" w:fill="FFFFFF"/>
          </w:tcPr>
          <w:p w:rsidR="008E23EC" w:rsidRPr="00FB3322" w:rsidRDefault="008E23EC" w:rsidP="00647D50">
            <w:pPr>
              <w:numPr>
                <w:ilvl w:val="0"/>
                <w:numId w:val="92"/>
              </w:numPr>
              <w:ind w:left="64" w:right="12" w:hanging="141"/>
              <w:jc w:val="both"/>
              <w:rPr>
                <w:sz w:val="21"/>
                <w:szCs w:val="21"/>
                <w:lang w:val="pt-BR"/>
              </w:rPr>
            </w:pPr>
            <w:r w:rsidRPr="00322F89">
              <w:rPr>
                <w:sz w:val="21"/>
                <w:szCs w:val="21"/>
                <w:lang w:val="pt"/>
              </w:rPr>
              <w:t xml:space="preserve">Gestão dos recursos naturais e do meio ambiente </w:t>
            </w:r>
          </w:p>
          <w:p w:rsidR="008E23EC" w:rsidRPr="00FB3322" w:rsidRDefault="008E23EC" w:rsidP="00647D50">
            <w:pPr>
              <w:numPr>
                <w:ilvl w:val="0"/>
                <w:numId w:val="92"/>
              </w:numPr>
              <w:ind w:left="64" w:right="12" w:hanging="141"/>
              <w:jc w:val="both"/>
              <w:rPr>
                <w:sz w:val="21"/>
                <w:szCs w:val="21"/>
                <w:lang w:val="pt-BR"/>
              </w:rPr>
            </w:pPr>
            <w:r w:rsidRPr="00322F89">
              <w:rPr>
                <w:sz w:val="21"/>
                <w:szCs w:val="21"/>
                <w:lang w:val="pt"/>
              </w:rPr>
              <w:t>Questões ambientais e sociais relacionadas à implementação de atividades</w:t>
            </w:r>
          </w:p>
          <w:p w:rsidR="008E23EC" w:rsidRPr="00FB3322" w:rsidRDefault="008E23EC" w:rsidP="00647D50">
            <w:pPr>
              <w:numPr>
                <w:ilvl w:val="0"/>
                <w:numId w:val="92"/>
              </w:numPr>
              <w:ind w:left="64" w:right="12" w:hanging="141"/>
              <w:jc w:val="both"/>
              <w:rPr>
                <w:sz w:val="21"/>
                <w:szCs w:val="21"/>
                <w:lang w:val="pt-BR"/>
              </w:rPr>
            </w:pPr>
            <w:r w:rsidRPr="00322F89">
              <w:rPr>
                <w:sz w:val="21"/>
                <w:szCs w:val="21"/>
                <w:lang w:val="pt"/>
              </w:rPr>
              <w:t>Regulamentações ambientais e sociais adequadas;</w:t>
            </w:r>
          </w:p>
          <w:p w:rsidR="008E23EC" w:rsidRPr="00322F89" w:rsidRDefault="008E23EC" w:rsidP="00647D50">
            <w:pPr>
              <w:numPr>
                <w:ilvl w:val="0"/>
                <w:numId w:val="92"/>
              </w:numPr>
              <w:ind w:left="64" w:right="12" w:hanging="141"/>
              <w:jc w:val="both"/>
              <w:rPr>
                <w:sz w:val="21"/>
                <w:szCs w:val="21"/>
              </w:rPr>
            </w:pPr>
            <w:r w:rsidRPr="00322F89">
              <w:rPr>
                <w:sz w:val="21"/>
                <w:szCs w:val="21"/>
                <w:lang w:val="pt"/>
              </w:rPr>
              <w:t>Métodos de avaliação ambiental.</w:t>
            </w:r>
          </w:p>
          <w:p w:rsidR="008E23EC" w:rsidRPr="00FB3322" w:rsidRDefault="008E23EC" w:rsidP="00647D50">
            <w:pPr>
              <w:numPr>
                <w:ilvl w:val="0"/>
                <w:numId w:val="92"/>
              </w:numPr>
              <w:ind w:left="64" w:right="12" w:hanging="141"/>
              <w:jc w:val="both"/>
              <w:rPr>
                <w:sz w:val="21"/>
                <w:szCs w:val="21"/>
                <w:lang w:val="pt-BR"/>
              </w:rPr>
            </w:pPr>
            <w:r w:rsidRPr="00322F89">
              <w:rPr>
                <w:sz w:val="21"/>
                <w:szCs w:val="21"/>
                <w:lang w:val="pt"/>
              </w:rPr>
              <w:t>Desenvolvimentos sustentáveis e mudanças climáticas</w:t>
            </w:r>
          </w:p>
        </w:tc>
        <w:tc>
          <w:tcPr>
            <w:tcW w:w="1750" w:type="dxa"/>
            <w:shd w:val="clear" w:color="auto" w:fill="FFFFFF"/>
            <w:vAlign w:val="center"/>
          </w:tcPr>
          <w:p w:rsidR="008E23EC" w:rsidRPr="00FB3322" w:rsidRDefault="008E23EC" w:rsidP="00647D50">
            <w:pPr>
              <w:ind w:right="12"/>
              <w:jc w:val="center"/>
              <w:rPr>
                <w:sz w:val="21"/>
                <w:szCs w:val="21"/>
                <w:lang w:val="pt-BR"/>
              </w:rPr>
            </w:pPr>
            <w:r w:rsidRPr="00322F89">
              <w:rPr>
                <w:sz w:val="21"/>
                <w:szCs w:val="21"/>
                <w:lang w:val="pt"/>
              </w:rPr>
              <w:t>9 oficinas de treinamento (1 oficina por região)</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750 000</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6 750 000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58"/>
          <w:jc w:val="center"/>
        </w:trPr>
        <w:tc>
          <w:tcPr>
            <w:tcW w:w="9203" w:type="dxa"/>
            <w:gridSpan w:val="5"/>
          </w:tcPr>
          <w:p w:rsidR="008E23EC" w:rsidRPr="00322F89" w:rsidRDefault="008E23EC" w:rsidP="00647D50">
            <w:pPr>
              <w:ind w:right="12"/>
              <w:jc w:val="center"/>
              <w:rPr>
                <w:sz w:val="21"/>
                <w:szCs w:val="21"/>
              </w:rPr>
            </w:pPr>
            <w:r w:rsidRPr="00322F89">
              <w:rPr>
                <w:sz w:val="21"/>
                <w:szCs w:val="21"/>
                <w:lang w:val="pt"/>
              </w:rPr>
              <w:t>Informação e conscientização</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1781"/>
          <w:jc w:val="center"/>
        </w:trPr>
        <w:tc>
          <w:tcPr>
            <w:tcW w:w="0" w:type="auto"/>
            <w:shd w:val="clear" w:color="auto" w:fill="FFFFFF"/>
          </w:tcPr>
          <w:p w:rsidR="008E23EC" w:rsidRPr="00322F89" w:rsidRDefault="008E23EC" w:rsidP="00647D50">
            <w:pPr>
              <w:autoSpaceDE w:val="0"/>
              <w:autoSpaceDN w:val="0"/>
              <w:adjustRightInd w:val="0"/>
              <w:ind w:right="12"/>
              <w:rPr>
                <w:rFonts w:eastAsia="Times New Roman"/>
                <w:sz w:val="21"/>
                <w:szCs w:val="21"/>
              </w:rPr>
            </w:pPr>
          </w:p>
          <w:p w:rsidR="008E23EC" w:rsidRPr="00322F89" w:rsidRDefault="008E23EC" w:rsidP="00647D50">
            <w:pPr>
              <w:numPr>
                <w:ilvl w:val="0"/>
                <w:numId w:val="91"/>
              </w:numPr>
              <w:tabs>
                <w:tab w:val="left" w:pos="193"/>
              </w:tabs>
              <w:autoSpaceDE w:val="0"/>
              <w:autoSpaceDN w:val="0"/>
              <w:adjustRightInd w:val="0"/>
              <w:ind w:left="0" w:right="12" w:firstLine="0"/>
              <w:rPr>
                <w:rFonts w:eastAsia="Times New Roman"/>
                <w:sz w:val="21"/>
                <w:szCs w:val="21"/>
              </w:rPr>
            </w:pPr>
            <w:r w:rsidRPr="00322F89">
              <w:rPr>
                <w:sz w:val="21"/>
                <w:szCs w:val="21"/>
                <w:lang w:val="pt"/>
              </w:rPr>
              <w:t xml:space="preserve">Populações </w:t>
            </w:r>
          </w:p>
          <w:p w:rsidR="008E23EC" w:rsidRPr="00322F89" w:rsidRDefault="008E23EC" w:rsidP="00647D50">
            <w:pPr>
              <w:numPr>
                <w:ilvl w:val="0"/>
                <w:numId w:val="91"/>
              </w:numPr>
              <w:tabs>
                <w:tab w:val="left" w:pos="193"/>
              </w:tabs>
              <w:autoSpaceDE w:val="0"/>
              <w:autoSpaceDN w:val="0"/>
              <w:adjustRightInd w:val="0"/>
              <w:ind w:left="0" w:right="12" w:firstLine="0"/>
              <w:rPr>
                <w:rFonts w:eastAsia="Times New Roman"/>
                <w:sz w:val="21"/>
                <w:szCs w:val="21"/>
              </w:rPr>
            </w:pPr>
            <w:r w:rsidRPr="00322F89">
              <w:rPr>
                <w:sz w:val="21"/>
                <w:szCs w:val="21"/>
                <w:lang w:val="pt"/>
              </w:rPr>
              <w:t xml:space="preserve">Associações locais e OCBs </w:t>
            </w:r>
          </w:p>
          <w:p w:rsidR="008E23EC" w:rsidRPr="00322F89" w:rsidRDefault="008E23EC" w:rsidP="00647D50">
            <w:pPr>
              <w:tabs>
                <w:tab w:val="left" w:pos="193"/>
              </w:tabs>
              <w:autoSpaceDE w:val="0"/>
              <w:autoSpaceDN w:val="0"/>
              <w:adjustRightInd w:val="0"/>
              <w:ind w:right="12"/>
              <w:rPr>
                <w:color w:val="000000"/>
                <w:sz w:val="21"/>
                <w:szCs w:val="21"/>
              </w:rPr>
            </w:pPr>
          </w:p>
        </w:tc>
        <w:tc>
          <w:tcPr>
            <w:tcW w:w="0" w:type="auto"/>
            <w:shd w:val="clear" w:color="auto" w:fill="FFFFFF"/>
          </w:tcPr>
          <w:p w:rsidR="008E23EC" w:rsidRPr="00FB3322" w:rsidRDefault="008E23EC" w:rsidP="00647D50">
            <w:pPr>
              <w:numPr>
                <w:ilvl w:val="0"/>
                <w:numId w:val="91"/>
              </w:numPr>
              <w:tabs>
                <w:tab w:val="left" w:pos="193"/>
              </w:tabs>
              <w:autoSpaceDE w:val="0"/>
              <w:autoSpaceDN w:val="0"/>
              <w:adjustRightInd w:val="0"/>
              <w:ind w:left="0" w:right="12" w:firstLine="0"/>
              <w:jc w:val="both"/>
              <w:rPr>
                <w:rFonts w:eastAsia="Times New Roman"/>
                <w:sz w:val="21"/>
                <w:szCs w:val="21"/>
                <w:lang w:val="pt-BR"/>
              </w:rPr>
            </w:pPr>
            <w:r w:rsidRPr="00322F89">
              <w:rPr>
                <w:sz w:val="21"/>
                <w:szCs w:val="21"/>
                <w:lang w:val="pt"/>
              </w:rPr>
              <w:t>Campanhas de informação e conscientização sobre a natureza das atividades da PUSA, o envolvimento de atores locais, questões ambientais e sociais;</w:t>
            </w:r>
          </w:p>
          <w:p w:rsidR="008E23EC" w:rsidRPr="00FB3322" w:rsidRDefault="008E23EC" w:rsidP="00647D50">
            <w:pPr>
              <w:numPr>
                <w:ilvl w:val="0"/>
                <w:numId w:val="91"/>
              </w:numPr>
              <w:tabs>
                <w:tab w:val="left" w:pos="193"/>
              </w:tabs>
              <w:autoSpaceDE w:val="0"/>
              <w:autoSpaceDN w:val="0"/>
              <w:adjustRightInd w:val="0"/>
              <w:ind w:left="0" w:right="12" w:firstLine="0"/>
              <w:jc w:val="both"/>
              <w:rPr>
                <w:rFonts w:eastAsia="Times New Roman"/>
                <w:sz w:val="21"/>
                <w:szCs w:val="21"/>
                <w:lang w:val="pt-BR"/>
              </w:rPr>
            </w:pPr>
            <w:r w:rsidRPr="00322F89">
              <w:rPr>
                <w:sz w:val="21"/>
                <w:szCs w:val="21"/>
                <w:lang w:val="pt"/>
              </w:rPr>
              <w:t xml:space="preserve">Conscientização sobre segurança e higiene durante o trabalho </w:t>
            </w:r>
          </w:p>
        </w:tc>
        <w:tc>
          <w:tcPr>
            <w:tcW w:w="1750"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10 campanhas de conscientização</w:t>
            </w:r>
          </w:p>
        </w:tc>
        <w:tc>
          <w:tcPr>
            <w:tcW w:w="1308"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1 000 000</w:t>
            </w:r>
          </w:p>
        </w:tc>
        <w:tc>
          <w:tcPr>
            <w:tcW w:w="1312" w:type="dxa"/>
            <w:shd w:val="clear" w:color="auto" w:fill="FFFFFF"/>
            <w:vAlign w:val="center"/>
          </w:tcPr>
          <w:p w:rsidR="008E23EC" w:rsidRPr="00322F89" w:rsidRDefault="008E23EC" w:rsidP="00647D50">
            <w:pPr>
              <w:ind w:right="12"/>
              <w:jc w:val="center"/>
              <w:rPr>
                <w:sz w:val="21"/>
                <w:szCs w:val="21"/>
              </w:rPr>
            </w:pPr>
            <w:r w:rsidRPr="00322F89">
              <w:rPr>
                <w:sz w:val="21"/>
                <w:szCs w:val="21"/>
                <w:lang w:val="pt"/>
              </w:rPr>
              <w:t>10 000 000</w:t>
            </w:r>
          </w:p>
        </w:tc>
      </w:tr>
      <w:tr w:rsidR="008E23EC" w:rsidRPr="00322F89" w:rsidTr="00647D50">
        <w:trPr>
          <w:cnfStyle w:val="000000100000" w:firstRow="0" w:lastRow="0" w:firstColumn="0" w:lastColumn="0" w:oddVBand="0" w:evenVBand="0" w:oddHBand="1" w:evenHBand="0" w:firstRowFirstColumn="0" w:firstRowLastColumn="0" w:lastRowFirstColumn="0" w:lastRowLastColumn="0"/>
          <w:trHeight w:val="60"/>
          <w:jc w:val="center"/>
        </w:trPr>
        <w:tc>
          <w:tcPr>
            <w:tcW w:w="7891" w:type="dxa"/>
            <w:gridSpan w:val="4"/>
            <w:shd w:val="clear" w:color="auto" w:fill="E2EFD9" w:themeFill="accent6" w:themeFillTint="33"/>
          </w:tcPr>
          <w:p w:rsidR="008E23EC" w:rsidRPr="00322F89" w:rsidRDefault="008E23EC" w:rsidP="00647D50">
            <w:pPr>
              <w:ind w:right="12"/>
              <w:jc w:val="center"/>
              <w:rPr>
                <w:b/>
                <w:color w:val="FF0000"/>
                <w:sz w:val="21"/>
                <w:szCs w:val="21"/>
              </w:rPr>
            </w:pPr>
            <w:r w:rsidRPr="00322F89">
              <w:rPr>
                <w:b/>
                <w:color w:val="FF0000"/>
                <w:sz w:val="21"/>
                <w:szCs w:val="21"/>
                <w:lang w:val="pt"/>
              </w:rPr>
              <w:t>Subtotal 3</w:t>
            </w:r>
          </w:p>
        </w:tc>
        <w:tc>
          <w:tcPr>
            <w:tcW w:w="1312" w:type="dxa"/>
            <w:shd w:val="clear" w:color="auto" w:fill="E2EFD9" w:themeFill="accent6" w:themeFillTint="33"/>
          </w:tcPr>
          <w:p w:rsidR="008E23EC" w:rsidRPr="00322F89" w:rsidRDefault="008E23EC" w:rsidP="00647D50">
            <w:pPr>
              <w:ind w:right="12"/>
              <w:jc w:val="center"/>
              <w:rPr>
                <w:b/>
                <w:color w:val="FF0000"/>
                <w:sz w:val="21"/>
                <w:szCs w:val="21"/>
              </w:rPr>
            </w:pPr>
            <w:r w:rsidRPr="00322F89">
              <w:rPr>
                <w:b/>
                <w:color w:val="FF0000"/>
                <w:sz w:val="21"/>
                <w:szCs w:val="21"/>
                <w:lang w:val="pt"/>
              </w:rPr>
              <w:t>31 750 000</w:t>
            </w:r>
          </w:p>
        </w:tc>
      </w:tr>
      <w:tr w:rsidR="008E23EC" w:rsidRPr="00322F89" w:rsidTr="00647D50">
        <w:trPr>
          <w:cnfStyle w:val="000000010000" w:firstRow="0" w:lastRow="0" w:firstColumn="0" w:lastColumn="0" w:oddVBand="0" w:evenVBand="0" w:oddHBand="0" w:evenHBand="1" w:firstRowFirstColumn="0" w:firstRowLastColumn="0" w:lastRowFirstColumn="0" w:lastRowLastColumn="0"/>
          <w:trHeight w:val="60"/>
          <w:jc w:val="center"/>
        </w:trPr>
        <w:tc>
          <w:tcPr>
            <w:tcW w:w="7891" w:type="dxa"/>
            <w:gridSpan w:val="4"/>
            <w:shd w:val="clear" w:color="auto" w:fill="DEEAF6" w:themeFill="accent1" w:themeFillTint="33"/>
            <w:vAlign w:val="center"/>
          </w:tcPr>
          <w:p w:rsidR="008E23EC" w:rsidRPr="00322F89" w:rsidRDefault="008E23EC" w:rsidP="00647D50">
            <w:pPr>
              <w:ind w:right="12"/>
              <w:jc w:val="center"/>
              <w:rPr>
                <w:sz w:val="21"/>
                <w:szCs w:val="21"/>
              </w:rPr>
            </w:pPr>
            <w:r w:rsidRPr="00322F89">
              <w:rPr>
                <w:sz w:val="21"/>
                <w:szCs w:val="21"/>
                <w:lang w:val="pt"/>
              </w:rPr>
              <w:t>GERAL TOTAL</w:t>
            </w:r>
          </w:p>
        </w:tc>
        <w:tc>
          <w:tcPr>
            <w:tcW w:w="1312" w:type="dxa"/>
            <w:shd w:val="clear" w:color="auto" w:fill="DEEAF6" w:themeFill="accent1" w:themeFillTint="33"/>
            <w:vAlign w:val="center"/>
          </w:tcPr>
          <w:p w:rsidR="008E23EC" w:rsidRPr="00322F89" w:rsidRDefault="008E23EC" w:rsidP="00647D50">
            <w:pPr>
              <w:ind w:right="12"/>
              <w:jc w:val="center"/>
              <w:rPr>
                <w:b/>
                <w:sz w:val="21"/>
                <w:szCs w:val="21"/>
              </w:rPr>
            </w:pPr>
            <w:r w:rsidRPr="00322F89">
              <w:rPr>
                <w:b/>
                <w:sz w:val="21"/>
                <w:szCs w:val="21"/>
                <w:lang w:val="pt"/>
              </w:rPr>
              <w:t>1</w:t>
            </w:r>
            <w:r w:rsidR="00F92390">
              <w:rPr>
                <w:b/>
                <w:sz w:val="21"/>
                <w:szCs w:val="21"/>
                <w:lang w:val="pt"/>
              </w:rPr>
              <w:t>1</w:t>
            </w:r>
            <w:r w:rsidRPr="00322F89">
              <w:rPr>
                <w:b/>
                <w:sz w:val="21"/>
                <w:szCs w:val="21"/>
                <w:lang w:val="pt"/>
              </w:rPr>
              <w:t>3 750 000</w:t>
            </w:r>
          </w:p>
        </w:tc>
      </w:tr>
      <w:tr w:rsidR="008E23EC" w:rsidRPr="002623EB" w:rsidTr="00647D50">
        <w:trPr>
          <w:cnfStyle w:val="000000100000" w:firstRow="0" w:lastRow="0" w:firstColumn="0" w:lastColumn="0" w:oddVBand="0" w:evenVBand="0" w:oddHBand="1" w:evenHBand="0" w:firstRowFirstColumn="0" w:firstRowLastColumn="0" w:lastRowFirstColumn="0" w:lastRowLastColumn="0"/>
          <w:trHeight w:val="573"/>
          <w:jc w:val="center"/>
        </w:trPr>
        <w:tc>
          <w:tcPr>
            <w:tcW w:w="9203" w:type="dxa"/>
            <w:gridSpan w:val="5"/>
          </w:tcPr>
          <w:p w:rsidR="008E23EC" w:rsidRPr="00FB3322" w:rsidRDefault="008E23EC" w:rsidP="00647D50">
            <w:pPr>
              <w:autoSpaceDE w:val="0"/>
              <w:autoSpaceDN w:val="0"/>
              <w:adjustRightInd w:val="0"/>
              <w:ind w:right="12"/>
              <w:jc w:val="center"/>
              <w:rPr>
                <w:rFonts w:eastAsia="Times New Roman"/>
                <w:sz w:val="21"/>
                <w:szCs w:val="21"/>
                <w:lang w:val="pt-BR"/>
              </w:rPr>
            </w:pPr>
            <w:r w:rsidRPr="00322F89">
              <w:rPr>
                <w:bCs/>
                <w:sz w:val="21"/>
                <w:szCs w:val="21"/>
                <w:lang w:val="pt"/>
              </w:rPr>
              <w:t xml:space="preserve">Custo total da implantação da CGGP: </w:t>
            </w:r>
            <w:r w:rsidRPr="00322F89">
              <w:rPr>
                <w:b/>
                <w:color w:val="000000"/>
                <w:sz w:val="21"/>
                <w:szCs w:val="21"/>
                <w:lang w:val="pt"/>
              </w:rPr>
              <w:t>1</w:t>
            </w:r>
            <w:r w:rsidR="00F92390">
              <w:rPr>
                <w:b/>
                <w:color w:val="000000"/>
                <w:sz w:val="21"/>
                <w:szCs w:val="21"/>
                <w:lang w:val="pt"/>
              </w:rPr>
              <w:t>1</w:t>
            </w:r>
            <w:r w:rsidRPr="00322F89">
              <w:rPr>
                <w:b/>
                <w:color w:val="000000"/>
                <w:sz w:val="21"/>
                <w:szCs w:val="21"/>
                <w:lang w:val="pt"/>
              </w:rPr>
              <w:t>3.750.000</w:t>
            </w:r>
            <w:r w:rsidRPr="00322F89">
              <w:rPr>
                <w:lang w:val="pt"/>
              </w:rPr>
              <w:t xml:space="preserve"> </w:t>
            </w:r>
            <w:r w:rsidRPr="00322F89">
              <w:rPr>
                <w:bCs/>
                <w:sz w:val="21"/>
                <w:szCs w:val="21"/>
                <w:lang w:val="pt"/>
              </w:rPr>
              <w:t>FCFA</w:t>
            </w:r>
          </w:p>
          <w:p w:rsidR="008E23EC" w:rsidRPr="00FB3322" w:rsidRDefault="008E23EC" w:rsidP="00647D50">
            <w:pPr>
              <w:ind w:right="12"/>
              <w:jc w:val="center"/>
              <w:rPr>
                <w:sz w:val="21"/>
                <w:szCs w:val="21"/>
                <w:lang w:val="pt-BR"/>
              </w:rPr>
            </w:pPr>
            <w:r w:rsidRPr="00322F89">
              <w:rPr>
                <w:b/>
                <w:sz w:val="21"/>
                <w:szCs w:val="21"/>
                <w:lang w:val="pt"/>
              </w:rPr>
              <w:t>NOTA:</w:t>
            </w:r>
            <w:r w:rsidRPr="00322F89">
              <w:rPr>
                <w:sz w:val="21"/>
                <w:szCs w:val="21"/>
                <w:lang w:val="pt"/>
              </w:rPr>
              <w:t xml:space="preserve"> Todos esses custos terão que ser incluídos nos custos do projeto</w:t>
            </w:r>
          </w:p>
        </w:tc>
      </w:tr>
    </w:tbl>
    <w:p w:rsidR="00AC77D0" w:rsidRPr="00861C29" w:rsidRDefault="00AC77D0" w:rsidP="00337D92">
      <w:pPr>
        <w:tabs>
          <w:tab w:val="right" w:leader="dot" w:pos="10348"/>
        </w:tabs>
        <w:ind w:right="-993"/>
        <w:rPr>
          <w:bCs/>
          <w:lang w:val="pt-BR"/>
        </w:rPr>
      </w:pPr>
    </w:p>
    <w:p w:rsidR="00337D92" w:rsidRPr="00861C29" w:rsidRDefault="00337D92" w:rsidP="004977FF">
      <w:pPr>
        <w:pStyle w:val="PargrafodaLista"/>
        <w:numPr>
          <w:ilvl w:val="0"/>
          <w:numId w:val="254"/>
        </w:numPr>
        <w:spacing w:after="0" w:line="240" w:lineRule="auto"/>
        <w:ind w:left="709" w:right="-993" w:hanging="283"/>
        <w:outlineLvl w:val="1"/>
        <w:rPr>
          <w:rFonts w:ascii="Times New Roman" w:hAnsi="Times New Roman"/>
          <w:b/>
          <w:bCs/>
          <w:sz w:val="24"/>
          <w:szCs w:val="24"/>
        </w:rPr>
      </w:pPr>
      <w:bookmarkStart w:id="61" w:name="_Toc75432248"/>
      <w:r w:rsidRPr="00861C29">
        <w:rPr>
          <w:rFonts w:ascii="Times New Roman" w:hAnsi="Times New Roman"/>
          <w:b/>
          <w:bCs/>
          <w:sz w:val="24"/>
          <w:szCs w:val="24"/>
        </w:rPr>
        <w:t>CONSULTA PÚBLICA</w:t>
      </w:r>
      <w:bookmarkEnd w:id="61"/>
    </w:p>
    <w:p w:rsidR="00270239" w:rsidRPr="00270239" w:rsidRDefault="008E23EC" w:rsidP="008E23EC">
      <w:pPr>
        <w:widowControl w:val="0"/>
        <w:tabs>
          <w:tab w:val="left" w:pos="2291"/>
          <w:tab w:val="left" w:pos="2292"/>
        </w:tabs>
        <w:autoSpaceDE w:val="0"/>
        <w:autoSpaceDN w:val="0"/>
        <w:spacing w:before="139" w:line="213" w:lineRule="auto"/>
        <w:ind w:right="-142"/>
        <w:jc w:val="both"/>
        <w:rPr>
          <w:lang w:val="pt-BR"/>
        </w:rPr>
      </w:pPr>
      <w:r w:rsidRPr="008E23EC">
        <w:rPr>
          <w:lang w:val="pt"/>
        </w:rPr>
        <w:t>Diante da situação em relação à evolução do COVID-19, a equipe prosseguiu na próxima fase (após a triagem) para a realização de consultas públicas de acordo com o Decreto nº 5/2017, respeitando medidas de distanciamento, o uso obrigatório de máscaras, lavagem das mãos e entre muitas outras medidas preventivas propostas pelo Alto Comissariado para COVID-19, MINSAP, OMS.</w:t>
      </w:r>
    </w:p>
    <w:p w:rsidR="00337D92" w:rsidRPr="00861C29" w:rsidRDefault="00337D92" w:rsidP="00B10459">
      <w:pPr>
        <w:ind w:right="-144"/>
        <w:jc w:val="both"/>
        <w:rPr>
          <w:lang w:val="pt-BR"/>
        </w:rPr>
      </w:pPr>
      <w:r w:rsidRPr="00861C29">
        <w:rPr>
          <w:lang w:val="pt-BR"/>
        </w:rPr>
        <w:t>Durante as consultas, os serviços técnicos e os actores envolvidos mostraram-se muito abertos e satisfeitos por acolher um projecto de segurança alimentar de emergência na Guiné-Bissau. Isso para apoiar o Estado, a agricultura, todos os atores envolvidos na produção e comercialização da castanha de caju. Além disso, ajuda jovens e mulheres desempregados, a população em geral, a fazer face aos efeitos económicos e sociais negativos que correm o risco de conduzir a Guiné-Bissau a uma situação de instabilidade e grande insegurança alimentar.</w:t>
      </w:r>
    </w:p>
    <w:p w:rsidR="00337D92" w:rsidRPr="00861C29" w:rsidRDefault="00337D92" w:rsidP="00B10459">
      <w:pPr>
        <w:ind w:right="-144"/>
        <w:jc w:val="both"/>
        <w:rPr>
          <w:lang w:val="pt-BR"/>
        </w:rPr>
      </w:pPr>
      <w:r w:rsidRPr="00861C29">
        <w:rPr>
          <w:lang w:val="pt-BR"/>
        </w:rPr>
        <w:t>Todos os atores consultados têm muita esperança neste projeto do PUSA, pois ele trará melhorias nas suas condições de vida diária, aumentará a geração de empregos e renda e gerará o desenvolvimento da agricultura. O projeto contribuirá para fortalecer o valor agregado dos produtos agrícolas e da castanha de caju, reduzindo a dependência da importação de produtos agroalimentares e combatendo a insegurança alimentar e a desnutrição infantil.</w:t>
      </w:r>
      <w:r w:rsidRPr="00861C29">
        <w:rPr>
          <w:lang w:val="pt-BR"/>
        </w:rPr>
        <w:tab/>
      </w:r>
    </w:p>
    <w:p w:rsidR="00337D92" w:rsidRPr="00861C29" w:rsidRDefault="00337D92" w:rsidP="00B10459">
      <w:pPr>
        <w:ind w:right="-144"/>
        <w:jc w:val="both"/>
        <w:rPr>
          <w:lang w:val="pt-BR"/>
        </w:rPr>
      </w:pPr>
      <w:r w:rsidRPr="00861C29">
        <w:rPr>
          <w:lang w:val="pt-BR"/>
        </w:rPr>
        <w:t>No entanto, as principais preocupações e recomendações foram levantadas pelos vários serviços ou departamentos técnicos e partes interessadas em causa. Assim, essas preocupações e recomendações devem ser levadas em consideração antes, durante e depois da implementação para atingir os objetivos do projeto PUSA.</w:t>
      </w:r>
    </w:p>
    <w:p w:rsidR="00337D92" w:rsidRPr="00861C29" w:rsidRDefault="00337D92" w:rsidP="00B10459">
      <w:pPr>
        <w:ind w:right="-144"/>
        <w:jc w:val="both"/>
        <w:rPr>
          <w:lang w:val="pt-BR"/>
        </w:rPr>
      </w:pPr>
    </w:p>
    <w:p w:rsidR="00337D92" w:rsidRPr="00861C29" w:rsidRDefault="00337D92" w:rsidP="00B10459">
      <w:pPr>
        <w:ind w:right="-144"/>
        <w:jc w:val="both"/>
        <w:rPr>
          <w:lang w:val="pt-BR"/>
        </w:rPr>
      </w:pPr>
      <w:r w:rsidRPr="00861C29">
        <w:rPr>
          <w:lang w:val="pt-BR"/>
        </w:rPr>
        <w:t xml:space="preserve">Além disso, é bom levar em consideração, durante o curso do projeto, as preocupações das mulheres e meninas de lutar contra os casamentos precoces e forçados, a Exploração e Abuso Sexual e o Assédio Sexual (NBP-EAS / HS) como parte do atividades do projeto. Mas também </w:t>
      </w:r>
      <w:r w:rsidRPr="00861C29">
        <w:rPr>
          <w:lang w:val="pt-BR"/>
        </w:rPr>
        <w:lastRenderedPageBreak/>
        <w:t xml:space="preserve">respeitar as leis para permitir que as mulheres tenham acesso à terra sem </w:t>
      </w:r>
      <w:r w:rsidR="00455835">
        <w:rPr>
          <w:lang w:val="pt-BR"/>
        </w:rPr>
        <w:t>restri</w:t>
      </w:r>
      <w:r w:rsidR="00906D8A">
        <w:rPr>
          <w:lang w:val="pt-BR"/>
        </w:rPr>
        <w:t>ç</w:t>
      </w:r>
      <w:r w:rsidR="00A05B9E">
        <w:rPr>
          <w:lang w:val="pt-BR"/>
        </w:rPr>
        <w:t>ã</w:t>
      </w:r>
      <w:r w:rsidR="00906D8A">
        <w:rPr>
          <w:lang w:val="pt-BR"/>
        </w:rPr>
        <w:t>o</w:t>
      </w:r>
      <w:r w:rsidR="00455835">
        <w:rPr>
          <w:lang w:val="pt-BR"/>
        </w:rPr>
        <w:t xml:space="preserve"> </w:t>
      </w:r>
      <w:r w:rsidRPr="00861C29">
        <w:rPr>
          <w:lang w:val="pt-BR"/>
        </w:rPr>
        <w:t xml:space="preserve"> e violência ou conflito familiar.</w:t>
      </w:r>
    </w:p>
    <w:p w:rsidR="00337D92" w:rsidRPr="00861C29" w:rsidRDefault="00337D92" w:rsidP="00337D92">
      <w:pPr>
        <w:ind w:left="-426" w:right="-993"/>
        <w:jc w:val="both"/>
        <w:rPr>
          <w:lang w:val="pt-BR"/>
        </w:rPr>
      </w:pPr>
    </w:p>
    <w:p w:rsidR="00337D92" w:rsidRPr="00861C29" w:rsidRDefault="00337D92" w:rsidP="00B10459">
      <w:pPr>
        <w:ind w:right="-144"/>
        <w:jc w:val="both"/>
        <w:rPr>
          <w:b/>
          <w:u w:val="single"/>
          <w:lang w:val="pt-BR"/>
        </w:rPr>
      </w:pPr>
      <w:r w:rsidRPr="00861C29">
        <w:rPr>
          <w:b/>
          <w:u w:val="single"/>
          <w:lang w:val="pt-BR"/>
        </w:rPr>
        <w:t>Recomendações específicas:</w:t>
      </w:r>
    </w:p>
    <w:p w:rsidR="00337D92" w:rsidRPr="00861C29" w:rsidRDefault="00337D92" w:rsidP="00337D92">
      <w:pPr>
        <w:ind w:right="-993"/>
        <w:jc w:val="center"/>
        <w:rPr>
          <w:b/>
          <w:bCs/>
          <w:lang w:val="pt-BR"/>
        </w:rPr>
      </w:pPr>
      <w:r w:rsidRPr="00861C29">
        <w:rPr>
          <w:b/>
          <w:bCs/>
          <w:lang w:val="pt-BR"/>
        </w:rPr>
        <w:t>Para o governo:</w:t>
      </w:r>
    </w:p>
    <w:p w:rsidR="00337D92" w:rsidRPr="00861C29" w:rsidRDefault="00337D92" w:rsidP="00D47C37">
      <w:pPr>
        <w:numPr>
          <w:ilvl w:val="1"/>
          <w:numId w:val="114"/>
        </w:numPr>
        <w:ind w:left="426" w:right="-144"/>
        <w:jc w:val="both"/>
        <w:rPr>
          <w:rFonts w:eastAsia="Calibri"/>
          <w:lang w:val="pt-BR"/>
        </w:rPr>
      </w:pPr>
      <w:r w:rsidRPr="00861C29">
        <w:rPr>
          <w:rFonts w:eastAsia="Calibri"/>
          <w:lang w:val="pt-BR"/>
        </w:rPr>
        <w:t>Alocar recursos financeiros suficientes para o serviço de estatísticas agrícolas para garantir pesquisas agrícolas regulares;</w:t>
      </w:r>
    </w:p>
    <w:p w:rsidR="00337D92" w:rsidRPr="00861C29" w:rsidRDefault="00337D92" w:rsidP="00D47C37">
      <w:pPr>
        <w:numPr>
          <w:ilvl w:val="1"/>
          <w:numId w:val="114"/>
        </w:numPr>
        <w:ind w:left="426" w:right="-144"/>
        <w:jc w:val="both"/>
        <w:rPr>
          <w:rFonts w:eastAsia="Calibri"/>
          <w:lang w:val="pt-BR"/>
        </w:rPr>
      </w:pPr>
      <w:r w:rsidRPr="00861C29">
        <w:rPr>
          <w:rFonts w:eastAsia="Calibri"/>
          <w:lang w:val="pt-BR"/>
        </w:rPr>
        <w:t>Apoiar ainda mais o desempenho de missões conjuntas, disponibilizando recursos adequados a tempo de cobrir todo o país;</w:t>
      </w:r>
    </w:p>
    <w:p w:rsidR="00337D92" w:rsidRPr="00861C29" w:rsidRDefault="00337D92" w:rsidP="00D47C37">
      <w:pPr>
        <w:numPr>
          <w:ilvl w:val="1"/>
          <w:numId w:val="114"/>
        </w:numPr>
        <w:ind w:left="426" w:right="-144"/>
        <w:jc w:val="both"/>
        <w:rPr>
          <w:rFonts w:eastAsia="Calibri"/>
          <w:lang w:val="pt-BR"/>
        </w:rPr>
      </w:pPr>
      <w:r w:rsidRPr="00861C29">
        <w:rPr>
          <w:rFonts w:eastAsia="Calibri"/>
          <w:lang w:val="pt-BR"/>
        </w:rPr>
        <w:t>Elaborar um plano de contingência governamental / parceiro nacional para fazer face a uma possível deterioração da situação alimentar e nutricional nas zonas inundadas das regiões de Cacheu, Oio, Bafata, Tombali e Quinara e também em caso de invasão de gafanhotos do deserto.</w:t>
      </w:r>
    </w:p>
    <w:p w:rsidR="00337D92" w:rsidRPr="00861C29" w:rsidRDefault="00337D92" w:rsidP="00D47C37">
      <w:pPr>
        <w:numPr>
          <w:ilvl w:val="1"/>
          <w:numId w:val="114"/>
        </w:numPr>
        <w:ind w:left="426" w:right="-144"/>
        <w:jc w:val="both"/>
        <w:rPr>
          <w:rFonts w:eastAsia="Calibri"/>
          <w:lang w:val="pt-BR"/>
        </w:rPr>
      </w:pPr>
      <w:r w:rsidRPr="00861C29">
        <w:rPr>
          <w:rFonts w:eastAsia="Calibri"/>
          <w:lang w:val="pt-BR"/>
        </w:rPr>
        <w:t>Reforçar a campanha de produção para as culturas de entressafra (hortas comerciais e arroz irrigado);</w:t>
      </w:r>
    </w:p>
    <w:p w:rsidR="00337D92" w:rsidRPr="00861C29" w:rsidRDefault="00337D92" w:rsidP="00D47C37">
      <w:pPr>
        <w:numPr>
          <w:ilvl w:val="1"/>
          <w:numId w:val="114"/>
        </w:numPr>
        <w:ind w:left="426" w:right="-144"/>
        <w:jc w:val="both"/>
        <w:rPr>
          <w:rFonts w:eastAsia="Calibri"/>
          <w:lang w:val="pt-BR"/>
        </w:rPr>
      </w:pPr>
      <w:r w:rsidRPr="00861C29">
        <w:rPr>
          <w:rFonts w:eastAsia="Calibri"/>
          <w:lang w:val="pt-BR"/>
        </w:rPr>
        <w:t>Reforçar a vigilância e a luta contra a progressão das lagartas e doenças bacterianas e sistemáticas do smut bovino, PPR (peste des petits ruminants), ASF (peste suína africana) e doença de Newcastle nas aves;</w:t>
      </w:r>
    </w:p>
    <w:p w:rsidR="00337D92" w:rsidRPr="00861C29" w:rsidRDefault="00337D92" w:rsidP="00D47C37">
      <w:pPr>
        <w:numPr>
          <w:ilvl w:val="1"/>
          <w:numId w:val="114"/>
        </w:numPr>
        <w:ind w:left="426" w:right="-144"/>
        <w:jc w:val="both"/>
        <w:rPr>
          <w:rFonts w:eastAsia="Calibri"/>
          <w:lang w:val="pt-BR"/>
        </w:rPr>
      </w:pPr>
      <w:r w:rsidRPr="00861C29">
        <w:rPr>
          <w:rFonts w:eastAsia="Calibri"/>
          <w:lang w:val="pt-BR"/>
        </w:rPr>
        <w:t>Intensificar a campanha de produção de safras de contra-temporada (horticultura comercial e arroz irrigado) em todas as regiões do país;</w:t>
      </w:r>
    </w:p>
    <w:p w:rsidR="00337D92" w:rsidRPr="00861C29" w:rsidRDefault="00337D92" w:rsidP="00D47C37">
      <w:pPr>
        <w:numPr>
          <w:ilvl w:val="1"/>
          <w:numId w:val="114"/>
        </w:numPr>
        <w:ind w:left="426" w:right="-144"/>
        <w:jc w:val="both"/>
        <w:rPr>
          <w:rFonts w:eastAsia="Calibri"/>
          <w:lang w:val="pt-BR"/>
        </w:rPr>
      </w:pPr>
      <w:r w:rsidRPr="00861C29">
        <w:rPr>
          <w:rFonts w:eastAsia="Calibri"/>
          <w:lang w:val="pt-BR"/>
        </w:rPr>
        <w:t xml:space="preserve">Descentralizar o </w:t>
      </w:r>
      <w:r w:rsidR="00D2637A" w:rsidRPr="00861C29">
        <w:rPr>
          <w:rFonts w:eastAsia="Calibri"/>
          <w:lang w:val="pt-BR"/>
        </w:rPr>
        <w:t>os agentes</w:t>
      </w:r>
      <w:r w:rsidRPr="00861C29">
        <w:rPr>
          <w:rFonts w:eastAsia="Calibri"/>
          <w:lang w:val="pt-BR"/>
        </w:rPr>
        <w:t xml:space="preserve"> </w:t>
      </w:r>
      <w:r w:rsidR="00D2637A" w:rsidRPr="00861C29">
        <w:rPr>
          <w:rFonts w:eastAsia="Calibri"/>
          <w:lang w:val="pt-BR"/>
        </w:rPr>
        <w:t xml:space="preserve">em questão </w:t>
      </w:r>
      <w:r w:rsidRPr="00861C29">
        <w:rPr>
          <w:rFonts w:eastAsia="Calibri"/>
          <w:lang w:val="pt-BR"/>
        </w:rPr>
        <w:t xml:space="preserve">nas regiões para que possam desempenhar melhor o seu papel de acompanhamento da campanha agro-pastoril e de divulgação de conselhos agro-meteorológicos e de aconselhamento aos produtores; </w:t>
      </w:r>
    </w:p>
    <w:p w:rsidR="00337D92" w:rsidRPr="00861C29" w:rsidRDefault="00337D92" w:rsidP="00D47C37">
      <w:pPr>
        <w:numPr>
          <w:ilvl w:val="1"/>
          <w:numId w:val="114"/>
        </w:numPr>
        <w:ind w:left="426" w:right="-144"/>
        <w:jc w:val="both"/>
        <w:rPr>
          <w:rFonts w:eastAsia="Calibri"/>
          <w:lang w:val="pt-BR"/>
        </w:rPr>
      </w:pPr>
      <w:r w:rsidRPr="00861C29">
        <w:rPr>
          <w:rFonts w:eastAsia="Calibri"/>
          <w:lang w:val="pt-BR"/>
        </w:rPr>
        <w:t>Fortalecer as estruturas regionais de supervisão em termos de recursos humanos e técnicos.</w:t>
      </w:r>
    </w:p>
    <w:p w:rsidR="00927C67" w:rsidRPr="00861C29" w:rsidRDefault="00927C67" w:rsidP="00D47C37">
      <w:pPr>
        <w:ind w:right="-144"/>
        <w:jc w:val="both"/>
        <w:rPr>
          <w:lang w:val="pt-BR"/>
        </w:rPr>
      </w:pPr>
    </w:p>
    <w:p w:rsidR="00337D92" w:rsidRPr="00861C29" w:rsidRDefault="00337D92" w:rsidP="00D47C37">
      <w:pPr>
        <w:ind w:right="-144"/>
        <w:jc w:val="center"/>
        <w:rPr>
          <w:b/>
          <w:bCs/>
        </w:rPr>
      </w:pPr>
      <w:r w:rsidRPr="00861C29">
        <w:rPr>
          <w:b/>
          <w:bCs/>
        </w:rPr>
        <w:t>Para a FAO:</w:t>
      </w:r>
    </w:p>
    <w:p w:rsidR="00337D92" w:rsidRPr="00861C29" w:rsidRDefault="00337D92" w:rsidP="00D47C37">
      <w:pPr>
        <w:numPr>
          <w:ilvl w:val="1"/>
          <w:numId w:val="114"/>
        </w:numPr>
        <w:tabs>
          <w:tab w:val="right" w:leader="dot" w:pos="10348"/>
        </w:tabs>
        <w:ind w:left="426" w:right="-144"/>
        <w:rPr>
          <w:rFonts w:eastAsia="Calibri"/>
          <w:lang w:val="pt-BR"/>
        </w:rPr>
      </w:pPr>
      <w:r w:rsidRPr="00861C29">
        <w:rPr>
          <w:rFonts w:eastAsia="Calibri"/>
          <w:lang w:val="pt-BR"/>
        </w:rPr>
        <w:t>Apoiar os esforços do Estado na realização regular do Inquérito Agropecuário Permanente e do Censo Nacional da Agricultura e Pecuária;</w:t>
      </w:r>
    </w:p>
    <w:p w:rsidR="00337D92" w:rsidRPr="00861C29" w:rsidRDefault="00337D92" w:rsidP="00D47C37">
      <w:pPr>
        <w:numPr>
          <w:ilvl w:val="1"/>
          <w:numId w:val="114"/>
        </w:numPr>
        <w:tabs>
          <w:tab w:val="right" w:leader="dot" w:pos="10348"/>
        </w:tabs>
        <w:ind w:left="426" w:right="-144"/>
        <w:rPr>
          <w:rFonts w:eastAsia="Calibri"/>
          <w:lang w:val="pt-BR"/>
        </w:rPr>
      </w:pPr>
      <w:r w:rsidRPr="00861C29">
        <w:rPr>
          <w:rFonts w:eastAsia="Calibri"/>
          <w:lang w:val="pt-BR"/>
        </w:rPr>
        <w:t>Apoiar a realização do inquérito aos agregados familiares de vulnerabilidade à insegurança alimentar e nutricional;</w:t>
      </w:r>
    </w:p>
    <w:p w:rsidR="00337D92" w:rsidRPr="00861C29" w:rsidRDefault="00337D92" w:rsidP="00D47C37">
      <w:pPr>
        <w:numPr>
          <w:ilvl w:val="1"/>
          <w:numId w:val="114"/>
        </w:numPr>
        <w:tabs>
          <w:tab w:val="right" w:leader="dot" w:pos="10348"/>
        </w:tabs>
        <w:ind w:left="426" w:right="-144"/>
        <w:rPr>
          <w:rFonts w:eastAsia="Calibri"/>
          <w:lang w:val="pt-BR"/>
        </w:rPr>
      </w:pPr>
      <w:r w:rsidRPr="00861C29">
        <w:rPr>
          <w:rFonts w:eastAsia="Calibri"/>
          <w:lang w:val="pt-BR"/>
        </w:rPr>
        <w:t>Mobilizar apoio técnico e recursos financeiros para garantir a recolha de dados regulares e fiáveis ​​para melhorar as análises do Cadre Harmonisé no país;</w:t>
      </w:r>
    </w:p>
    <w:p w:rsidR="00337D92" w:rsidRPr="00861C29" w:rsidRDefault="00337D92" w:rsidP="00D47C37">
      <w:pPr>
        <w:numPr>
          <w:ilvl w:val="1"/>
          <w:numId w:val="114"/>
        </w:numPr>
        <w:tabs>
          <w:tab w:val="right" w:leader="dot" w:pos="10348"/>
        </w:tabs>
        <w:ind w:left="426"/>
        <w:rPr>
          <w:rFonts w:eastAsia="Calibri"/>
          <w:lang w:val="pt-BR"/>
        </w:rPr>
      </w:pPr>
      <w:r w:rsidRPr="00861C29">
        <w:rPr>
          <w:rFonts w:eastAsia="Calibri"/>
          <w:lang w:val="pt-BR"/>
        </w:rPr>
        <w:t>Continue a apoiar missões conjuntas de avaliação de safras.</w:t>
      </w:r>
    </w:p>
    <w:p w:rsidR="00337D92" w:rsidRPr="00861C29" w:rsidRDefault="00337D92" w:rsidP="00D47C37">
      <w:pPr>
        <w:numPr>
          <w:ilvl w:val="1"/>
          <w:numId w:val="114"/>
        </w:numPr>
        <w:tabs>
          <w:tab w:val="right" w:leader="dot" w:pos="10348"/>
        </w:tabs>
        <w:ind w:left="426"/>
        <w:rPr>
          <w:rFonts w:eastAsia="Calibri"/>
          <w:lang w:val="pt-BR"/>
        </w:rPr>
      </w:pPr>
      <w:r w:rsidRPr="00861C29">
        <w:rPr>
          <w:rFonts w:eastAsia="Calibri"/>
          <w:lang w:val="pt-BR"/>
        </w:rPr>
        <w:t>Reforçar a campanha de produção para as culturas de entressafra (hortas comerciais e arroz irrigado);</w:t>
      </w:r>
    </w:p>
    <w:p w:rsidR="00337D92" w:rsidRPr="00861C29" w:rsidRDefault="00337D92" w:rsidP="00D47C37">
      <w:pPr>
        <w:numPr>
          <w:ilvl w:val="1"/>
          <w:numId w:val="114"/>
        </w:numPr>
        <w:tabs>
          <w:tab w:val="right" w:leader="dot" w:pos="10348"/>
        </w:tabs>
        <w:ind w:left="426"/>
        <w:rPr>
          <w:rFonts w:eastAsia="Calibri"/>
          <w:lang w:val="pt-BR"/>
        </w:rPr>
      </w:pPr>
      <w:r w:rsidRPr="00861C29">
        <w:rPr>
          <w:rFonts w:eastAsia="Calibri"/>
          <w:lang w:val="pt-BR"/>
        </w:rPr>
        <w:t>Reforçar a vigilância e a luta contra a progressão das lagartas e doenças bacterianas e sistemáticas do smut bovino, PPR (peste des petits ruminants), ASF (peste suína africana) e doença de Newcastle nas aves;</w:t>
      </w:r>
    </w:p>
    <w:p w:rsidR="00337D92" w:rsidRPr="00861C29" w:rsidRDefault="00337D92" w:rsidP="00D47C37">
      <w:pPr>
        <w:numPr>
          <w:ilvl w:val="1"/>
          <w:numId w:val="114"/>
        </w:numPr>
        <w:tabs>
          <w:tab w:val="right" w:leader="dot" w:pos="10348"/>
        </w:tabs>
        <w:ind w:left="426"/>
        <w:rPr>
          <w:rFonts w:eastAsia="Calibri"/>
          <w:lang w:val="pt-BR"/>
        </w:rPr>
      </w:pPr>
      <w:r w:rsidRPr="00861C29">
        <w:rPr>
          <w:rFonts w:eastAsia="Calibri"/>
          <w:lang w:val="pt-BR"/>
        </w:rPr>
        <w:t>Intensificar a campanha de produção de safras de contra-temporada (horticultura comercial e arroz irrigado) em todas as regiões do país;</w:t>
      </w:r>
    </w:p>
    <w:p w:rsidR="00337D92" w:rsidRPr="00861C29" w:rsidRDefault="00337D92" w:rsidP="00337D92">
      <w:pPr>
        <w:ind w:right="-993"/>
        <w:jc w:val="both"/>
        <w:rPr>
          <w:lang w:val="pt-PT"/>
        </w:rPr>
      </w:pPr>
    </w:p>
    <w:p w:rsidR="00337D92" w:rsidRPr="00861C29" w:rsidRDefault="00337D92" w:rsidP="004977FF">
      <w:pPr>
        <w:pStyle w:val="PargrafodaLista"/>
        <w:numPr>
          <w:ilvl w:val="0"/>
          <w:numId w:val="254"/>
        </w:numPr>
        <w:spacing w:after="0" w:line="240" w:lineRule="auto"/>
        <w:ind w:left="709" w:right="-993" w:hanging="283"/>
        <w:outlineLvl w:val="1"/>
        <w:rPr>
          <w:rFonts w:ascii="Times New Roman" w:hAnsi="Times New Roman"/>
          <w:b/>
          <w:bCs/>
          <w:sz w:val="24"/>
          <w:szCs w:val="24"/>
          <w:lang w:val="pt-BR"/>
        </w:rPr>
      </w:pPr>
      <w:bookmarkStart w:id="62" w:name="_Toc75432249"/>
      <w:r w:rsidRPr="00861C29">
        <w:rPr>
          <w:rFonts w:ascii="Times New Roman" w:hAnsi="Times New Roman"/>
          <w:b/>
          <w:bCs/>
          <w:sz w:val="24"/>
          <w:szCs w:val="24"/>
          <w:lang w:val="pt-BR"/>
        </w:rPr>
        <w:t>Plano de Mobilização de Partes Interessadas (PMPP)</w:t>
      </w:r>
      <w:bookmarkEnd w:id="62"/>
    </w:p>
    <w:p w:rsidR="00337D92" w:rsidRDefault="00337D92" w:rsidP="00016F3E">
      <w:pPr>
        <w:jc w:val="both"/>
        <w:rPr>
          <w:lang w:val="pt-BR"/>
        </w:rPr>
      </w:pPr>
      <w:r w:rsidRPr="00861C29">
        <w:rPr>
          <w:lang w:val="pt-BR"/>
        </w:rPr>
        <w:t>O projecto de emergência de segurança alimentar na Guiné-Bissau que já se encontra elaborado no âmbito do Quadro Ambiental e Social (</w:t>
      </w:r>
      <w:r w:rsidR="00045243">
        <w:rPr>
          <w:lang w:val="pt-BR"/>
        </w:rPr>
        <w:t>QAS</w:t>
      </w:r>
      <w:r w:rsidRPr="00861C29">
        <w:rPr>
          <w:lang w:val="pt-BR"/>
        </w:rPr>
        <w:t>) do Banco Mundial. De acordo com a Norma Ambiental e Social N</w:t>
      </w:r>
      <w:r w:rsidR="00045243">
        <w:rPr>
          <w:lang w:val="pt-BR"/>
        </w:rPr>
        <w:t>A</w:t>
      </w:r>
      <w:r w:rsidRPr="00861C29">
        <w:rPr>
          <w:lang w:val="pt-BR"/>
        </w:rPr>
        <w:t>S No.10 Envolvimento das Partes Interessadas e Divulgação de Informações, as agências de implementação devem fornecer às partes interessadas informações oportunas, relevantes, compreensíveis e acessíveis e consultá-las de maneira culturalmente sensível. Apropriado, livre de manipulação, interferência, coerção, discriminação e intimidação.</w:t>
      </w:r>
    </w:p>
    <w:p w:rsidR="003D59A7" w:rsidRPr="00861C29" w:rsidRDefault="003D59A7" w:rsidP="00016F3E">
      <w:pPr>
        <w:jc w:val="both"/>
        <w:rPr>
          <w:lang w:val="pt-BR"/>
        </w:rPr>
      </w:pPr>
    </w:p>
    <w:p w:rsidR="00337D92" w:rsidRDefault="00337D92" w:rsidP="00016F3E">
      <w:pPr>
        <w:jc w:val="both"/>
        <w:rPr>
          <w:lang w:val="pt-BR"/>
        </w:rPr>
      </w:pPr>
      <w:r w:rsidRPr="00861C29">
        <w:rPr>
          <w:lang w:val="pt-BR"/>
        </w:rPr>
        <w:lastRenderedPageBreak/>
        <w:t>O objetivo geral deste Plano de Engajamento de Partes Interessadas (</w:t>
      </w:r>
      <w:r w:rsidR="002548F5">
        <w:rPr>
          <w:lang w:val="pt-BR"/>
        </w:rPr>
        <w:t>PEPI</w:t>
      </w:r>
      <w:r w:rsidRPr="00861C29">
        <w:rPr>
          <w:lang w:val="pt-BR"/>
        </w:rPr>
        <w:t xml:space="preserve">) é definir um programa de engajamento de partes interessadas, incluindo divulgação de informações públicas e consulta, ao longo do ciclo do projeto. O </w:t>
      </w:r>
      <w:r w:rsidR="002548F5">
        <w:rPr>
          <w:lang w:val="pt-BR"/>
        </w:rPr>
        <w:t>PEPI</w:t>
      </w:r>
      <w:r w:rsidR="002548F5" w:rsidRPr="00861C29">
        <w:rPr>
          <w:lang w:val="pt-BR"/>
        </w:rPr>
        <w:t xml:space="preserve"> </w:t>
      </w:r>
      <w:r w:rsidRPr="00861C29">
        <w:rPr>
          <w:lang w:val="pt-BR"/>
        </w:rPr>
        <w:t>descreve os meios pelos quais a equipe do projeto se comunicará com as partes interessadas e inclui um mecanismo pelo qual as pessoas podem levantar preocupações, fornecer comentários ou apresentar reclamações sobre o projeto e qualquer atividade relacionada ao projeto.</w:t>
      </w:r>
    </w:p>
    <w:p w:rsidR="003D59A7" w:rsidRPr="00861C29" w:rsidRDefault="003D59A7" w:rsidP="00016F3E">
      <w:pPr>
        <w:jc w:val="both"/>
        <w:rPr>
          <w:lang w:val="pt-BR"/>
        </w:rPr>
      </w:pPr>
    </w:p>
    <w:p w:rsidR="00337D92" w:rsidRPr="00861C29" w:rsidRDefault="00337D92" w:rsidP="00016F3E">
      <w:pPr>
        <w:jc w:val="both"/>
        <w:rPr>
          <w:lang w:val="pt-BR"/>
        </w:rPr>
      </w:pPr>
      <w:r w:rsidRPr="00861C29">
        <w:rPr>
          <w:lang w:val="pt-BR"/>
        </w:rPr>
        <w:t>As partes diretamente afetadas pelo projeto PUSA são: Agricultores (mulheres agricultoras) em geral, produtores de castanha de caju e outros produtos agrícolas, pessoas envolvidas na cadeia de comercialização de castanha de caju e outros produtos agrícolas, processadores de alimentos, jovens e mulheres nas localidades, a população, grupos vulneráveis ​​(idosos e jovens, pessoas com deficiência, famílias chefiadas por mulheres ou mães solteiras com filhos menores), etc. Para esses grupos, medidas específicas serão tomadas para facilitar o acesso aos benefícios do projeto PUSA.</w:t>
      </w:r>
    </w:p>
    <w:p w:rsidR="00337D92" w:rsidRPr="00861C29" w:rsidRDefault="00337D92" w:rsidP="00016F3E">
      <w:pPr>
        <w:jc w:val="both"/>
        <w:rPr>
          <w:lang w:val="pt-BR"/>
        </w:rPr>
      </w:pPr>
    </w:p>
    <w:p w:rsidR="00337D92" w:rsidRPr="00861C29" w:rsidRDefault="00337D92" w:rsidP="00016F3E">
      <w:pPr>
        <w:jc w:val="both"/>
        <w:rPr>
          <w:lang w:val="pt-BR"/>
        </w:rPr>
      </w:pPr>
      <w:r w:rsidRPr="00861C29">
        <w:rPr>
          <w:lang w:val="pt-BR"/>
        </w:rPr>
        <w:t>As outras partes interessadas no projeto são: Ministério da Agricultura e Desenvolvimento Rural e seus serviços e direcções regionais e nacionais, representantes das comunidades locais: autoridades tradicionais, autoridades locais (Câmaras Municipais), líderes religiosos, associações de agricultores, jovens e mulheres associações, sociedade civil (ONGs locais), mídia tradicional e social, parceiros de desenvolvimento, empresas de caju, etc ... Estas partes, particularmente os representantes da comunidade, desempenharão um papel importante na sensibilização e mobilização das comunidades locais. Essas partes serão identificadas e envolvidas no projeto PUSA tanto na fase de preparação quanto na fase de implementação.</w:t>
      </w:r>
    </w:p>
    <w:p w:rsidR="003D59A7" w:rsidRDefault="003D59A7" w:rsidP="00337D92">
      <w:pPr>
        <w:tabs>
          <w:tab w:val="right" w:leader="dot" w:pos="10348"/>
        </w:tabs>
        <w:ind w:right="-993"/>
        <w:rPr>
          <w:bCs/>
          <w:lang w:val="pt-BR"/>
        </w:rPr>
      </w:pPr>
    </w:p>
    <w:p w:rsidR="00337D92" w:rsidRPr="00861C29" w:rsidRDefault="00337D92" w:rsidP="004977FF">
      <w:pPr>
        <w:pStyle w:val="PargrafodaLista"/>
        <w:numPr>
          <w:ilvl w:val="0"/>
          <w:numId w:val="254"/>
        </w:numPr>
        <w:spacing w:after="0" w:line="240" w:lineRule="auto"/>
        <w:ind w:left="709" w:right="-993" w:hanging="283"/>
        <w:outlineLvl w:val="1"/>
        <w:rPr>
          <w:rFonts w:ascii="Times New Roman" w:hAnsi="Times New Roman"/>
          <w:b/>
          <w:bCs/>
          <w:sz w:val="24"/>
          <w:szCs w:val="24"/>
        </w:rPr>
      </w:pPr>
      <w:bookmarkStart w:id="63" w:name="_Toc75432250"/>
      <w:r w:rsidRPr="00861C29">
        <w:rPr>
          <w:rFonts w:ascii="Times New Roman" w:hAnsi="Times New Roman"/>
          <w:b/>
          <w:bCs/>
          <w:sz w:val="24"/>
          <w:szCs w:val="24"/>
        </w:rPr>
        <w:t>Mecanismo de Gestão de Reclamações</w:t>
      </w:r>
      <w:bookmarkEnd w:id="63"/>
    </w:p>
    <w:p w:rsidR="00337D92" w:rsidRPr="00861C29" w:rsidRDefault="00337D92" w:rsidP="003D59A7">
      <w:pPr>
        <w:autoSpaceDE w:val="0"/>
        <w:autoSpaceDN w:val="0"/>
        <w:adjustRightInd w:val="0"/>
        <w:ind w:left="142" w:right="-144"/>
        <w:jc w:val="both"/>
        <w:rPr>
          <w:lang w:val="pt-BR"/>
        </w:rPr>
      </w:pPr>
      <w:r w:rsidRPr="00861C29">
        <w:rPr>
          <w:lang w:val="pt-BR"/>
        </w:rPr>
        <w:t>O principal objetivo de um mecanismo de gestão de reclamações (</w:t>
      </w:r>
      <w:r w:rsidR="00045243">
        <w:rPr>
          <w:lang w:val="pt-BR"/>
        </w:rPr>
        <w:t>MGR</w:t>
      </w:r>
      <w:r w:rsidRPr="00861C29">
        <w:rPr>
          <w:lang w:val="pt-BR"/>
        </w:rPr>
        <w:t xml:space="preserve">) é ajudar a resolver reclamações e reclamações de maneira oportuna, eficaz e eficiente que satisfaça todas as partes envolvidas. </w:t>
      </w:r>
    </w:p>
    <w:p w:rsidR="00337D92" w:rsidRPr="00861C29" w:rsidRDefault="00337D92" w:rsidP="00337D92">
      <w:pPr>
        <w:autoSpaceDE w:val="0"/>
        <w:autoSpaceDN w:val="0"/>
        <w:adjustRightInd w:val="0"/>
        <w:ind w:left="142" w:right="-851"/>
        <w:jc w:val="both"/>
      </w:pPr>
      <w:r w:rsidRPr="00861C29">
        <w:t xml:space="preserve">Mais especificamente, o </w:t>
      </w:r>
      <w:r w:rsidR="00B21230" w:rsidRPr="00861C29">
        <w:t>MGR</w:t>
      </w:r>
      <w:r w:rsidRPr="00861C29">
        <w:t>:</w:t>
      </w:r>
    </w:p>
    <w:p w:rsidR="00337D92" w:rsidRPr="00861C29" w:rsidRDefault="00337D92" w:rsidP="00F92390">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432"/>
        <w:jc w:val="both"/>
        <w:rPr>
          <w:rFonts w:ascii="Times New Roman" w:hAnsi="Times New Roman"/>
          <w:sz w:val="24"/>
          <w:szCs w:val="24"/>
          <w:lang w:val="pt-BR"/>
        </w:rPr>
      </w:pPr>
      <w:r w:rsidRPr="00861C29">
        <w:rPr>
          <w:rFonts w:ascii="Times New Roman" w:hAnsi="Times New Roman"/>
          <w:sz w:val="24"/>
          <w:szCs w:val="24"/>
          <w:lang w:val="pt-BR"/>
        </w:rPr>
        <w:t>Fornecer os meios para que as pessoas afetadas apresentem uma reclamação ou resolvam qualquer controvérsia que possa surgir durante a implementação dos projetos;</w:t>
      </w:r>
    </w:p>
    <w:p w:rsidR="00337D92" w:rsidRPr="00861C29" w:rsidRDefault="00337D92" w:rsidP="00F92390">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432"/>
        <w:jc w:val="both"/>
        <w:rPr>
          <w:rFonts w:ascii="Times New Roman" w:hAnsi="Times New Roman"/>
          <w:sz w:val="24"/>
          <w:szCs w:val="24"/>
          <w:lang w:val="pt-BR"/>
        </w:rPr>
      </w:pPr>
      <w:r w:rsidRPr="00861C29">
        <w:rPr>
          <w:rFonts w:ascii="Times New Roman" w:hAnsi="Times New Roman"/>
          <w:sz w:val="24"/>
          <w:szCs w:val="24"/>
          <w:lang w:val="pt-BR"/>
        </w:rPr>
        <w:t xml:space="preserve">Assegura que ações corretivas apropriadas e mutuamente aceitáveis ​​sejam identificadas e implementadas para a satisfação dos reclamantes; </w:t>
      </w:r>
    </w:p>
    <w:p w:rsidR="00337D92" w:rsidRPr="00861C29" w:rsidRDefault="00337D92" w:rsidP="00F92390">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432"/>
        <w:jc w:val="both"/>
        <w:rPr>
          <w:rFonts w:ascii="Times New Roman" w:hAnsi="Times New Roman"/>
          <w:sz w:val="24"/>
          <w:szCs w:val="24"/>
          <w:lang w:val="pt-BR"/>
        </w:rPr>
      </w:pPr>
      <w:r w:rsidRPr="00861C29">
        <w:rPr>
          <w:rFonts w:ascii="Times New Roman" w:hAnsi="Times New Roman"/>
          <w:sz w:val="24"/>
          <w:szCs w:val="24"/>
          <w:lang w:val="pt-BR"/>
        </w:rPr>
        <w:t>Fornece referências para serviços de acompanhamento e</w:t>
      </w:r>
    </w:p>
    <w:p w:rsidR="00337D92" w:rsidRPr="00861C29" w:rsidRDefault="00337D92" w:rsidP="00F92390">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432"/>
        <w:jc w:val="both"/>
        <w:rPr>
          <w:rFonts w:ascii="Times New Roman" w:hAnsi="Times New Roman"/>
          <w:sz w:val="24"/>
          <w:szCs w:val="24"/>
          <w:lang w:val="pt-BR"/>
        </w:rPr>
      </w:pPr>
      <w:r w:rsidRPr="00861C29">
        <w:rPr>
          <w:rFonts w:ascii="Times New Roman" w:hAnsi="Times New Roman"/>
          <w:sz w:val="24"/>
          <w:szCs w:val="24"/>
          <w:lang w:val="pt-BR"/>
        </w:rPr>
        <w:t>Evita a necessidade de recorrer a processos judiciais.</w:t>
      </w:r>
    </w:p>
    <w:p w:rsidR="00337D92" w:rsidRPr="00861C29" w:rsidRDefault="00337D92" w:rsidP="00337D92">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jc w:val="both"/>
        <w:rPr>
          <w:rFonts w:ascii="Times New Roman" w:hAnsi="Times New Roman"/>
          <w:sz w:val="24"/>
          <w:szCs w:val="24"/>
          <w:lang w:val="pt-BR"/>
        </w:rPr>
      </w:pPr>
    </w:p>
    <w:p w:rsidR="00337D92" w:rsidRPr="00861C29" w:rsidRDefault="00337D92" w:rsidP="00D47C37">
      <w:pPr>
        <w:autoSpaceDE w:val="0"/>
        <w:autoSpaceDN w:val="0"/>
        <w:adjustRightInd w:val="0"/>
        <w:ind w:left="142" w:right="-288"/>
        <w:jc w:val="both"/>
      </w:pPr>
      <w:r w:rsidRPr="00861C29">
        <w:rPr>
          <w:lang w:val="pt-BR"/>
        </w:rPr>
        <w:t xml:space="preserve">Este mecanismo justifica-se pelo facto de na implementação das obras e das respectivas medidas compensatórias poderem surgir diversos conflitos. </w:t>
      </w:r>
      <w:r w:rsidRPr="00861C29">
        <w:t>Esses conflitos podem estar relacionados aos seguintes problemas:</w:t>
      </w:r>
    </w:p>
    <w:p w:rsidR="00337D92" w:rsidRPr="00861C29" w:rsidRDefault="00337D92" w:rsidP="00D47C37">
      <w:pPr>
        <w:pStyle w:val="Listecouleur-Accent12"/>
        <w:numPr>
          <w:ilvl w:val="0"/>
          <w:numId w:val="94"/>
        </w:numPr>
        <w:spacing w:after="200"/>
        <w:ind w:left="1276" w:right="-288"/>
        <w:rPr>
          <w:szCs w:val="24"/>
          <w:lang w:val="pt-BR"/>
        </w:rPr>
      </w:pPr>
      <w:r w:rsidRPr="00861C29">
        <w:rPr>
          <w:szCs w:val="24"/>
          <w:lang w:val="pt-BR"/>
        </w:rPr>
        <w:t>conflito sobre a titularidade de bens ou sobre o título de herança, na sequência de um divórcio, conflitos entre herdeiros;</w:t>
      </w:r>
    </w:p>
    <w:p w:rsidR="00337D92" w:rsidRPr="00861C29" w:rsidRDefault="00337D92" w:rsidP="00D47C37">
      <w:pPr>
        <w:pStyle w:val="Listecouleur-Accent12"/>
        <w:numPr>
          <w:ilvl w:val="0"/>
          <w:numId w:val="94"/>
        </w:numPr>
        <w:spacing w:after="200"/>
        <w:ind w:left="1276" w:right="-288"/>
        <w:rPr>
          <w:szCs w:val="24"/>
          <w:lang w:val="pt-BR"/>
        </w:rPr>
      </w:pPr>
      <w:r w:rsidRPr="00861C29">
        <w:rPr>
          <w:szCs w:val="24"/>
          <w:lang w:val="pt-BR"/>
        </w:rPr>
        <w:t>discrepâncias na aquisição e ocupação de terras;</w:t>
      </w:r>
    </w:p>
    <w:p w:rsidR="00337D92" w:rsidRPr="00861C29" w:rsidRDefault="00337D92" w:rsidP="00D47C37">
      <w:pPr>
        <w:pStyle w:val="Listecouleur-Accent12"/>
        <w:numPr>
          <w:ilvl w:val="0"/>
          <w:numId w:val="94"/>
        </w:numPr>
        <w:spacing w:after="200"/>
        <w:ind w:left="1276" w:right="-288"/>
        <w:rPr>
          <w:szCs w:val="24"/>
          <w:lang w:val="pt-BR"/>
        </w:rPr>
      </w:pPr>
      <w:r w:rsidRPr="00861C29">
        <w:rPr>
          <w:szCs w:val="24"/>
          <w:lang w:val="pt-BR"/>
        </w:rPr>
        <w:t>dano a uma atividade comercial de um residente local;</w:t>
      </w:r>
    </w:p>
    <w:p w:rsidR="00337D92" w:rsidRPr="00861C29" w:rsidRDefault="00337D92" w:rsidP="00D47C37">
      <w:pPr>
        <w:pStyle w:val="Listecouleur-Accent12"/>
        <w:numPr>
          <w:ilvl w:val="0"/>
          <w:numId w:val="94"/>
        </w:numPr>
        <w:spacing w:after="200"/>
        <w:ind w:left="1276" w:right="-288"/>
        <w:rPr>
          <w:szCs w:val="24"/>
          <w:lang w:val="pt-BR"/>
        </w:rPr>
      </w:pPr>
      <w:r w:rsidRPr="00861C29">
        <w:rPr>
          <w:szCs w:val="24"/>
          <w:lang w:val="pt-BR"/>
        </w:rPr>
        <w:t>degradação da propriedade além da faixa de domínio do projeto;</w:t>
      </w:r>
    </w:p>
    <w:p w:rsidR="00337D92" w:rsidRPr="00861C29" w:rsidRDefault="00337D92" w:rsidP="00D47C37">
      <w:pPr>
        <w:pStyle w:val="Listecouleur-Accent12"/>
        <w:numPr>
          <w:ilvl w:val="0"/>
          <w:numId w:val="94"/>
        </w:numPr>
        <w:spacing w:after="200"/>
        <w:ind w:left="1276" w:right="-288"/>
        <w:rPr>
          <w:szCs w:val="24"/>
          <w:lang w:val="pt-BR"/>
        </w:rPr>
      </w:pPr>
      <w:r w:rsidRPr="00861C29">
        <w:rPr>
          <w:szCs w:val="24"/>
          <w:lang w:val="pt-BR"/>
        </w:rPr>
        <w:t>incômodo permanente e perturbação dos residentes locais pelas obras ...</w:t>
      </w:r>
    </w:p>
    <w:p w:rsidR="00337D92" w:rsidRPr="00861C29" w:rsidRDefault="00337D92" w:rsidP="004977FF">
      <w:pPr>
        <w:pStyle w:val="Listecouleur-Accent12"/>
        <w:numPr>
          <w:ilvl w:val="0"/>
          <w:numId w:val="94"/>
        </w:numPr>
        <w:spacing w:after="200"/>
        <w:ind w:left="1276" w:right="-851"/>
        <w:rPr>
          <w:szCs w:val="24"/>
          <w:lang w:val="pt-BR"/>
        </w:rPr>
      </w:pPr>
      <w:r w:rsidRPr="00861C29">
        <w:rPr>
          <w:szCs w:val="24"/>
          <w:lang w:val="pt-BR"/>
        </w:rPr>
        <w:t>Exploração e abuso sexual e assédio sexual, pedofilia, etc. ;</w:t>
      </w:r>
    </w:p>
    <w:p w:rsidR="00337D92" w:rsidRPr="00861C29" w:rsidRDefault="00337D92" w:rsidP="004977FF">
      <w:pPr>
        <w:pStyle w:val="Listecouleur-Accent12"/>
        <w:numPr>
          <w:ilvl w:val="0"/>
          <w:numId w:val="94"/>
        </w:numPr>
        <w:spacing w:after="200"/>
        <w:ind w:left="1276" w:right="-851"/>
        <w:rPr>
          <w:szCs w:val="24"/>
          <w:lang w:val="pt-BR"/>
        </w:rPr>
      </w:pPr>
      <w:r w:rsidRPr="00861C29">
        <w:rPr>
          <w:szCs w:val="24"/>
          <w:lang w:val="pt-BR"/>
        </w:rPr>
        <w:t>Discriminação com base no gênero ou vulnerabilidade;</w:t>
      </w:r>
    </w:p>
    <w:p w:rsidR="00337D92" w:rsidRPr="00861C29" w:rsidRDefault="00337D92" w:rsidP="00337D92">
      <w:pPr>
        <w:pStyle w:val="Listecouleur-Accent12"/>
        <w:ind w:right="-993"/>
        <w:rPr>
          <w:szCs w:val="24"/>
          <w:lang w:val="pt-BR"/>
        </w:rPr>
      </w:pPr>
    </w:p>
    <w:p w:rsidR="00337D92" w:rsidRPr="001C72FE" w:rsidRDefault="00337D92" w:rsidP="00D47C37">
      <w:pPr>
        <w:pStyle w:val="PargrafodaLista"/>
        <w:numPr>
          <w:ilvl w:val="0"/>
          <w:numId w:val="254"/>
        </w:numPr>
        <w:spacing w:after="0" w:line="240" w:lineRule="auto"/>
        <w:ind w:left="709" w:hanging="283"/>
        <w:outlineLvl w:val="1"/>
        <w:rPr>
          <w:rFonts w:ascii="Times New Roman" w:hAnsi="Times New Roman"/>
          <w:b/>
          <w:bCs/>
          <w:sz w:val="24"/>
          <w:szCs w:val="24"/>
          <w:lang w:val="pt-BR"/>
        </w:rPr>
      </w:pPr>
      <w:bookmarkStart w:id="64" w:name="_Toc75432251"/>
      <w:r w:rsidRPr="00861C29">
        <w:rPr>
          <w:rFonts w:ascii="Times New Roman" w:hAnsi="Times New Roman"/>
          <w:b/>
          <w:bCs/>
          <w:sz w:val="24"/>
          <w:szCs w:val="24"/>
          <w:lang w:val="pt-BR"/>
        </w:rPr>
        <w:lastRenderedPageBreak/>
        <w:t>CÓDIGOS DE CONDUTA E PLANO DE AÇÃO PARA A IMPLEMENTAÇÃO DAS PADRÕES DE ESHS E HST E A PREVENÇÃO DA VIOLÊNCIA DE GÊNERO E DA VIOLÊNCIA CONTRA CRIANÇAS</w:t>
      </w:r>
      <w:bookmarkEnd w:id="64"/>
      <w:r w:rsidRPr="00861C29">
        <w:rPr>
          <w:rFonts w:ascii="Times New Roman" w:hAnsi="Times New Roman"/>
          <w:b/>
          <w:bCs/>
          <w:sz w:val="24"/>
          <w:szCs w:val="24"/>
          <w:lang w:val="pt-BR"/>
        </w:rPr>
        <w:t xml:space="preserve"> </w:t>
      </w:r>
    </w:p>
    <w:p w:rsidR="00337D92" w:rsidRDefault="00337D92" w:rsidP="00016F3E">
      <w:pPr>
        <w:jc w:val="both"/>
        <w:rPr>
          <w:rFonts w:eastAsia="Times New Roman"/>
          <w:lang w:val="pt-BR"/>
        </w:rPr>
      </w:pPr>
      <w:r w:rsidRPr="00861C29">
        <w:rPr>
          <w:rFonts w:eastAsia="Times New Roman"/>
          <w:lang w:val="pt-BR"/>
        </w:rPr>
        <w:t>O objetivo destes Códigos de Conduta e Plano de Ação para a implementação de Normas Ambientais e Sociais, Saúde e Segurança (ESHS), Saúde e Segurança no Trabalho (HST), Prevenção da Violência de Gênero (VBG) e Violência contra Crianças ( VC</w:t>
      </w:r>
      <w:r w:rsidR="0027065F">
        <w:rPr>
          <w:rFonts w:eastAsia="Times New Roman"/>
          <w:lang w:val="pt-BR"/>
        </w:rPr>
        <w:t>C</w:t>
      </w:r>
      <w:r w:rsidRPr="00861C29">
        <w:rPr>
          <w:rFonts w:eastAsia="Times New Roman"/>
          <w:lang w:val="pt-BR"/>
        </w:rPr>
        <w:t>) é apresentar um conjunto de definições-chave, códigos de conduta e diretrizes para:</w:t>
      </w:r>
    </w:p>
    <w:p w:rsidR="00F92390" w:rsidRPr="00861C29" w:rsidRDefault="00F92390" w:rsidP="00016F3E">
      <w:pPr>
        <w:jc w:val="both"/>
        <w:rPr>
          <w:rFonts w:eastAsia="Times New Roman"/>
          <w:lang w:val="pt-BR"/>
        </w:rPr>
      </w:pPr>
    </w:p>
    <w:p w:rsidR="00337D92" w:rsidRPr="00861C29" w:rsidRDefault="00337D92" w:rsidP="00F92390">
      <w:pPr>
        <w:pStyle w:val="PargrafodaLista"/>
        <w:numPr>
          <w:ilvl w:val="0"/>
          <w:numId w:val="98"/>
        </w:numPr>
        <w:spacing w:after="0" w:line="240" w:lineRule="auto"/>
        <w:ind w:left="709"/>
        <w:jc w:val="both"/>
        <w:rPr>
          <w:rFonts w:ascii="Times New Roman" w:eastAsia="Times New Roman" w:hAnsi="Times New Roman"/>
          <w:sz w:val="24"/>
          <w:szCs w:val="24"/>
          <w:lang w:val="pt-BR"/>
        </w:rPr>
      </w:pPr>
      <w:r w:rsidRPr="00861C29">
        <w:rPr>
          <w:rFonts w:ascii="Times New Roman" w:eastAsia="Times New Roman" w:hAnsi="Times New Roman"/>
          <w:sz w:val="24"/>
          <w:szCs w:val="24"/>
          <w:lang w:val="pt-BR"/>
        </w:rPr>
        <w:t>Definir claramente as obrigações de todos os funcionários do projeto (incluindo contratados e diaristas) em relação à implementação de padrões ambientais, sociais, de saúde e segurança (ESHS) e de saúde e segurança no trabalho (HST); e</w:t>
      </w:r>
    </w:p>
    <w:p w:rsidR="003D59A7" w:rsidRPr="003D59A7" w:rsidRDefault="00337D92" w:rsidP="00F92390">
      <w:pPr>
        <w:pStyle w:val="PargrafodaLista"/>
        <w:numPr>
          <w:ilvl w:val="0"/>
          <w:numId w:val="98"/>
        </w:numPr>
        <w:spacing w:after="0" w:line="240" w:lineRule="auto"/>
        <w:ind w:left="709"/>
        <w:jc w:val="both"/>
        <w:rPr>
          <w:rFonts w:ascii="Times New Roman" w:eastAsia="Times New Roman" w:hAnsi="Times New Roman"/>
          <w:sz w:val="24"/>
          <w:szCs w:val="24"/>
          <w:lang w:val="pt-BR"/>
        </w:rPr>
      </w:pPr>
      <w:r w:rsidRPr="00861C29">
        <w:rPr>
          <w:rFonts w:ascii="Times New Roman" w:eastAsia="Times New Roman" w:hAnsi="Times New Roman"/>
          <w:sz w:val="24"/>
          <w:szCs w:val="24"/>
          <w:lang w:val="pt-BR"/>
        </w:rPr>
        <w:t>Ajud</w:t>
      </w:r>
      <w:r w:rsidR="007B7ECA">
        <w:rPr>
          <w:rFonts w:ascii="Times New Roman" w:eastAsia="Times New Roman" w:hAnsi="Times New Roman"/>
          <w:sz w:val="24"/>
          <w:szCs w:val="24"/>
          <w:lang w:val="pt-BR"/>
        </w:rPr>
        <w:t>a</w:t>
      </w:r>
      <w:r w:rsidRPr="00861C29">
        <w:rPr>
          <w:rFonts w:ascii="Times New Roman" w:eastAsia="Times New Roman" w:hAnsi="Times New Roman"/>
          <w:sz w:val="24"/>
          <w:szCs w:val="24"/>
          <w:lang w:val="pt-BR"/>
        </w:rPr>
        <w:t xml:space="preserve"> a prevenir, identificar e combater a GBV e </w:t>
      </w:r>
      <w:r w:rsidR="00334DFA">
        <w:rPr>
          <w:rFonts w:ascii="Times New Roman" w:eastAsia="Times New Roman" w:hAnsi="Times New Roman"/>
          <w:sz w:val="24"/>
          <w:szCs w:val="24"/>
          <w:lang w:val="pt-BR"/>
        </w:rPr>
        <w:t>VCC</w:t>
      </w:r>
      <w:r w:rsidR="00334DFA" w:rsidRPr="00861C29">
        <w:rPr>
          <w:rFonts w:ascii="Times New Roman" w:eastAsia="Times New Roman" w:hAnsi="Times New Roman"/>
          <w:sz w:val="24"/>
          <w:szCs w:val="24"/>
          <w:lang w:val="pt-BR"/>
        </w:rPr>
        <w:t xml:space="preserve"> </w:t>
      </w:r>
      <w:r w:rsidRPr="00861C29">
        <w:rPr>
          <w:rFonts w:ascii="Times New Roman" w:eastAsia="Times New Roman" w:hAnsi="Times New Roman"/>
          <w:sz w:val="24"/>
          <w:szCs w:val="24"/>
          <w:lang w:val="pt-BR"/>
        </w:rPr>
        <w:t>no canteiro de obras e nas comunidades vizinhas.</w:t>
      </w:r>
    </w:p>
    <w:p w:rsidR="00F92390" w:rsidRDefault="00F92390" w:rsidP="00016F3E">
      <w:pPr>
        <w:jc w:val="both"/>
        <w:rPr>
          <w:rFonts w:eastAsia="Times New Roman"/>
          <w:lang w:val="pt-BR"/>
        </w:rPr>
      </w:pPr>
    </w:p>
    <w:p w:rsidR="003D59A7" w:rsidRPr="00861C29" w:rsidRDefault="00337D92" w:rsidP="00016F3E">
      <w:pPr>
        <w:jc w:val="both"/>
        <w:rPr>
          <w:rFonts w:eastAsia="Times New Roman"/>
          <w:lang w:val="pt-BR"/>
        </w:rPr>
      </w:pPr>
      <w:r w:rsidRPr="00861C29">
        <w:rPr>
          <w:rFonts w:eastAsia="Times New Roman"/>
          <w:lang w:val="pt-BR"/>
        </w:rPr>
        <w:t>A aplicação destes Códigos de Conduta possibilitará assegurar que o projeto atinja seus objetivos em termos de padrões ESHS e HST, bem como prevenir e / ou mitigar os riscos de VBG e VBG no local do projeto e no local comunidades. As pessoas que trabalham no projeto devem adotar estes Códigos de Conduta que visa:</w:t>
      </w:r>
    </w:p>
    <w:p w:rsidR="00337D92" w:rsidRPr="00861C29" w:rsidRDefault="00F92390" w:rsidP="00F92390">
      <w:pPr>
        <w:ind w:left="426"/>
        <w:jc w:val="both"/>
        <w:rPr>
          <w:rFonts w:eastAsia="Times New Roman"/>
          <w:lang w:val="pt-BR"/>
        </w:rPr>
      </w:pPr>
      <w:r>
        <w:rPr>
          <w:rFonts w:eastAsia="Times New Roman"/>
          <w:lang w:val="pt-BR"/>
        </w:rPr>
        <w:t xml:space="preserve">i. </w:t>
      </w:r>
      <w:r w:rsidR="00337D92" w:rsidRPr="00861C29">
        <w:rPr>
          <w:rFonts w:eastAsia="Times New Roman"/>
          <w:lang w:val="pt-BR"/>
        </w:rPr>
        <w:t>Conscientizar a equipe do projeto sobre as expectativas de ESHS e HST; e</w:t>
      </w:r>
    </w:p>
    <w:p w:rsidR="00337D92" w:rsidRPr="00861C29" w:rsidRDefault="00337D92" w:rsidP="00F92390">
      <w:pPr>
        <w:ind w:left="426"/>
        <w:jc w:val="both"/>
        <w:rPr>
          <w:rFonts w:eastAsia="Times New Roman"/>
          <w:lang w:val="pt-BR"/>
        </w:rPr>
      </w:pPr>
      <w:r w:rsidRPr="00861C29">
        <w:rPr>
          <w:rFonts w:eastAsia="Times New Roman"/>
          <w:lang w:val="pt-BR"/>
        </w:rPr>
        <w:t xml:space="preserve">ii. Crie consciência sobre GBV e </w:t>
      </w:r>
      <w:r w:rsidR="00BF0AA1">
        <w:rPr>
          <w:rFonts w:eastAsia="Times New Roman"/>
          <w:lang w:val="pt-BR"/>
        </w:rPr>
        <w:t>VCC</w:t>
      </w:r>
      <w:r w:rsidR="00BF0AA1" w:rsidRPr="00861C29">
        <w:rPr>
          <w:rFonts w:eastAsia="Times New Roman"/>
          <w:lang w:val="pt-BR"/>
        </w:rPr>
        <w:t xml:space="preserve"> </w:t>
      </w:r>
      <w:r w:rsidRPr="00861C29">
        <w:rPr>
          <w:rFonts w:eastAsia="Times New Roman"/>
          <w:lang w:val="pt-BR"/>
        </w:rPr>
        <w:t>e:</w:t>
      </w:r>
    </w:p>
    <w:p w:rsidR="00337D92" w:rsidRPr="00861C29" w:rsidRDefault="00337D92" w:rsidP="00F92390">
      <w:pPr>
        <w:ind w:left="426"/>
        <w:jc w:val="both"/>
        <w:rPr>
          <w:rFonts w:eastAsia="Times New Roman"/>
          <w:lang w:val="pt-BR"/>
        </w:rPr>
      </w:pPr>
      <w:r w:rsidRPr="00861C29">
        <w:rPr>
          <w:rFonts w:eastAsia="Times New Roman"/>
          <w:lang w:val="pt-BR"/>
        </w:rPr>
        <w:t>a) Criar consenso sobre a inexistência de tais atos no projeto; e</w:t>
      </w:r>
    </w:p>
    <w:p w:rsidR="00337D92" w:rsidRPr="00861C29" w:rsidRDefault="00337D92" w:rsidP="00F92390">
      <w:pPr>
        <w:ind w:left="426"/>
        <w:jc w:val="both"/>
        <w:rPr>
          <w:rFonts w:eastAsia="Times New Roman"/>
          <w:lang w:val="pt-BR"/>
        </w:rPr>
      </w:pPr>
      <w:r w:rsidRPr="00861C29">
        <w:rPr>
          <w:rFonts w:eastAsia="Times New Roman"/>
          <w:lang w:val="pt-BR"/>
        </w:rPr>
        <w:t xml:space="preserve">b) Estabelecer um protocolo para identificar incidentes de VBG e </w:t>
      </w:r>
      <w:r w:rsidR="00BF0AA1">
        <w:rPr>
          <w:rFonts w:eastAsia="Times New Roman"/>
          <w:lang w:val="pt-BR"/>
        </w:rPr>
        <w:t>VCC</w:t>
      </w:r>
      <w:r w:rsidRPr="00861C29">
        <w:rPr>
          <w:rFonts w:eastAsia="Times New Roman"/>
          <w:lang w:val="pt-BR"/>
        </w:rPr>
        <w:t>; responder a tais incidentes; e sancioná-los.</w:t>
      </w:r>
    </w:p>
    <w:p w:rsidR="00F92390" w:rsidRDefault="00F92390" w:rsidP="001C72FE">
      <w:pPr>
        <w:jc w:val="both"/>
        <w:rPr>
          <w:rFonts w:eastAsia="Times New Roman"/>
          <w:lang w:val="pt-BR"/>
        </w:rPr>
      </w:pPr>
    </w:p>
    <w:p w:rsidR="006A05B0" w:rsidRPr="00861C29" w:rsidRDefault="00337D92" w:rsidP="001C72FE">
      <w:pPr>
        <w:jc w:val="both"/>
        <w:rPr>
          <w:bCs/>
          <w:lang w:val="pt-PT"/>
        </w:rPr>
      </w:pPr>
      <w:r w:rsidRPr="00861C29">
        <w:rPr>
          <w:rFonts w:eastAsia="Times New Roman"/>
          <w:lang w:val="pt-BR"/>
        </w:rPr>
        <w:t>O objetivo dos Códigos de Conduta é garantir que todos os funcionários do projeto compreendam os valores morais do projeto, a conduta que todos os funcionários devem seguir e as consequências das violações desses valores. Este entendimento contribuirá para uma implementação mais harmoniosa, respeitosa e produtiva do projeto, de forma a garantir que os objetivos do projeto sejam alcançados.</w:t>
      </w:r>
      <w:r w:rsidR="006A05B0" w:rsidRPr="00861C29">
        <w:rPr>
          <w:bCs/>
          <w:lang w:val="pt-PT"/>
        </w:rPr>
        <w:br w:type="page"/>
      </w:r>
    </w:p>
    <w:p w:rsidR="00A45EEC" w:rsidRPr="00B21E00" w:rsidRDefault="00A45EEC" w:rsidP="002B7882">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left="0" w:right="-142" w:firstLine="0"/>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5" w:name="_Toc512871938"/>
      <w:bookmarkStart w:id="66" w:name="_Toc4070720"/>
      <w:bookmarkStart w:id="67" w:name="_Toc53716482"/>
      <w:bookmarkStart w:id="68" w:name="_Toc75432252"/>
      <w:r w:rsidRPr="00B21E0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INTRODUCTION</w:t>
      </w:r>
      <w:bookmarkEnd w:id="65"/>
      <w:bookmarkEnd w:id="66"/>
      <w:bookmarkEnd w:id="67"/>
      <w:bookmarkEnd w:id="68"/>
    </w:p>
    <w:p w:rsidR="00A45EEC" w:rsidRPr="00A05698" w:rsidRDefault="00A45EEC" w:rsidP="004F4212">
      <w:pPr>
        <w:pStyle w:val="PargrafodaLista"/>
        <w:spacing w:after="0" w:line="240" w:lineRule="auto"/>
        <w:ind w:left="360"/>
        <w:rPr>
          <w:rFonts w:ascii="Times New Roman" w:hAnsi="Times New Roman"/>
          <w:b/>
          <w:bCs/>
          <w:sz w:val="24"/>
          <w:szCs w:val="24"/>
        </w:rPr>
      </w:pPr>
      <w:bookmarkStart w:id="69" w:name="_Toc414259797"/>
      <w:bookmarkStart w:id="70" w:name="_Toc414260069"/>
      <w:bookmarkStart w:id="71" w:name="_Toc414262819"/>
      <w:bookmarkStart w:id="72" w:name="_Toc414262958"/>
    </w:p>
    <w:p w:rsidR="000935A7" w:rsidRPr="00A05698" w:rsidRDefault="001652C0" w:rsidP="00157035">
      <w:pPr>
        <w:pStyle w:val="PargrafodaLista"/>
        <w:numPr>
          <w:ilvl w:val="1"/>
          <w:numId w:val="99"/>
        </w:numPr>
        <w:spacing w:after="120" w:line="240" w:lineRule="auto"/>
        <w:outlineLvl w:val="1"/>
        <w:rPr>
          <w:rFonts w:ascii="Times New Roman" w:hAnsi="Times New Roman"/>
          <w:b/>
          <w:bCs/>
          <w:sz w:val="24"/>
          <w:szCs w:val="24"/>
        </w:rPr>
      </w:pPr>
      <w:bookmarkStart w:id="73" w:name="_Toc512871939"/>
      <w:bookmarkStart w:id="74" w:name="_Toc4070721"/>
      <w:bookmarkStart w:id="75" w:name="_Toc53716483"/>
      <w:bookmarkStart w:id="76" w:name="_Toc75432253"/>
      <w:r w:rsidRPr="00A05698">
        <w:rPr>
          <w:rFonts w:ascii="Times New Roman" w:hAnsi="Times New Roman"/>
          <w:b/>
          <w:bCs/>
          <w:sz w:val="24"/>
          <w:szCs w:val="24"/>
        </w:rPr>
        <w:t>CONTEXTE ET JUSTIFICATION</w:t>
      </w:r>
      <w:r w:rsidR="00A45EEC" w:rsidRPr="00A05698">
        <w:rPr>
          <w:rFonts w:ascii="Times New Roman" w:hAnsi="Times New Roman"/>
          <w:b/>
          <w:bCs/>
          <w:sz w:val="24"/>
          <w:szCs w:val="24"/>
        </w:rPr>
        <w:t xml:space="preserve"> DU PROJET</w:t>
      </w:r>
      <w:bookmarkEnd w:id="69"/>
      <w:bookmarkEnd w:id="70"/>
      <w:bookmarkEnd w:id="71"/>
      <w:bookmarkEnd w:id="72"/>
      <w:bookmarkEnd w:id="73"/>
      <w:bookmarkEnd w:id="74"/>
      <w:bookmarkEnd w:id="75"/>
      <w:bookmarkEnd w:id="76"/>
    </w:p>
    <w:p w:rsidR="00E426DE" w:rsidRPr="00083B97" w:rsidRDefault="00E426DE" w:rsidP="001A6AB5">
      <w:pPr>
        <w:tabs>
          <w:tab w:val="left" w:pos="547"/>
        </w:tabs>
        <w:autoSpaceDE w:val="0"/>
        <w:autoSpaceDN w:val="0"/>
        <w:adjustRightInd w:val="0"/>
        <w:spacing w:after="120"/>
        <w:ind w:right="-142"/>
        <w:jc w:val="both"/>
      </w:pPr>
      <w:bookmarkStart w:id="77" w:name="_Toc502270621"/>
      <w:bookmarkStart w:id="78" w:name="_Toc502270077"/>
      <w:bookmarkStart w:id="79" w:name="_Toc501216049"/>
      <w:bookmarkStart w:id="80" w:name="_Toc439751015"/>
      <w:bookmarkStart w:id="81" w:name="_Toc414262959"/>
      <w:bookmarkStart w:id="82" w:name="_Toc414262820"/>
      <w:bookmarkStart w:id="83" w:name="_Toc414259798"/>
      <w:bookmarkStart w:id="84" w:name="_Toc512871940"/>
      <w:bookmarkStart w:id="85" w:name="_Toc4070722"/>
      <w:bookmarkStart w:id="86" w:name="_Toc53716484"/>
      <w:r w:rsidRPr="00A05698">
        <w:t xml:space="preserve">La Guinée-Bissau est l'un des pays d'Afrique subsaharienne </w:t>
      </w:r>
      <w:r w:rsidR="00B917CD">
        <w:t>dont l</w:t>
      </w:r>
      <w:r w:rsidRPr="00A05698">
        <w:t xml:space="preserve">e niveau de pauvreté est très </w:t>
      </w:r>
      <w:r w:rsidR="00AF29DE" w:rsidRPr="00A05698">
        <w:t>élevé</w:t>
      </w:r>
      <w:r w:rsidRPr="00A05698">
        <w:t xml:space="preserve">. </w:t>
      </w:r>
      <w:r w:rsidR="000D77A2">
        <w:t xml:space="preserve">En 2019, le taux d’insécurité alimentaire était de 30,7% (368 458 personnes touchées) sur l’ensemble du pays à l’exception du secteur autonome de Bissau qui n’a pas </w:t>
      </w:r>
      <w:r w:rsidR="00E1297B">
        <w:t>été inclus dans l’enquête</w:t>
      </w:r>
      <w:r w:rsidR="000D77A2">
        <w:t xml:space="preserve">. </w:t>
      </w:r>
      <w:r w:rsidR="00E1297B">
        <w:t>Le taux était de</w:t>
      </w:r>
      <w:r w:rsidR="000D77A2">
        <w:t xml:space="preserve"> 34,2</w:t>
      </w:r>
      <w:r w:rsidR="009C1788">
        <w:t>% dans</w:t>
      </w:r>
      <w:r w:rsidR="000D77A2">
        <w:t xml:space="preserve"> les zones rurales et 19,2% dans les zones urbaines. Les régions de Gabu, Biombo, Oio et Cacheu étaient les plus touchées avec des taux d’insécurité alimentaire qui dépassaient 36% alors que Bafata, Quinara</w:t>
      </w:r>
      <w:r w:rsidR="00D27B86">
        <w:t>,</w:t>
      </w:r>
      <w:r w:rsidR="000D77A2">
        <w:t xml:space="preserve"> </w:t>
      </w:r>
      <w:r w:rsidR="00D27B86">
        <w:t xml:space="preserve">Tombali </w:t>
      </w:r>
      <w:r w:rsidR="000D77A2">
        <w:t>et Bolama Bijagos étaient les moins affectées avec des taux en deçà de 22</w:t>
      </w:r>
      <w:r w:rsidR="009C1788">
        <w:t>%.</w:t>
      </w:r>
      <w:r w:rsidR="009C1788" w:rsidRPr="00A05698">
        <w:t xml:space="preserve"> Cette</w:t>
      </w:r>
      <w:r w:rsidRPr="00A05698">
        <w:t xml:space="preserve"> situation en fait l'un </w:t>
      </w:r>
      <w:r w:rsidR="004E4ABD" w:rsidRPr="00A05698">
        <w:t>des pays</w:t>
      </w:r>
      <w:r w:rsidRPr="00A05698">
        <w:t xml:space="preserve"> les plus pauvres du</w:t>
      </w:r>
      <w:r w:rsidRPr="00A05698">
        <w:rPr>
          <w:b/>
        </w:rPr>
        <w:t xml:space="preserve"> </w:t>
      </w:r>
      <w:r w:rsidRPr="00A05698">
        <w:t xml:space="preserve">monde. La pauvreté est davantage ancrée dans les zones rurales où elle est aggravée par </w:t>
      </w:r>
      <w:r w:rsidR="00CB528F">
        <w:t xml:space="preserve">le manque d’accès aux </w:t>
      </w:r>
      <w:r w:rsidRPr="00A05698">
        <w:t>de services sociaux, de capital humain et d'infrastructures</w:t>
      </w:r>
      <w:r w:rsidR="007C0E86" w:rsidRPr="00A05698">
        <w:t>.</w:t>
      </w:r>
      <w:r w:rsidR="00F81175">
        <w:t xml:space="preserve"> </w:t>
      </w:r>
    </w:p>
    <w:p w:rsidR="00E426DE" w:rsidRPr="00A05698" w:rsidRDefault="00E426DE" w:rsidP="001A6AB5">
      <w:pPr>
        <w:spacing w:before="120" w:after="120"/>
        <w:ind w:right="-142"/>
        <w:jc w:val="both"/>
        <w:rPr>
          <w:spacing w:val="-2"/>
        </w:rPr>
      </w:pPr>
      <w:r w:rsidRPr="00A05698">
        <w:rPr>
          <w:spacing w:val="-2"/>
        </w:rPr>
        <w:t xml:space="preserve">Ainsi, </w:t>
      </w:r>
      <w:r w:rsidR="00E661E2" w:rsidRPr="00A05698">
        <w:rPr>
          <w:spacing w:val="-2"/>
        </w:rPr>
        <w:t xml:space="preserve">la pandémie </w:t>
      </w:r>
      <w:r w:rsidRPr="00A05698">
        <w:rPr>
          <w:spacing w:val="-2"/>
        </w:rPr>
        <w:t>de la COVID 19</w:t>
      </w:r>
      <w:r w:rsidR="00E661E2" w:rsidRPr="00A05698">
        <w:rPr>
          <w:spacing w:val="-2"/>
        </w:rPr>
        <w:t xml:space="preserve"> fait que </w:t>
      </w:r>
      <w:r w:rsidRPr="00A05698">
        <w:rPr>
          <w:spacing w:val="-2"/>
        </w:rPr>
        <w:t xml:space="preserve">la situation économique et la sécurité alimentaire du pays est devenue </w:t>
      </w:r>
      <w:r w:rsidR="00E661E2" w:rsidRPr="00A05698">
        <w:rPr>
          <w:spacing w:val="-2"/>
        </w:rPr>
        <w:t>plus</w:t>
      </w:r>
      <w:r w:rsidRPr="00A05698">
        <w:rPr>
          <w:spacing w:val="-2"/>
        </w:rPr>
        <w:t xml:space="preserve"> vulnérable et très </w:t>
      </w:r>
      <w:r w:rsidRPr="00A05698">
        <w:t>perturbée car aggravée par le confinement et l'impact direct sur la santé des populations.</w:t>
      </w:r>
      <w:r w:rsidR="00E661E2" w:rsidRPr="00A05698">
        <w:t xml:space="preserve"> De plus</w:t>
      </w:r>
      <w:r w:rsidRPr="00A05698">
        <w:t xml:space="preserve">, pendant ces périodes, </w:t>
      </w:r>
      <w:r w:rsidRPr="00A05698">
        <w:rPr>
          <w:spacing w:val="-2"/>
        </w:rPr>
        <w:t xml:space="preserve">en Guinée Bissau, </w:t>
      </w:r>
      <w:r w:rsidRPr="00A05698">
        <w:rPr>
          <w:rFonts w:eastAsia="Times New Roman"/>
          <w:color w:val="040404"/>
          <w:shd w:val="clear" w:color="auto" w:fill="FFFFFF"/>
        </w:rPr>
        <w:t xml:space="preserve">le commerce </w:t>
      </w:r>
      <w:r w:rsidR="00E661E2" w:rsidRPr="00A05698">
        <w:rPr>
          <w:rFonts w:eastAsia="Times New Roman"/>
          <w:color w:val="040404"/>
          <w:shd w:val="clear" w:color="auto" w:fill="FFFFFF"/>
        </w:rPr>
        <w:t>s’</w:t>
      </w:r>
      <w:r w:rsidRPr="00A05698">
        <w:rPr>
          <w:rFonts w:eastAsia="Times New Roman"/>
          <w:color w:val="040404"/>
          <w:shd w:val="clear" w:color="auto" w:fill="FFFFFF"/>
        </w:rPr>
        <w:t xml:space="preserve">opèrerait dans une zone géographique très limitée et les marchés ont été fermés. Le transport et la circulation des personnes entre les régions ont été suspendus. Le commerce international (importation et exportation) a été considérablement réduit. Cet impact a été ressenti plus gravement dans le secteur </w:t>
      </w:r>
      <w:r w:rsidR="00000223" w:rsidRPr="00A05698">
        <w:rPr>
          <w:rFonts w:eastAsia="Times New Roman"/>
          <w:color w:val="040404"/>
          <w:shd w:val="clear" w:color="auto" w:fill="FFFFFF"/>
        </w:rPr>
        <w:t xml:space="preserve">du commerce </w:t>
      </w:r>
      <w:r w:rsidRPr="00A05698">
        <w:rPr>
          <w:rFonts w:eastAsia="Times New Roman"/>
          <w:color w:val="040404"/>
          <w:shd w:val="clear" w:color="auto" w:fill="FFFFFF"/>
        </w:rPr>
        <w:t>de la noix de cajou, principal produit d'exportation du pays.</w:t>
      </w:r>
    </w:p>
    <w:p w:rsidR="00E426DE" w:rsidRPr="00A05698" w:rsidRDefault="00E426DE" w:rsidP="001A6AB5">
      <w:pPr>
        <w:ind w:right="-142"/>
        <w:jc w:val="both"/>
        <w:rPr>
          <w:rFonts w:eastAsia="Times New Roman"/>
        </w:rPr>
      </w:pPr>
      <w:r w:rsidRPr="00A05698">
        <w:t xml:space="preserve">La noix de cajou brute est le principal produit agricole du pays et la première source de revenus pour plus des deux tiers des ménages. </w:t>
      </w:r>
      <w:r w:rsidRPr="00A05698">
        <w:rPr>
          <w:rFonts w:eastAsia="Times New Roman"/>
          <w:color w:val="040404"/>
          <w:shd w:val="clear" w:color="auto" w:fill="FFFFFF"/>
        </w:rPr>
        <w:t>Plus de 80% de la population guinéenne dépend directement ou indirectement de la campagne de commercialisation de noix de cajou, qui représente également une contribution de 11% aux recettes de l'État et 95% des recettes d’exportation totales du pays.</w:t>
      </w:r>
    </w:p>
    <w:p w:rsidR="00E426DE" w:rsidRPr="00A05698" w:rsidRDefault="00E426DE" w:rsidP="001A6AB5">
      <w:pPr>
        <w:spacing w:before="120" w:after="120"/>
        <w:ind w:right="-142"/>
        <w:jc w:val="both"/>
      </w:pPr>
      <w:r w:rsidRPr="00A05698">
        <w:t xml:space="preserve">Elle est essentielle à la sécurité alimentaire du pays car : </w:t>
      </w:r>
    </w:p>
    <w:p w:rsidR="00E426DE" w:rsidRPr="00A05698" w:rsidRDefault="00E426DE" w:rsidP="002B7882">
      <w:pPr>
        <w:pStyle w:val="PargrafodaLista"/>
        <w:numPr>
          <w:ilvl w:val="0"/>
          <w:numId w:val="285"/>
        </w:numPr>
        <w:spacing w:before="120" w:after="120" w:line="240" w:lineRule="auto"/>
        <w:ind w:left="851" w:right="-142" w:hanging="567"/>
        <w:jc w:val="both"/>
        <w:rPr>
          <w:rFonts w:ascii="Times New Roman" w:hAnsi="Times New Roman"/>
          <w:sz w:val="24"/>
          <w:szCs w:val="24"/>
        </w:rPr>
      </w:pPr>
      <w:r w:rsidRPr="00A05698">
        <w:rPr>
          <w:rFonts w:ascii="Times New Roman" w:hAnsi="Times New Roman"/>
          <w:sz w:val="24"/>
          <w:szCs w:val="24"/>
        </w:rPr>
        <w:t xml:space="preserve">une pluralité d'agriculteurs utilisent les revenus de la noix de cajou pour financer la production d'aliments de base destinés au marché intérieur; </w:t>
      </w:r>
    </w:p>
    <w:p w:rsidR="00E426DE" w:rsidRPr="00A05698" w:rsidRDefault="00E426DE" w:rsidP="002B7882">
      <w:pPr>
        <w:pStyle w:val="PargrafodaLista"/>
        <w:numPr>
          <w:ilvl w:val="0"/>
          <w:numId w:val="285"/>
        </w:numPr>
        <w:spacing w:before="120" w:after="120" w:line="240" w:lineRule="auto"/>
        <w:ind w:left="851" w:right="-142" w:hanging="567"/>
        <w:jc w:val="both"/>
        <w:rPr>
          <w:rFonts w:ascii="Times New Roman" w:hAnsi="Times New Roman"/>
          <w:spacing w:val="-2"/>
          <w:sz w:val="24"/>
          <w:szCs w:val="24"/>
        </w:rPr>
      </w:pPr>
      <w:r w:rsidRPr="00A05698">
        <w:rPr>
          <w:rFonts w:ascii="Times New Roman" w:hAnsi="Times New Roman"/>
          <w:sz w:val="24"/>
          <w:szCs w:val="24"/>
        </w:rPr>
        <w:t>de nombreux agriculteurs qui, pour plusieurs raisons, ne sont pas en mesure de satisfaire leurs besoins alimentaires à partir de leur propre production, dépendent des revenus de la noix de cajou pour accéder à la nourriture sur les marchés et ;</w:t>
      </w:r>
    </w:p>
    <w:p w:rsidR="00E426DE" w:rsidRPr="00A05698" w:rsidRDefault="00E426DE" w:rsidP="002B7882">
      <w:pPr>
        <w:pStyle w:val="PargrafodaLista"/>
        <w:numPr>
          <w:ilvl w:val="0"/>
          <w:numId w:val="285"/>
        </w:numPr>
        <w:spacing w:before="120" w:after="120" w:line="240" w:lineRule="auto"/>
        <w:ind w:left="851" w:right="-142" w:hanging="567"/>
        <w:jc w:val="both"/>
        <w:rPr>
          <w:rFonts w:ascii="Times New Roman" w:hAnsi="Times New Roman"/>
          <w:spacing w:val="-2"/>
          <w:sz w:val="24"/>
          <w:szCs w:val="24"/>
        </w:rPr>
      </w:pPr>
      <w:r w:rsidRPr="00A05698">
        <w:rPr>
          <w:rFonts w:ascii="Times New Roman" w:hAnsi="Times New Roman"/>
          <w:sz w:val="24"/>
          <w:szCs w:val="24"/>
        </w:rPr>
        <w:t>Certains agriculteurs, troquent les noix de cajou brutes contre du riz.</w:t>
      </w:r>
    </w:p>
    <w:p w:rsidR="00E426DE" w:rsidRPr="00A05698" w:rsidRDefault="00E426DE" w:rsidP="001A6AB5">
      <w:pPr>
        <w:pStyle w:val="NormalWeb"/>
        <w:shd w:val="clear" w:color="auto" w:fill="FFFFFF"/>
        <w:spacing w:after="120"/>
        <w:ind w:right="-142"/>
        <w:jc w:val="both"/>
        <w:rPr>
          <w:color w:val="040404"/>
        </w:rPr>
      </w:pPr>
      <w:r w:rsidRPr="00A05698">
        <w:rPr>
          <w:spacing w:val="-2"/>
        </w:rPr>
        <w:t xml:space="preserve">Ainsi, avec la pandémie qui </w:t>
      </w:r>
      <w:r w:rsidR="00A44DAE" w:rsidRPr="00A05698">
        <w:rPr>
          <w:spacing w:val="-2"/>
        </w:rPr>
        <w:t>sévit depuis</w:t>
      </w:r>
      <w:r w:rsidRPr="00A05698">
        <w:rPr>
          <w:spacing w:val="-2"/>
        </w:rPr>
        <w:t xml:space="preserve"> mars et avril 2020 coïncidant avec le démarrage de la campagne</w:t>
      </w:r>
      <w:r w:rsidR="00A44DAE" w:rsidRPr="00A05698">
        <w:rPr>
          <w:spacing w:val="-2"/>
        </w:rPr>
        <w:t xml:space="preserve"> de </w:t>
      </w:r>
      <w:r w:rsidR="001C30E0" w:rsidRPr="00A05698">
        <w:rPr>
          <w:spacing w:val="-2"/>
        </w:rPr>
        <w:t>commercialisation de</w:t>
      </w:r>
      <w:r w:rsidRPr="00A05698">
        <w:rPr>
          <w:spacing w:val="-2"/>
        </w:rPr>
        <w:t xml:space="preserve"> la noix de cajou </w:t>
      </w:r>
      <w:r w:rsidR="00A44DAE" w:rsidRPr="00A05698">
        <w:rPr>
          <w:spacing w:val="-2"/>
        </w:rPr>
        <w:t xml:space="preserve">ainsi </w:t>
      </w:r>
      <w:r w:rsidR="00971169" w:rsidRPr="00A05698">
        <w:rPr>
          <w:spacing w:val="-2"/>
        </w:rPr>
        <w:t>que la</w:t>
      </w:r>
      <w:r w:rsidRPr="00A05698">
        <w:rPr>
          <w:color w:val="040404"/>
        </w:rPr>
        <w:t xml:space="preserve"> faible demande sur le marché international de noix brutes (Inde et Vietnam), les opérateurs nationaux sont obligés de continuer </w:t>
      </w:r>
      <w:r w:rsidR="00A44DAE" w:rsidRPr="00A05698">
        <w:rPr>
          <w:color w:val="040404"/>
        </w:rPr>
        <w:t>les achats des</w:t>
      </w:r>
      <w:r w:rsidRPr="00A05698">
        <w:rPr>
          <w:color w:val="040404"/>
        </w:rPr>
        <w:t xml:space="preserve"> noix encore disponibles auprès des producteurs nationaux et sous régionaux qui disposent toujours d'importants stocks à exporter.</w:t>
      </w:r>
    </w:p>
    <w:p w:rsidR="00CD5298" w:rsidRDefault="00E426DE" w:rsidP="001A6AB5">
      <w:pPr>
        <w:spacing w:after="120"/>
        <w:ind w:right="-142"/>
        <w:jc w:val="both"/>
        <w:rPr>
          <w:rFonts w:eastAsia="Times New Roman"/>
          <w:color w:val="040404"/>
          <w:shd w:val="clear" w:color="auto" w:fill="FFFFFF"/>
        </w:rPr>
      </w:pPr>
      <w:r w:rsidRPr="00A05698">
        <w:rPr>
          <w:rFonts w:eastAsia="Times New Roman"/>
          <w:color w:val="040404"/>
          <w:shd w:val="clear" w:color="auto" w:fill="FFFFFF"/>
        </w:rPr>
        <w:t xml:space="preserve">Pour relancer l'économie et lutter contre l’insécurité alimentaire, le gouvernement guinéen a récemment présenté un programme de développement urgent, budgétisé à environ 263 millions d'euros, qui a besoin de </w:t>
      </w:r>
      <w:r w:rsidR="001162C3" w:rsidRPr="00A05698">
        <w:rPr>
          <w:rFonts w:eastAsia="Times New Roman"/>
          <w:color w:val="040404"/>
          <w:shd w:val="clear" w:color="auto" w:fill="FFFFFF"/>
        </w:rPr>
        <w:t>l’appui</w:t>
      </w:r>
      <w:r w:rsidRPr="00A05698">
        <w:rPr>
          <w:rFonts w:eastAsia="Times New Roman"/>
          <w:color w:val="040404"/>
          <w:shd w:val="clear" w:color="auto" w:fill="FFFFFF"/>
        </w:rPr>
        <w:t xml:space="preserve"> de partenaires internationaux.</w:t>
      </w:r>
    </w:p>
    <w:p w:rsidR="00E426DE" w:rsidRPr="009C1788" w:rsidRDefault="00E426DE" w:rsidP="001A6AB5">
      <w:pPr>
        <w:spacing w:after="120"/>
        <w:ind w:right="-142"/>
        <w:jc w:val="both"/>
        <w:rPr>
          <w:rFonts w:eastAsia="Times New Roman"/>
          <w:color w:val="040404"/>
          <w:shd w:val="clear" w:color="auto" w:fill="FFFFFF"/>
        </w:rPr>
      </w:pPr>
      <w:r w:rsidRPr="00A05698">
        <w:rPr>
          <w:rFonts w:eastAsia="Times New Roman"/>
          <w:color w:val="040404"/>
          <w:shd w:val="clear" w:color="auto" w:fill="FFFFFF"/>
        </w:rPr>
        <w:t xml:space="preserve">C’est dans ce contexte que la Banque </w:t>
      </w:r>
      <w:r w:rsidR="001044AC">
        <w:rPr>
          <w:rFonts w:eastAsia="Times New Roman"/>
          <w:color w:val="040404"/>
          <w:shd w:val="clear" w:color="auto" w:fill="FFFFFF"/>
        </w:rPr>
        <w:t>m</w:t>
      </w:r>
      <w:r w:rsidRPr="00A05698">
        <w:rPr>
          <w:rFonts w:eastAsia="Times New Roman"/>
          <w:color w:val="040404"/>
          <w:shd w:val="clear" w:color="auto" w:fill="FFFFFF"/>
        </w:rPr>
        <w:t xml:space="preserve">ondiale </w:t>
      </w:r>
      <w:r w:rsidR="00771442">
        <w:rPr>
          <w:rFonts w:eastAsia="Times New Roman"/>
          <w:color w:val="040404"/>
          <w:shd w:val="clear" w:color="auto" w:fill="FFFFFF"/>
        </w:rPr>
        <w:t>(promoteur)</w:t>
      </w:r>
      <w:r w:rsidR="00F71F1A">
        <w:rPr>
          <w:rFonts w:eastAsia="Times New Roman"/>
          <w:color w:val="040404"/>
          <w:shd w:val="clear" w:color="auto" w:fill="FFFFFF"/>
        </w:rPr>
        <w:t xml:space="preserve"> a</w:t>
      </w:r>
      <w:r w:rsidR="00F71F1A" w:rsidRPr="008D21A1">
        <w:rPr>
          <w:rFonts w:eastAsia="Times New Roman"/>
          <w:color w:val="040404"/>
          <w:shd w:val="clear" w:color="auto" w:fill="FFFFFF"/>
        </w:rPr>
        <w:t xml:space="preserve"> mis en place un projet de Sécurité Alimentaire d'Urgence en Guinée Bissau avec un financement de 15 millions de dollars</w:t>
      </w:r>
      <w:r w:rsidR="00771442">
        <w:rPr>
          <w:rFonts w:eastAsia="Times New Roman"/>
          <w:color w:val="040404"/>
          <w:shd w:val="clear" w:color="auto" w:fill="FFFFFF"/>
        </w:rPr>
        <w:t xml:space="preserve"> </w:t>
      </w:r>
      <w:r w:rsidR="00F71F1A">
        <w:rPr>
          <w:rFonts w:eastAsia="Times New Roman"/>
          <w:color w:val="040404"/>
          <w:shd w:val="clear" w:color="auto" w:fill="FFFFFF"/>
        </w:rPr>
        <w:t>dont</w:t>
      </w:r>
      <w:r w:rsidRPr="00A05698">
        <w:rPr>
          <w:rFonts w:eastAsia="Times New Roman"/>
          <w:color w:val="040404"/>
          <w:shd w:val="clear" w:color="auto" w:fill="FFFFFF"/>
        </w:rPr>
        <w:t xml:space="preserve"> l’Organisation des Nations Unies pour l’Alimentation et l’Agriculture (FAO) </w:t>
      </w:r>
      <w:r w:rsidR="00F71F1A">
        <w:rPr>
          <w:rFonts w:eastAsia="Times New Roman"/>
          <w:color w:val="040404"/>
          <w:shd w:val="clear" w:color="auto" w:fill="FFFFFF"/>
        </w:rPr>
        <w:t xml:space="preserve">est </w:t>
      </w:r>
      <w:r w:rsidR="008D21A1" w:rsidRPr="008D21A1">
        <w:rPr>
          <w:rFonts w:eastAsia="Times New Roman"/>
          <w:color w:val="040404"/>
          <w:shd w:val="clear" w:color="auto" w:fill="FFFFFF"/>
        </w:rPr>
        <w:t>l’agence d’implémentation</w:t>
      </w:r>
      <w:r w:rsidR="00F71F1A">
        <w:rPr>
          <w:rFonts w:eastAsia="Times New Roman"/>
          <w:color w:val="040404"/>
          <w:shd w:val="clear" w:color="auto" w:fill="FFFFFF"/>
        </w:rPr>
        <w:t xml:space="preserve"> du projet</w:t>
      </w:r>
      <w:r w:rsidR="00A44DAE" w:rsidRPr="008D21A1">
        <w:rPr>
          <w:rFonts w:eastAsia="Times New Roman"/>
          <w:color w:val="040404"/>
          <w:shd w:val="clear" w:color="auto" w:fill="FFFFFF"/>
        </w:rPr>
        <w:t xml:space="preserve">. </w:t>
      </w:r>
      <w:r w:rsidR="00D05F26" w:rsidRPr="008D21A1">
        <w:rPr>
          <w:rFonts w:eastAsia="Times New Roman"/>
          <w:color w:val="040404"/>
          <w:shd w:val="clear" w:color="auto" w:fill="FFFFFF"/>
        </w:rPr>
        <w:t>Ceci</w:t>
      </w:r>
      <w:r w:rsidR="00A44DAE" w:rsidRPr="008D21A1">
        <w:rPr>
          <w:rFonts w:eastAsia="Times New Roman"/>
          <w:color w:val="040404"/>
          <w:shd w:val="clear" w:color="auto" w:fill="FFFFFF"/>
        </w:rPr>
        <w:t xml:space="preserve"> dans le but d’</w:t>
      </w:r>
      <w:r w:rsidRPr="008D21A1">
        <w:rPr>
          <w:rFonts w:eastAsia="Times New Roman"/>
          <w:color w:val="040404"/>
          <w:shd w:val="clear" w:color="auto" w:fill="FFFFFF"/>
        </w:rPr>
        <w:t xml:space="preserve">aider le gouvernement de la Guinée-Bissau à atténuer de manière proactive les problèmes </w:t>
      </w:r>
      <w:r w:rsidR="009C1788" w:rsidRPr="008D21A1">
        <w:rPr>
          <w:rFonts w:eastAsia="Times New Roman"/>
          <w:color w:val="040404"/>
          <w:shd w:val="clear" w:color="auto" w:fill="FFFFFF"/>
        </w:rPr>
        <w:t>d</w:t>
      </w:r>
      <w:r w:rsidR="009C1788">
        <w:rPr>
          <w:rFonts w:eastAsia="Times New Roman"/>
          <w:color w:val="040404"/>
          <w:shd w:val="clear" w:color="auto" w:fill="FFFFFF"/>
        </w:rPr>
        <w:t>’insécurité</w:t>
      </w:r>
      <w:r w:rsidRPr="008D21A1">
        <w:rPr>
          <w:rFonts w:eastAsia="Times New Roman"/>
          <w:color w:val="040404"/>
          <w:shd w:val="clear" w:color="auto" w:fill="FFFFFF"/>
        </w:rPr>
        <w:t xml:space="preserve"> alimentaire à court et moyen </w:t>
      </w:r>
      <w:r w:rsidRPr="008D21A1">
        <w:rPr>
          <w:rFonts w:eastAsia="Times New Roman"/>
          <w:color w:val="040404"/>
          <w:shd w:val="clear" w:color="auto" w:fill="FFFFFF"/>
        </w:rPr>
        <w:lastRenderedPageBreak/>
        <w:t>terme auxquels le pays est confronté</w:t>
      </w:r>
      <w:r w:rsidR="00A44DAE" w:rsidRPr="008D21A1">
        <w:rPr>
          <w:rFonts w:eastAsia="Times New Roman"/>
          <w:color w:val="040404"/>
          <w:shd w:val="clear" w:color="auto" w:fill="FFFFFF"/>
        </w:rPr>
        <w:t xml:space="preserve"> dus aux</w:t>
      </w:r>
      <w:r w:rsidRPr="008D21A1">
        <w:rPr>
          <w:rFonts w:eastAsia="Times New Roman"/>
          <w:color w:val="040404"/>
          <w:shd w:val="clear" w:color="auto" w:fill="FFFFFF"/>
        </w:rPr>
        <w:t xml:space="preserve"> effets de la Covid-19 sur la production et la commercialisation de la noix de cajou et sur la production et les prix des denrées alimentaires. </w:t>
      </w:r>
    </w:p>
    <w:p w:rsidR="00E426DE" w:rsidRDefault="00617A44" w:rsidP="001A6AB5">
      <w:pPr>
        <w:spacing w:before="120" w:after="120"/>
        <w:ind w:right="-142"/>
        <w:jc w:val="both"/>
        <w:rPr>
          <w:spacing w:val="-2"/>
        </w:rPr>
      </w:pPr>
      <w:r w:rsidRPr="00A05698">
        <w:rPr>
          <w:spacing w:val="-2"/>
        </w:rPr>
        <w:t>Le</w:t>
      </w:r>
      <w:r w:rsidR="00E426DE" w:rsidRPr="00A05698">
        <w:rPr>
          <w:spacing w:val="-2"/>
        </w:rPr>
        <w:t xml:space="preserve"> </w:t>
      </w:r>
      <w:r w:rsidR="00E426DE" w:rsidRPr="00A05698">
        <w:rPr>
          <w:rFonts w:eastAsia="Times New Roman"/>
          <w:color w:val="040404"/>
          <w:shd w:val="clear" w:color="auto" w:fill="FFFFFF"/>
        </w:rPr>
        <w:t>projet</w:t>
      </w:r>
      <w:r w:rsidR="00E426DE" w:rsidRPr="00A05698">
        <w:rPr>
          <w:bCs/>
          <w:iCs/>
        </w:rPr>
        <w:t xml:space="preserve"> de Sécurité Alimentaire d'Urgence</w:t>
      </w:r>
      <w:r w:rsidR="00E426DE" w:rsidRPr="00A05698">
        <w:rPr>
          <w:spacing w:val="-2"/>
        </w:rPr>
        <w:t xml:space="preserve"> PUSA est susceptible d’engendrer directement ou indirectement des </w:t>
      </w:r>
      <w:r w:rsidR="002F10CC">
        <w:rPr>
          <w:spacing w:val="-2"/>
        </w:rPr>
        <w:t>risques</w:t>
      </w:r>
      <w:r w:rsidR="002F10CC" w:rsidRPr="00A05698">
        <w:rPr>
          <w:spacing w:val="-2"/>
        </w:rPr>
        <w:t xml:space="preserve"> </w:t>
      </w:r>
      <w:r w:rsidR="00E426DE" w:rsidRPr="00A05698">
        <w:rPr>
          <w:spacing w:val="-2"/>
        </w:rPr>
        <w:t>et effets (positifs et négatifs) sur le milieu environnemental ou social</w:t>
      </w:r>
      <w:r w:rsidR="00AD5237" w:rsidRPr="00A05698">
        <w:rPr>
          <w:spacing w:val="-2"/>
        </w:rPr>
        <w:t>. En effet,</w:t>
      </w:r>
      <w:r w:rsidR="00E426DE" w:rsidRPr="00A05698">
        <w:rPr>
          <w:spacing w:val="-2"/>
        </w:rPr>
        <w:t xml:space="preserve"> il sera encadré par un Cadre de Gestion Environnementale et Social (CGES), conformément aux directives et politiques de la Banque </w:t>
      </w:r>
      <w:r w:rsidR="008B16FA">
        <w:rPr>
          <w:spacing w:val="-2"/>
        </w:rPr>
        <w:t>m</w:t>
      </w:r>
      <w:r w:rsidR="00E426DE" w:rsidRPr="00A05698">
        <w:rPr>
          <w:spacing w:val="-2"/>
        </w:rPr>
        <w:t>ondiale en matière</w:t>
      </w:r>
      <w:r w:rsidR="00AD5237" w:rsidRPr="00A05698">
        <w:rPr>
          <w:spacing w:val="-2"/>
        </w:rPr>
        <w:t xml:space="preserve"> </w:t>
      </w:r>
      <w:r w:rsidR="00E426DE" w:rsidRPr="00A05698">
        <w:rPr>
          <w:spacing w:val="-2"/>
        </w:rPr>
        <w:t xml:space="preserve">environnementale et conformément au cadre législatif et réglementaire </w:t>
      </w:r>
      <w:r w:rsidR="00AD5237" w:rsidRPr="00A05698">
        <w:rPr>
          <w:spacing w:val="-2"/>
        </w:rPr>
        <w:t xml:space="preserve">en vigueur </w:t>
      </w:r>
      <w:r w:rsidRPr="00A05698">
        <w:rPr>
          <w:spacing w:val="-2"/>
        </w:rPr>
        <w:t xml:space="preserve">en </w:t>
      </w:r>
      <w:r w:rsidR="00E426DE" w:rsidRPr="00A05698">
        <w:rPr>
          <w:spacing w:val="-2"/>
        </w:rPr>
        <w:t>Guinée Bissau.</w:t>
      </w:r>
    </w:p>
    <w:p w:rsidR="005851EB" w:rsidRPr="00A05698" w:rsidRDefault="005851EB" w:rsidP="001A6AB5">
      <w:pPr>
        <w:spacing w:before="120" w:after="120"/>
        <w:ind w:right="-142"/>
        <w:jc w:val="both"/>
        <w:rPr>
          <w:spacing w:val="-2"/>
        </w:rPr>
      </w:pPr>
      <w:r>
        <w:rPr>
          <w:spacing w:val="-2"/>
        </w:rPr>
        <w:t xml:space="preserve">Bien que les sites et détails des activités ne sont pas encore clairement définis, le CGES permet d’identifier de potentiels impacts positifs et négatifs auxquels il faudra s’attendre dans toutes les phases du projet. Il est ainsi pertinent de déterminer le cadre politique, juridique et institutionnel ainsi que le contexte économique, social et sanitaire dans lesquels le projet sera </w:t>
      </w:r>
      <w:r w:rsidR="004977FF">
        <w:rPr>
          <w:spacing w:val="-2"/>
        </w:rPr>
        <w:t>exécuté</w:t>
      </w:r>
      <w:r>
        <w:rPr>
          <w:spacing w:val="-2"/>
        </w:rPr>
        <w:t xml:space="preserve">. Les impacts et les mesures atténuations seront beaucoup plus spécifiques et précis lorsque les sites et activités seront clairement identifiés et nécessitant ainsi la réalisation d’études d’impacts approfondies (EIES) ou d’analyse d’environnementale initiale (AEI) dont les cadres de TDRs sont déjà annexés (voir annexe 10). </w:t>
      </w:r>
    </w:p>
    <w:p w:rsidR="0056026D" w:rsidRPr="00A05698" w:rsidRDefault="0056026D" w:rsidP="00157035">
      <w:pPr>
        <w:pStyle w:val="PargrafodaLista"/>
        <w:numPr>
          <w:ilvl w:val="1"/>
          <w:numId w:val="99"/>
        </w:numPr>
        <w:spacing w:after="120" w:line="240" w:lineRule="auto"/>
        <w:outlineLvl w:val="1"/>
        <w:rPr>
          <w:rFonts w:ascii="Times New Roman" w:hAnsi="Times New Roman"/>
          <w:b/>
          <w:bCs/>
          <w:sz w:val="24"/>
          <w:szCs w:val="24"/>
        </w:rPr>
      </w:pPr>
      <w:bookmarkStart w:id="87" w:name="_Toc61510470"/>
      <w:bookmarkStart w:id="88" w:name="_Toc61510630"/>
      <w:bookmarkStart w:id="89" w:name="_Toc61510804"/>
      <w:bookmarkStart w:id="90" w:name="_Toc61879753"/>
      <w:bookmarkStart w:id="91" w:name="_Toc75432254"/>
      <w:bookmarkEnd w:id="77"/>
      <w:bookmarkEnd w:id="78"/>
      <w:bookmarkEnd w:id="79"/>
      <w:bookmarkEnd w:id="80"/>
      <w:bookmarkEnd w:id="81"/>
      <w:bookmarkEnd w:id="82"/>
      <w:bookmarkEnd w:id="83"/>
      <w:bookmarkEnd w:id="84"/>
      <w:bookmarkEnd w:id="85"/>
      <w:bookmarkEnd w:id="86"/>
      <w:r w:rsidRPr="00A05698">
        <w:rPr>
          <w:rFonts w:ascii="Times New Roman" w:hAnsi="Times New Roman"/>
          <w:b/>
          <w:bCs/>
          <w:sz w:val="24"/>
          <w:szCs w:val="24"/>
        </w:rPr>
        <w:t>DEFINITION DU CGES</w:t>
      </w:r>
      <w:bookmarkEnd w:id="87"/>
      <w:bookmarkEnd w:id="88"/>
      <w:bookmarkEnd w:id="89"/>
      <w:bookmarkEnd w:id="90"/>
      <w:bookmarkEnd w:id="91"/>
    </w:p>
    <w:p w:rsidR="00B805ED" w:rsidRDefault="00B805ED" w:rsidP="001A6AB5">
      <w:pPr>
        <w:spacing w:after="120"/>
        <w:ind w:right="-142"/>
        <w:jc w:val="both"/>
        <w:rPr>
          <w:rFonts w:eastAsia="Times New Roman"/>
          <w:color w:val="040404"/>
          <w:shd w:val="clear" w:color="auto" w:fill="FFFFFF"/>
        </w:rPr>
      </w:pPr>
      <w:r w:rsidRPr="00345951">
        <w:rPr>
          <w:rFonts w:eastAsia="Times New Roman"/>
          <w:color w:val="040404"/>
          <w:shd w:val="clear" w:color="auto" w:fill="FFFFFF"/>
        </w:rPr>
        <w:t xml:space="preserve">Le Cadre de gestion environnementale et sociale (CGES) est un instrument d’évaluation environnementale et sociale qui examine les risques et effets lorsqu’un projet se compose d’un programme et/ou d’une série de sous-projets, et que ces risques et effets ne peuvent être déterminés tant que les détails du programme ou du sous-projet n’ont pas été identifiés. </w:t>
      </w:r>
    </w:p>
    <w:p w:rsidR="005E7A05" w:rsidRPr="00345951" w:rsidRDefault="00B805ED" w:rsidP="001A6AB5">
      <w:pPr>
        <w:spacing w:after="120"/>
        <w:ind w:right="-142"/>
        <w:jc w:val="both"/>
        <w:rPr>
          <w:rFonts w:eastAsia="Times New Roman"/>
          <w:color w:val="040404"/>
          <w:shd w:val="clear" w:color="auto" w:fill="FFFFFF"/>
        </w:rPr>
      </w:pPr>
      <w:r w:rsidRPr="00345951">
        <w:rPr>
          <w:rFonts w:eastAsia="Times New Roman"/>
          <w:color w:val="040404"/>
          <w:shd w:val="clear" w:color="auto" w:fill="FFFFFF"/>
        </w:rPr>
        <w:t>Le CGES définit les principes, les règles, les directives et les procédures permettant d’évaluer les risques et effets environnementaux et sociaux. Il contient des mesures et des plans visant à réduire, atténuer et/ou compenser les risques et les impacts négatifs, des dispositions permettant d’estimer et de budgétiser le coût de ces mesures, et des informations sur l’agence ou les agences chargées de la gestion des risques et des impacts du projet, y compris leurs capacités correspondantes. Il fournit des informations pertinentes sur la zone dans laquelle les sous-projets devraient être réalisés, ainsi que les vulnérabilités éventuelles de cette zone du point de vue environnemental et social ; et sur les effets qui pourraient se produire et les mesures d’atténuation que l’on pourrait s’attendre à voir appliquer.</w:t>
      </w:r>
    </w:p>
    <w:p w:rsidR="00004591" w:rsidRPr="00A05698" w:rsidRDefault="00233D1D" w:rsidP="001A6AB5">
      <w:pPr>
        <w:spacing w:before="120" w:after="120"/>
        <w:ind w:right="-142"/>
        <w:jc w:val="both"/>
        <w:rPr>
          <w:spacing w:val="-2"/>
        </w:rPr>
      </w:pPr>
      <w:r w:rsidRPr="00A05698">
        <w:rPr>
          <w:spacing w:val="-2"/>
        </w:rPr>
        <w:t>Il</w:t>
      </w:r>
      <w:r w:rsidR="00A45EEC" w:rsidRPr="00A05698">
        <w:rPr>
          <w:spacing w:val="-2"/>
        </w:rPr>
        <w:t xml:space="preserve"> s’</w:t>
      </w:r>
      <w:r w:rsidR="00B21230">
        <w:rPr>
          <w:spacing w:val="-2"/>
        </w:rPr>
        <w:t xml:space="preserve">aligne avec </w:t>
      </w:r>
      <w:r w:rsidR="007F54C9" w:rsidRPr="00A05698">
        <w:rPr>
          <w:spacing w:val="-2"/>
        </w:rPr>
        <w:t xml:space="preserve">la </w:t>
      </w:r>
      <w:r w:rsidR="00BD5C2D" w:rsidRPr="00A05698">
        <w:rPr>
          <w:spacing w:val="-2"/>
        </w:rPr>
        <w:t>Loi N°1/2011 du 0</w:t>
      </w:r>
      <w:r w:rsidR="00460BAB" w:rsidRPr="00A05698">
        <w:rPr>
          <w:spacing w:val="-2"/>
        </w:rPr>
        <w:t xml:space="preserve">2 mars 2011 portant principes </w:t>
      </w:r>
      <w:r w:rsidR="00BD5C2D" w:rsidRPr="00A05698">
        <w:rPr>
          <w:spacing w:val="-2"/>
        </w:rPr>
        <w:t xml:space="preserve">fondamentaux relatifs </w:t>
      </w:r>
      <w:r w:rsidR="00460BAB" w:rsidRPr="00A05698">
        <w:rPr>
          <w:spacing w:val="-2"/>
        </w:rPr>
        <w:t xml:space="preserve">à la définition de la politique </w:t>
      </w:r>
      <w:r w:rsidR="00BD5C2D" w:rsidRPr="00A05698">
        <w:rPr>
          <w:spacing w:val="-2"/>
        </w:rPr>
        <w:t>nationale de la protection de l’environnement naturel et construit</w:t>
      </w:r>
      <w:r w:rsidR="005D7734" w:rsidRPr="00A05698">
        <w:rPr>
          <w:spacing w:val="-2"/>
        </w:rPr>
        <w:t>,</w:t>
      </w:r>
      <w:r w:rsidR="00460BAB" w:rsidRPr="00A05698">
        <w:rPr>
          <w:spacing w:val="-2"/>
        </w:rPr>
        <w:t xml:space="preserve"> mais aussi de </w:t>
      </w:r>
      <w:r w:rsidR="005D7734" w:rsidRPr="00A05698">
        <w:rPr>
          <w:spacing w:val="-2"/>
        </w:rPr>
        <w:t>la Loi</w:t>
      </w:r>
      <w:r w:rsidR="00004591" w:rsidRPr="00A05698">
        <w:rPr>
          <w:spacing w:val="-2"/>
        </w:rPr>
        <w:t xml:space="preserve"> n°10/2010 du 24 septembre 2010 sur l’évaluation environnementale</w:t>
      </w:r>
      <w:r w:rsidR="00460BAB" w:rsidRPr="00A05698">
        <w:rPr>
          <w:spacing w:val="-2"/>
        </w:rPr>
        <w:t xml:space="preserve"> en Guinée Bissau</w:t>
      </w:r>
      <w:r w:rsidR="00A93881" w:rsidRPr="00A05698">
        <w:rPr>
          <w:spacing w:val="-2"/>
        </w:rPr>
        <w:t>.</w:t>
      </w:r>
    </w:p>
    <w:p w:rsidR="00A45EEC" w:rsidRPr="00A05698" w:rsidRDefault="00A45EEC" w:rsidP="00157035">
      <w:pPr>
        <w:pStyle w:val="PargrafodaLista"/>
        <w:numPr>
          <w:ilvl w:val="1"/>
          <w:numId w:val="99"/>
        </w:numPr>
        <w:spacing w:after="120" w:line="240" w:lineRule="auto"/>
        <w:outlineLvl w:val="1"/>
        <w:rPr>
          <w:rFonts w:ascii="Times New Roman" w:hAnsi="Times New Roman"/>
          <w:b/>
          <w:bCs/>
          <w:sz w:val="24"/>
          <w:szCs w:val="24"/>
        </w:rPr>
      </w:pPr>
      <w:bookmarkStart w:id="92" w:name="_Toc414262960"/>
      <w:bookmarkStart w:id="93" w:name="_Toc414262821"/>
      <w:bookmarkStart w:id="94" w:name="_Toc414260071"/>
      <w:bookmarkStart w:id="95" w:name="_Toc414259799"/>
      <w:bookmarkStart w:id="96" w:name="_Toc512871941"/>
      <w:bookmarkStart w:id="97" w:name="_Toc4070723"/>
      <w:bookmarkStart w:id="98" w:name="_Toc53716485"/>
      <w:bookmarkStart w:id="99" w:name="_Toc75432255"/>
      <w:r w:rsidRPr="00A05698">
        <w:rPr>
          <w:rFonts w:ascii="Times New Roman" w:hAnsi="Times New Roman"/>
          <w:b/>
          <w:bCs/>
          <w:sz w:val="24"/>
          <w:szCs w:val="24"/>
        </w:rPr>
        <w:t>DÉMARCHE MÉTHODOLOGIQUE</w:t>
      </w:r>
      <w:bookmarkEnd w:id="92"/>
      <w:bookmarkEnd w:id="93"/>
      <w:bookmarkEnd w:id="94"/>
      <w:bookmarkEnd w:id="95"/>
      <w:bookmarkEnd w:id="96"/>
      <w:bookmarkEnd w:id="97"/>
      <w:bookmarkEnd w:id="98"/>
      <w:bookmarkEnd w:id="99"/>
      <w:r w:rsidRPr="00A05698">
        <w:rPr>
          <w:rFonts w:ascii="Times New Roman" w:hAnsi="Times New Roman"/>
          <w:b/>
          <w:bCs/>
          <w:sz w:val="24"/>
          <w:szCs w:val="24"/>
        </w:rPr>
        <w:t xml:space="preserve"> </w:t>
      </w:r>
    </w:p>
    <w:p w:rsidR="00A45EEC" w:rsidRPr="00A05698" w:rsidRDefault="00A45EEC" w:rsidP="001A6AB5">
      <w:pPr>
        <w:spacing w:before="120" w:after="120"/>
        <w:ind w:right="-142"/>
        <w:jc w:val="both"/>
        <w:rPr>
          <w:spacing w:val="-2"/>
        </w:rPr>
      </w:pPr>
      <w:r w:rsidRPr="00A05698">
        <w:rPr>
          <w:spacing w:val="-2"/>
        </w:rPr>
        <w:t xml:space="preserve">La méthodologie suivie pour la réalisation </w:t>
      </w:r>
      <w:r w:rsidR="00233D1D" w:rsidRPr="00A05698">
        <w:rPr>
          <w:spacing w:val="-2"/>
        </w:rPr>
        <w:t>du CGES</w:t>
      </w:r>
      <w:r w:rsidRPr="00A05698">
        <w:rPr>
          <w:spacing w:val="-2"/>
        </w:rPr>
        <w:t xml:space="preserve"> a été articulée autour des étapes suivantes :</w:t>
      </w:r>
    </w:p>
    <w:p w:rsidR="00A45EEC" w:rsidRPr="00C51CB6" w:rsidRDefault="00A45EEC" w:rsidP="00157035">
      <w:pPr>
        <w:pStyle w:val="Primeiroavanodecorpodetexto2"/>
        <w:numPr>
          <w:ilvl w:val="0"/>
          <w:numId w:val="100"/>
        </w:numPr>
        <w:spacing w:after="0" w:line="240" w:lineRule="auto"/>
        <w:ind w:left="567"/>
        <w:jc w:val="both"/>
        <w:rPr>
          <w:rFonts w:ascii="Times New Roman" w:eastAsiaTheme="minorHAnsi" w:hAnsi="Times New Roman"/>
          <w:spacing w:val="-2"/>
          <w:sz w:val="24"/>
          <w:szCs w:val="24"/>
        </w:rPr>
      </w:pPr>
      <w:r w:rsidRPr="00C51CB6">
        <w:rPr>
          <w:rFonts w:ascii="Times New Roman" w:eastAsiaTheme="minorHAnsi" w:hAnsi="Times New Roman"/>
          <w:spacing w:val="-2"/>
          <w:sz w:val="24"/>
          <w:szCs w:val="24"/>
        </w:rPr>
        <w:t>La collecte des données ;</w:t>
      </w:r>
    </w:p>
    <w:p w:rsidR="00A45EEC" w:rsidRPr="00C51CB6" w:rsidRDefault="00A45EEC" w:rsidP="00157035">
      <w:pPr>
        <w:pStyle w:val="Primeiroavanodecorpodetexto2"/>
        <w:numPr>
          <w:ilvl w:val="0"/>
          <w:numId w:val="100"/>
        </w:numPr>
        <w:spacing w:after="0" w:line="240" w:lineRule="auto"/>
        <w:ind w:left="567"/>
        <w:jc w:val="both"/>
        <w:rPr>
          <w:rFonts w:ascii="Times New Roman" w:eastAsiaTheme="minorHAnsi" w:hAnsi="Times New Roman"/>
          <w:spacing w:val="-2"/>
          <w:sz w:val="24"/>
          <w:szCs w:val="24"/>
        </w:rPr>
      </w:pPr>
      <w:r w:rsidRPr="00C51CB6">
        <w:rPr>
          <w:rFonts w:ascii="Times New Roman" w:eastAsiaTheme="minorHAnsi" w:hAnsi="Times New Roman"/>
          <w:spacing w:val="-2"/>
          <w:sz w:val="24"/>
          <w:szCs w:val="24"/>
        </w:rPr>
        <w:t>Le traitement et l’analyse des documents stratégiques et de planification à l</w:t>
      </w:r>
      <w:r w:rsidR="00A05714" w:rsidRPr="00C51CB6">
        <w:rPr>
          <w:rFonts w:ascii="Times New Roman" w:eastAsiaTheme="minorHAnsi" w:hAnsi="Times New Roman"/>
          <w:spacing w:val="-2"/>
          <w:sz w:val="24"/>
          <w:szCs w:val="24"/>
        </w:rPr>
        <w:t>’</w:t>
      </w:r>
      <w:r w:rsidRPr="00C51CB6">
        <w:rPr>
          <w:rFonts w:ascii="Times New Roman" w:eastAsiaTheme="minorHAnsi" w:hAnsi="Times New Roman"/>
          <w:spacing w:val="-2"/>
          <w:sz w:val="24"/>
          <w:szCs w:val="24"/>
        </w:rPr>
        <w:t xml:space="preserve">échelle nationale et locale relatif au projet </w:t>
      </w:r>
    </w:p>
    <w:p w:rsidR="00A45EEC" w:rsidRPr="00C51CB6" w:rsidRDefault="00A45EEC" w:rsidP="00157035">
      <w:pPr>
        <w:pStyle w:val="Primeiroavanodecorpodetexto2"/>
        <w:numPr>
          <w:ilvl w:val="0"/>
          <w:numId w:val="100"/>
        </w:numPr>
        <w:spacing w:after="0" w:line="240" w:lineRule="auto"/>
        <w:ind w:left="567"/>
        <w:jc w:val="both"/>
        <w:rPr>
          <w:rFonts w:ascii="Times New Roman" w:eastAsiaTheme="minorHAnsi" w:hAnsi="Times New Roman"/>
          <w:spacing w:val="-2"/>
          <w:sz w:val="24"/>
          <w:szCs w:val="24"/>
        </w:rPr>
      </w:pPr>
      <w:r w:rsidRPr="00C51CB6">
        <w:rPr>
          <w:rFonts w:ascii="Times New Roman" w:eastAsiaTheme="minorHAnsi" w:hAnsi="Times New Roman"/>
          <w:spacing w:val="-2"/>
          <w:sz w:val="24"/>
          <w:szCs w:val="24"/>
        </w:rPr>
        <w:t>Rencontres avec les acteurs institutionnels et socioprofessionnels principalement concernés par le projet ;</w:t>
      </w:r>
    </w:p>
    <w:p w:rsidR="00A45EEC" w:rsidRPr="00C51CB6" w:rsidRDefault="00A45EEC" w:rsidP="00157035">
      <w:pPr>
        <w:pStyle w:val="Primeiroavanodecorpodetexto2"/>
        <w:numPr>
          <w:ilvl w:val="0"/>
          <w:numId w:val="100"/>
        </w:numPr>
        <w:spacing w:after="0" w:line="240" w:lineRule="auto"/>
        <w:ind w:left="567"/>
        <w:jc w:val="both"/>
        <w:rPr>
          <w:rFonts w:ascii="Times New Roman" w:eastAsiaTheme="minorHAnsi" w:hAnsi="Times New Roman"/>
          <w:spacing w:val="-2"/>
          <w:sz w:val="24"/>
          <w:szCs w:val="24"/>
        </w:rPr>
      </w:pPr>
      <w:r w:rsidRPr="00C51CB6">
        <w:rPr>
          <w:rFonts w:ascii="Times New Roman" w:eastAsiaTheme="minorHAnsi" w:hAnsi="Times New Roman"/>
          <w:spacing w:val="-2"/>
          <w:sz w:val="24"/>
          <w:szCs w:val="24"/>
        </w:rPr>
        <w:t xml:space="preserve">La rédaction </w:t>
      </w:r>
      <w:r w:rsidR="007D54C9" w:rsidRPr="00C51CB6">
        <w:rPr>
          <w:rFonts w:ascii="Times New Roman" w:eastAsiaTheme="minorHAnsi" w:hAnsi="Times New Roman"/>
          <w:spacing w:val="-2"/>
          <w:sz w:val="24"/>
          <w:szCs w:val="24"/>
        </w:rPr>
        <w:t xml:space="preserve">et validation </w:t>
      </w:r>
      <w:r w:rsidRPr="00C51CB6">
        <w:rPr>
          <w:rFonts w:ascii="Times New Roman" w:eastAsiaTheme="minorHAnsi" w:hAnsi="Times New Roman"/>
          <w:spacing w:val="-2"/>
          <w:sz w:val="24"/>
          <w:szCs w:val="24"/>
        </w:rPr>
        <w:t>du rapport d</w:t>
      </w:r>
      <w:r w:rsidR="00233D1D" w:rsidRPr="00C51CB6">
        <w:rPr>
          <w:rFonts w:ascii="Times New Roman" w:eastAsiaTheme="minorHAnsi" w:hAnsi="Times New Roman"/>
          <w:spacing w:val="-2"/>
          <w:sz w:val="24"/>
          <w:szCs w:val="24"/>
        </w:rPr>
        <w:t>e CGES</w:t>
      </w:r>
      <w:r w:rsidRPr="00C51CB6">
        <w:rPr>
          <w:rFonts w:ascii="Times New Roman" w:eastAsiaTheme="minorHAnsi" w:hAnsi="Times New Roman"/>
          <w:spacing w:val="-2"/>
          <w:sz w:val="24"/>
          <w:szCs w:val="24"/>
        </w:rPr>
        <w:t>.</w:t>
      </w:r>
    </w:p>
    <w:p w:rsidR="0040071E" w:rsidRPr="00A05698" w:rsidRDefault="0040071E" w:rsidP="004F4212">
      <w:pPr>
        <w:pStyle w:val="Primeiroavanodecorpodetexto2"/>
        <w:spacing w:after="0" w:line="240" w:lineRule="auto"/>
        <w:ind w:left="1080" w:firstLine="0"/>
        <w:jc w:val="both"/>
        <w:rPr>
          <w:rFonts w:ascii="Times New Roman" w:eastAsiaTheme="minorHAnsi" w:hAnsi="Times New Roman"/>
          <w:spacing w:val="-2"/>
          <w:sz w:val="24"/>
          <w:szCs w:val="24"/>
        </w:rPr>
      </w:pPr>
    </w:p>
    <w:p w:rsidR="0040071E" w:rsidRPr="00A05698" w:rsidRDefault="00A45EEC" w:rsidP="00157035">
      <w:pPr>
        <w:pStyle w:val="PargrafodaLista"/>
        <w:numPr>
          <w:ilvl w:val="2"/>
          <w:numId w:val="99"/>
        </w:numPr>
        <w:spacing w:after="120" w:line="240" w:lineRule="auto"/>
        <w:outlineLvl w:val="1"/>
        <w:rPr>
          <w:rFonts w:ascii="Times New Roman" w:hAnsi="Times New Roman"/>
          <w:b/>
          <w:bCs/>
          <w:sz w:val="24"/>
          <w:szCs w:val="24"/>
        </w:rPr>
      </w:pPr>
      <w:bookmarkStart w:id="100" w:name="_Toc368520776"/>
      <w:bookmarkStart w:id="101" w:name="_Toc322967459"/>
      <w:bookmarkStart w:id="102" w:name="_Toc276893081"/>
      <w:bookmarkStart w:id="103" w:name="_Toc414262961"/>
      <w:bookmarkStart w:id="104" w:name="_Toc414262822"/>
      <w:bookmarkStart w:id="105" w:name="_Toc414260072"/>
      <w:bookmarkStart w:id="106" w:name="_Toc414259800"/>
      <w:bookmarkStart w:id="107" w:name="_Toc512871942"/>
      <w:bookmarkStart w:id="108" w:name="_Toc4070724"/>
      <w:bookmarkStart w:id="109" w:name="_Toc53716486"/>
      <w:bookmarkStart w:id="110" w:name="_Toc75432256"/>
      <w:r w:rsidRPr="00A05698">
        <w:rPr>
          <w:rFonts w:ascii="Times New Roman" w:hAnsi="Times New Roman"/>
          <w:b/>
          <w:bCs/>
          <w:sz w:val="24"/>
          <w:szCs w:val="24"/>
        </w:rPr>
        <w:t>La collecte des donnée</w:t>
      </w:r>
      <w:bookmarkEnd w:id="100"/>
      <w:bookmarkEnd w:id="101"/>
      <w:bookmarkEnd w:id="102"/>
      <w:r w:rsidRPr="00A05698">
        <w:rPr>
          <w:rFonts w:ascii="Times New Roman" w:hAnsi="Times New Roman"/>
          <w:b/>
          <w:bCs/>
          <w:sz w:val="24"/>
          <w:szCs w:val="24"/>
        </w:rPr>
        <w:t>s</w:t>
      </w:r>
      <w:bookmarkEnd w:id="103"/>
      <w:bookmarkEnd w:id="104"/>
      <w:bookmarkEnd w:id="105"/>
      <w:bookmarkEnd w:id="106"/>
      <w:bookmarkEnd w:id="107"/>
      <w:bookmarkEnd w:id="108"/>
      <w:bookmarkEnd w:id="109"/>
      <w:bookmarkEnd w:id="110"/>
    </w:p>
    <w:p w:rsidR="00A45EEC" w:rsidRPr="00A05698" w:rsidRDefault="004A55C8" w:rsidP="00C51CB6">
      <w:pPr>
        <w:spacing w:before="120" w:after="120"/>
        <w:ind w:right="-142"/>
        <w:jc w:val="both"/>
        <w:rPr>
          <w:spacing w:val="-2"/>
        </w:rPr>
      </w:pPr>
      <w:r w:rsidRPr="00A05698">
        <w:rPr>
          <w:spacing w:val="-2"/>
        </w:rPr>
        <w:t xml:space="preserve">Depuis, </w:t>
      </w:r>
      <w:r w:rsidR="00467D97" w:rsidRPr="00A05698">
        <w:rPr>
          <w:spacing w:val="-2"/>
        </w:rPr>
        <w:t xml:space="preserve">le 12 </w:t>
      </w:r>
      <w:r w:rsidR="00D26C79" w:rsidRPr="00A05698">
        <w:rPr>
          <w:spacing w:val="-2"/>
        </w:rPr>
        <w:t>décembre</w:t>
      </w:r>
      <w:r w:rsidR="00467D97" w:rsidRPr="00A05698">
        <w:rPr>
          <w:spacing w:val="-2"/>
        </w:rPr>
        <w:t xml:space="preserve"> 2020</w:t>
      </w:r>
      <w:r w:rsidR="00D26C79" w:rsidRPr="00A05698">
        <w:rPr>
          <w:spacing w:val="-2"/>
        </w:rPr>
        <w:t>,</w:t>
      </w:r>
      <w:r w:rsidR="00467D97" w:rsidRPr="00A05698">
        <w:rPr>
          <w:spacing w:val="-2"/>
        </w:rPr>
        <w:t xml:space="preserve"> </w:t>
      </w:r>
      <w:r w:rsidR="00D26C79" w:rsidRPr="00A05698">
        <w:rPr>
          <w:spacing w:val="-2"/>
        </w:rPr>
        <w:t>l</w:t>
      </w:r>
      <w:r w:rsidR="00A45EEC" w:rsidRPr="00A05698">
        <w:rPr>
          <w:spacing w:val="-2"/>
        </w:rPr>
        <w:t xml:space="preserve">a collecte des données </w:t>
      </w:r>
      <w:r w:rsidR="00AA5F51" w:rsidRPr="00A05698">
        <w:rPr>
          <w:spacing w:val="-2"/>
        </w:rPr>
        <w:t xml:space="preserve">est </w:t>
      </w:r>
      <w:r w:rsidR="00D7052B" w:rsidRPr="00A05698">
        <w:rPr>
          <w:spacing w:val="-2"/>
        </w:rPr>
        <w:t xml:space="preserve">en </w:t>
      </w:r>
      <w:r w:rsidR="00744FDF" w:rsidRPr="00A05698">
        <w:rPr>
          <w:spacing w:val="-2"/>
        </w:rPr>
        <w:t>cours grâce au</w:t>
      </w:r>
      <w:r w:rsidR="00A45EEC" w:rsidRPr="00A05698">
        <w:rPr>
          <w:spacing w:val="-2"/>
        </w:rPr>
        <w:t xml:space="preserve"> moyen de recherche</w:t>
      </w:r>
      <w:r w:rsidR="003B27B7" w:rsidRPr="00A05698">
        <w:rPr>
          <w:spacing w:val="-2"/>
        </w:rPr>
        <w:t>s</w:t>
      </w:r>
      <w:r w:rsidR="00A45EEC" w:rsidRPr="00A05698">
        <w:rPr>
          <w:spacing w:val="-2"/>
        </w:rPr>
        <w:t xml:space="preserve"> documentaire</w:t>
      </w:r>
      <w:r w:rsidR="003B27B7" w:rsidRPr="00A05698">
        <w:rPr>
          <w:spacing w:val="-2"/>
        </w:rPr>
        <w:t>s</w:t>
      </w:r>
      <w:r w:rsidR="00A45EEC" w:rsidRPr="00A05698">
        <w:rPr>
          <w:spacing w:val="-2"/>
        </w:rPr>
        <w:t>, des investigations de terrain, des consultations et des entretiens avec les principaux acteurs.</w:t>
      </w:r>
    </w:p>
    <w:p w:rsidR="00A45EEC" w:rsidRPr="00453BB3" w:rsidRDefault="00453BB3" w:rsidP="00D47C37">
      <w:pPr>
        <w:pStyle w:val="PargrafodaLista"/>
        <w:numPr>
          <w:ilvl w:val="2"/>
          <w:numId w:val="99"/>
        </w:numPr>
        <w:spacing w:after="120" w:line="240" w:lineRule="auto"/>
        <w:outlineLvl w:val="1"/>
        <w:rPr>
          <w:rFonts w:ascii="Times New Roman" w:hAnsi="Times New Roman"/>
          <w:b/>
          <w:bCs/>
          <w:sz w:val="24"/>
        </w:rPr>
      </w:pPr>
      <w:bookmarkStart w:id="111" w:name="_Toc75432257"/>
      <w:r>
        <w:rPr>
          <w:rFonts w:ascii="Times New Roman" w:hAnsi="Times New Roman"/>
          <w:b/>
          <w:bCs/>
          <w:sz w:val="24"/>
          <w:szCs w:val="24"/>
        </w:rPr>
        <w:lastRenderedPageBreak/>
        <w:t xml:space="preserve">Le </w:t>
      </w:r>
      <w:r w:rsidRPr="00D47C37">
        <w:rPr>
          <w:rFonts w:ascii="Times New Roman" w:hAnsi="Times New Roman"/>
          <w:b/>
          <w:bCs/>
          <w:sz w:val="24"/>
          <w:szCs w:val="24"/>
        </w:rPr>
        <w:t xml:space="preserve">traitement et l’analyse des </w:t>
      </w:r>
      <w:r w:rsidR="009B22F3" w:rsidRPr="00D47C37">
        <w:rPr>
          <w:rFonts w:ascii="Times New Roman" w:hAnsi="Times New Roman"/>
          <w:b/>
          <w:bCs/>
          <w:sz w:val="24"/>
          <w:szCs w:val="24"/>
        </w:rPr>
        <w:t>documents</w:t>
      </w:r>
      <w:bookmarkEnd w:id="111"/>
      <w:r w:rsidR="009B22F3">
        <w:rPr>
          <w:rFonts w:ascii="Times New Roman" w:hAnsi="Times New Roman"/>
          <w:b/>
          <w:bCs/>
          <w:sz w:val="24"/>
          <w:szCs w:val="24"/>
        </w:rPr>
        <w:t xml:space="preserve"> </w:t>
      </w:r>
    </w:p>
    <w:p w:rsidR="00526631" w:rsidRPr="00A05698" w:rsidRDefault="00A45EEC" w:rsidP="00C51CB6">
      <w:pPr>
        <w:spacing w:before="120" w:after="120"/>
        <w:ind w:right="-142"/>
        <w:jc w:val="both"/>
        <w:rPr>
          <w:spacing w:val="-2"/>
        </w:rPr>
      </w:pPr>
      <w:r w:rsidRPr="00A05698">
        <w:rPr>
          <w:spacing w:val="-2"/>
        </w:rPr>
        <w:t>Elle a consisté en la collecte des données de base relatives au projet, aux caractéristiques biophysiques et socioéconomiques de la zone d’influence du projet ainsi qu’aux cadres politique, législatif et réglementaire r</w:t>
      </w:r>
      <w:r w:rsidR="00A31068" w:rsidRPr="00A05698">
        <w:rPr>
          <w:spacing w:val="-2"/>
        </w:rPr>
        <w:t xml:space="preserve">égissant l’environnement et le </w:t>
      </w:r>
      <w:r w:rsidR="004B2290" w:rsidRPr="00A05698">
        <w:rPr>
          <w:spacing w:val="-2"/>
        </w:rPr>
        <w:t>secteur</w:t>
      </w:r>
      <w:r w:rsidRPr="00A05698">
        <w:rPr>
          <w:spacing w:val="-2"/>
        </w:rPr>
        <w:t xml:space="preserve"> de l</w:t>
      </w:r>
      <w:r w:rsidR="00A05714" w:rsidRPr="00A05698">
        <w:rPr>
          <w:spacing w:val="-2"/>
        </w:rPr>
        <w:t>’</w:t>
      </w:r>
      <w:r w:rsidRPr="00A05698">
        <w:rPr>
          <w:spacing w:val="-2"/>
        </w:rPr>
        <w:t>agriculture et de gestion de projet.</w:t>
      </w:r>
    </w:p>
    <w:p w:rsidR="006E7B9C" w:rsidRPr="00453BB3" w:rsidRDefault="006635F7" w:rsidP="00D47C37">
      <w:pPr>
        <w:pStyle w:val="PargrafodaLista"/>
        <w:numPr>
          <w:ilvl w:val="2"/>
          <w:numId w:val="99"/>
        </w:numPr>
        <w:spacing w:after="120" w:line="240" w:lineRule="auto"/>
        <w:outlineLvl w:val="1"/>
        <w:rPr>
          <w:rFonts w:ascii="Times New Roman" w:hAnsi="Times New Roman"/>
          <w:b/>
          <w:bCs/>
          <w:sz w:val="24"/>
        </w:rPr>
      </w:pPr>
      <w:bookmarkStart w:id="112" w:name="_Toc75432258"/>
      <w:r>
        <w:rPr>
          <w:rFonts w:ascii="Times New Roman" w:hAnsi="Times New Roman"/>
          <w:b/>
          <w:bCs/>
          <w:sz w:val="24"/>
          <w:szCs w:val="24"/>
        </w:rPr>
        <w:t>L</w:t>
      </w:r>
      <w:r w:rsidR="00792C2C">
        <w:rPr>
          <w:rFonts w:ascii="Times New Roman" w:hAnsi="Times New Roman"/>
          <w:b/>
          <w:bCs/>
          <w:sz w:val="24"/>
          <w:szCs w:val="24"/>
        </w:rPr>
        <w:t>’i</w:t>
      </w:r>
      <w:r w:rsidR="007C3D82" w:rsidRPr="001041FC">
        <w:rPr>
          <w:rFonts w:ascii="Times New Roman" w:hAnsi="Times New Roman"/>
          <w:b/>
          <w:bCs/>
          <w:sz w:val="24"/>
          <w:szCs w:val="24"/>
        </w:rPr>
        <w:t xml:space="preserve">nvestigations et </w:t>
      </w:r>
      <w:r w:rsidR="00A45EEC" w:rsidRPr="00453BB3">
        <w:rPr>
          <w:rFonts w:ascii="Times New Roman" w:hAnsi="Times New Roman"/>
          <w:b/>
          <w:bCs/>
          <w:sz w:val="24"/>
          <w:szCs w:val="24"/>
        </w:rPr>
        <w:t>Entretie</w:t>
      </w:r>
      <w:r w:rsidR="009B22F3">
        <w:rPr>
          <w:rFonts w:ascii="Times New Roman" w:hAnsi="Times New Roman"/>
          <w:b/>
          <w:bCs/>
          <w:sz w:val="24"/>
          <w:szCs w:val="24"/>
        </w:rPr>
        <w:t>ns avec les principaux acteurs</w:t>
      </w:r>
      <w:bookmarkEnd w:id="112"/>
      <w:r w:rsidR="009B22F3">
        <w:rPr>
          <w:rFonts w:ascii="Times New Roman" w:hAnsi="Times New Roman"/>
          <w:b/>
          <w:bCs/>
          <w:sz w:val="24"/>
          <w:szCs w:val="24"/>
        </w:rPr>
        <w:t> </w:t>
      </w:r>
    </w:p>
    <w:p w:rsidR="005D1591" w:rsidRPr="00A05698" w:rsidRDefault="005D1591" w:rsidP="00C51CB6">
      <w:pPr>
        <w:spacing w:before="120" w:after="120"/>
        <w:ind w:right="-142"/>
        <w:jc w:val="both"/>
        <w:rPr>
          <w:spacing w:val="-2"/>
        </w:rPr>
      </w:pPr>
      <w:bookmarkStart w:id="113" w:name="_Toc414262962"/>
      <w:bookmarkStart w:id="114" w:name="_Toc414262823"/>
      <w:bookmarkStart w:id="115" w:name="_Toc414260073"/>
      <w:bookmarkStart w:id="116" w:name="_Toc414259801"/>
      <w:bookmarkStart w:id="117" w:name="_Toc368520777"/>
      <w:bookmarkStart w:id="118" w:name="_Toc322967460"/>
      <w:bookmarkStart w:id="119" w:name="_Toc276893082"/>
      <w:bookmarkStart w:id="120" w:name="_Toc512871943"/>
      <w:bookmarkStart w:id="121" w:name="_Toc4070725"/>
      <w:bookmarkStart w:id="122" w:name="_Toc53716487"/>
      <w:r w:rsidRPr="00A05698">
        <w:rPr>
          <w:spacing w:val="-2"/>
        </w:rPr>
        <w:t>Poursuivant l'approche participative et inclusive du projet PUSA, des interviews semi-structurées ont été utilisées comme outils afin de collecter la bonne information sur le projet et aussi recueillir en premier lieu les éventuels impacts négatifs causés par la pandémie de la COVID 19 dans leurs différents secteurs d’activités (situation de référence).</w:t>
      </w:r>
    </w:p>
    <w:p w:rsidR="005D1591" w:rsidRPr="00C51CB6" w:rsidRDefault="005D1591" w:rsidP="00C51CB6">
      <w:pPr>
        <w:spacing w:before="120" w:after="120"/>
        <w:ind w:right="-142"/>
        <w:jc w:val="both"/>
        <w:rPr>
          <w:spacing w:val="-2"/>
        </w:rPr>
      </w:pPr>
      <w:r w:rsidRPr="00A05698">
        <w:rPr>
          <w:spacing w:val="-2"/>
        </w:rPr>
        <w:t xml:space="preserve">En second lieu, nous </w:t>
      </w:r>
      <w:r w:rsidR="004F4DF7">
        <w:rPr>
          <w:spacing w:val="-2"/>
        </w:rPr>
        <w:t xml:space="preserve">avons </w:t>
      </w:r>
      <w:r w:rsidRPr="00A05698">
        <w:rPr>
          <w:spacing w:val="-2"/>
        </w:rPr>
        <w:t>recueillir les avis, recommandation</w:t>
      </w:r>
      <w:r w:rsidR="00925843" w:rsidRPr="00A05698">
        <w:rPr>
          <w:spacing w:val="-2"/>
        </w:rPr>
        <w:t>s</w:t>
      </w:r>
      <w:r w:rsidRPr="00A05698">
        <w:rPr>
          <w:spacing w:val="-2"/>
        </w:rPr>
        <w:t xml:space="preserve"> et préoccupations des services, directions techniques ou autres acteurs (Ministère de l'agriculture et du développement rural (MARD), les fédérations ou organisations des producteurs de noix de cajou, les populations concernées, etc. (</w:t>
      </w:r>
      <w:r w:rsidRPr="00C51CB6">
        <w:rPr>
          <w:spacing w:val="-2"/>
        </w:rPr>
        <w:t>voir la liste des acteurs rencontr</w:t>
      </w:r>
      <w:r w:rsidR="00002844" w:rsidRPr="00C51CB6">
        <w:rPr>
          <w:spacing w:val="-2"/>
        </w:rPr>
        <w:t>és</w:t>
      </w:r>
      <w:r w:rsidRPr="00C51CB6">
        <w:rPr>
          <w:spacing w:val="-2"/>
        </w:rPr>
        <w:t xml:space="preserve"> </w:t>
      </w:r>
      <w:r w:rsidR="00002844" w:rsidRPr="00C51CB6">
        <w:rPr>
          <w:spacing w:val="-2"/>
        </w:rPr>
        <w:t>en annexes</w:t>
      </w:r>
      <w:r w:rsidRPr="00C51CB6">
        <w:rPr>
          <w:spacing w:val="-2"/>
        </w:rPr>
        <w:t xml:space="preserve">). </w:t>
      </w:r>
    </w:p>
    <w:p w:rsidR="005D1591" w:rsidRPr="00A05698" w:rsidRDefault="005D1591" w:rsidP="00C51CB6">
      <w:pPr>
        <w:spacing w:before="120" w:after="120"/>
        <w:ind w:right="-142"/>
        <w:jc w:val="both"/>
        <w:rPr>
          <w:spacing w:val="-2"/>
        </w:rPr>
      </w:pPr>
      <w:r w:rsidRPr="00A05698">
        <w:rPr>
          <w:spacing w:val="-2"/>
        </w:rPr>
        <w:t>Cette démarche permet d’obtenir les recommandations et les orientations nécessaires pour une bonne mise en œuvre du CGES du projet PUSA inspir</w:t>
      </w:r>
      <w:r w:rsidR="00420403" w:rsidRPr="00A05698">
        <w:rPr>
          <w:spacing w:val="-2"/>
        </w:rPr>
        <w:t>é</w:t>
      </w:r>
      <w:r w:rsidRPr="00A05698">
        <w:rPr>
          <w:spacing w:val="-2"/>
        </w:rPr>
        <w:t xml:space="preserve"> du CGES actualisé du Projet PEASA 2. </w:t>
      </w:r>
    </w:p>
    <w:p w:rsidR="005D1591" w:rsidRPr="00A05698" w:rsidRDefault="005D1591" w:rsidP="00C51CB6">
      <w:pPr>
        <w:spacing w:before="120" w:after="120"/>
        <w:ind w:right="-142"/>
        <w:jc w:val="both"/>
        <w:rPr>
          <w:spacing w:val="-2"/>
        </w:rPr>
      </w:pPr>
      <w:r w:rsidRPr="00A05698">
        <w:rPr>
          <w:spacing w:val="-2"/>
        </w:rPr>
        <w:t xml:space="preserve">L’objectif reste </w:t>
      </w:r>
      <w:r w:rsidR="00AD5237" w:rsidRPr="00A05698">
        <w:rPr>
          <w:spacing w:val="-2"/>
        </w:rPr>
        <w:t>à</w:t>
      </w:r>
      <w:r w:rsidRPr="00A05698">
        <w:rPr>
          <w:spacing w:val="-2"/>
        </w:rPr>
        <w:t xml:space="preserve"> déterminer les </w:t>
      </w:r>
      <w:r w:rsidR="00D320C0">
        <w:rPr>
          <w:spacing w:val="-2"/>
        </w:rPr>
        <w:t>zones d’intervention spécifique</w:t>
      </w:r>
      <w:r w:rsidRPr="00A05698">
        <w:rPr>
          <w:spacing w:val="-2"/>
        </w:rPr>
        <w:t xml:space="preserve"> concernées par ce projet au regard des enjeux et des impacts (positif</w:t>
      </w:r>
      <w:r w:rsidR="00420403" w:rsidRPr="00A05698">
        <w:rPr>
          <w:spacing w:val="-2"/>
        </w:rPr>
        <w:t>s</w:t>
      </w:r>
      <w:r w:rsidRPr="00A05698">
        <w:rPr>
          <w:spacing w:val="-2"/>
        </w:rPr>
        <w:t xml:space="preserve"> et négatif</w:t>
      </w:r>
      <w:r w:rsidR="00420403" w:rsidRPr="00A05698">
        <w:rPr>
          <w:spacing w:val="-2"/>
        </w:rPr>
        <w:t>s</w:t>
      </w:r>
      <w:r w:rsidRPr="00A05698">
        <w:rPr>
          <w:spacing w:val="-2"/>
        </w:rPr>
        <w:t xml:space="preserve">) en cohérence avec les activités et politiques définis par l’Etat Bissau guinéen et la Banque Mondiale. </w:t>
      </w:r>
    </w:p>
    <w:p w:rsidR="005D1591" w:rsidRPr="00A05698" w:rsidRDefault="005D1591" w:rsidP="00C51CB6">
      <w:pPr>
        <w:spacing w:before="120" w:after="120"/>
        <w:ind w:right="-142"/>
        <w:jc w:val="both"/>
        <w:rPr>
          <w:spacing w:val="-2"/>
        </w:rPr>
      </w:pPr>
      <w:r w:rsidRPr="00A05698">
        <w:rPr>
          <w:spacing w:val="-2"/>
        </w:rPr>
        <w:t xml:space="preserve">Le rapport reflétera clairement un résumé des préoccupations majeures soulevées par les acteurs, lesquelles de ces préoccupations ont été intégrées dans l’analyse des impacts et surtout l’identification et la détermination des coûts des mesures d’atténuation, de compensation ou de bonification. </w:t>
      </w:r>
    </w:p>
    <w:p w:rsidR="005D1591" w:rsidRPr="00A05698" w:rsidRDefault="005D1591" w:rsidP="00C51CB6">
      <w:pPr>
        <w:spacing w:before="120" w:after="120"/>
        <w:ind w:right="-142"/>
        <w:jc w:val="both"/>
        <w:rPr>
          <w:spacing w:val="-2"/>
        </w:rPr>
      </w:pPr>
      <w:r w:rsidRPr="00A05698">
        <w:rPr>
          <w:spacing w:val="-2"/>
        </w:rPr>
        <w:t xml:space="preserve">Le plan de consultation avec les méthodes/outils utilisés, de même que la liste des acteurs consultés seront mis en annexe du rapport. </w:t>
      </w:r>
    </w:p>
    <w:p w:rsidR="00A45EEC" w:rsidRPr="00A05698" w:rsidRDefault="00B805ED" w:rsidP="00157035">
      <w:pPr>
        <w:pStyle w:val="PargrafodaLista"/>
        <w:numPr>
          <w:ilvl w:val="2"/>
          <w:numId w:val="99"/>
        </w:numPr>
        <w:spacing w:after="120" w:line="240" w:lineRule="auto"/>
        <w:outlineLvl w:val="1"/>
        <w:rPr>
          <w:rFonts w:ascii="Times New Roman" w:hAnsi="Times New Roman"/>
          <w:b/>
          <w:bCs/>
          <w:sz w:val="24"/>
          <w:szCs w:val="24"/>
        </w:rPr>
      </w:pPr>
      <w:bookmarkStart w:id="123" w:name="_Toc75432259"/>
      <w:r w:rsidRPr="00A05698">
        <w:rPr>
          <w:rFonts w:ascii="Times New Roman" w:hAnsi="Times New Roman"/>
          <w:b/>
          <w:bCs/>
          <w:sz w:val="24"/>
          <w:szCs w:val="24"/>
        </w:rPr>
        <w:t>Traitement</w:t>
      </w:r>
      <w:r w:rsidR="00A45EEC" w:rsidRPr="00A05698">
        <w:rPr>
          <w:rFonts w:ascii="Times New Roman" w:hAnsi="Times New Roman"/>
          <w:b/>
          <w:bCs/>
          <w:sz w:val="24"/>
          <w:szCs w:val="24"/>
        </w:rPr>
        <w:t xml:space="preserve"> et</w:t>
      </w:r>
      <w:r w:rsidR="003218B1">
        <w:rPr>
          <w:rFonts w:ascii="Times New Roman" w:hAnsi="Times New Roman"/>
          <w:b/>
          <w:bCs/>
          <w:sz w:val="24"/>
          <w:szCs w:val="24"/>
        </w:rPr>
        <w:t xml:space="preserve"> r</w:t>
      </w:r>
      <w:r w:rsidR="00A45EEC" w:rsidRPr="00A05698">
        <w:rPr>
          <w:rFonts w:ascii="Times New Roman" w:hAnsi="Times New Roman"/>
          <w:b/>
          <w:bCs/>
          <w:sz w:val="24"/>
          <w:szCs w:val="24"/>
        </w:rPr>
        <w:t>édaction du rapport</w:t>
      </w:r>
      <w:bookmarkEnd w:id="113"/>
      <w:bookmarkEnd w:id="114"/>
      <w:bookmarkEnd w:id="115"/>
      <w:bookmarkEnd w:id="116"/>
      <w:bookmarkEnd w:id="117"/>
      <w:bookmarkEnd w:id="118"/>
      <w:bookmarkEnd w:id="119"/>
      <w:bookmarkEnd w:id="120"/>
      <w:bookmarkEnd w:id="121"/>
      <w:bookmarkEnd w:id="122"/>
      <w:r w:rsidR="00B34FB8">
        <w:rPr>
          <w:rFonts w:ascii="Times New Roman" w:hAnsi="Times New Roman"/>
          <w:b/>
          <w:bCs/>
          <w:sz w:val="24"/>
          <w:szCs w:val="24"/>
        </w:rPr>
        <w:t xml:space="preserve"> CGES</w:t>
      </w:r>
      <w:bookmarkEnd w:id="123"/>
    </w:p>
    <w:p w:rsidR="00A45EEC" w:rsidRPr="00A05698" w:rsidRDefault="00A45EEC" w:rsidP="00C51CB6">
      <w:pPr>
        <w:spacing w:before="120" w:after="120"/>
        <w:ind w:right="-142"/>
        <w:jc w:val="both"/>
        <w:rPr>
          <w:spacing w:val="-2"/>
        </w:rPr>
      </w:pPr>
      <w:r w:rsidRPr="00C51CB6">
        <w:rPr>
          <w:spacing w:val="-2"/>
        </w:rPr>
        <w:t xml:space="preserve">Durant cette phase, les informations et les données recueillies au moment des étapes antérieures sont </w:t>
      </w:r>
      <w:r w:rsidRPr="00A05698">
        <w:rPr>
          <w:spacing w:val="-2"/>
        </w:rPr>
        <w:t>traitées</w:t>
      </w:r>
      <w:r w:rsidR="00B66F61" w:rsidRPr="00A05698">
        <w:rPr>
          <w:spacing w:val="-2"/>
        </w:rPr>
        <w:t>,</w:t>
      </w:r>
      <w:r w:rsidRPr="00A05698">
        <w:rPr>
          <w:spacing w:val="-2"/>
        </w:rPr>
        <w:t xml:space="preserve"> </w:t>
      </w:r>
      <w:r w:rsidR="001F724D" w:rsidRPr="00A05698">
        <w:rPr>
          <w:spacing w:val="-2"/>
        </w:rPr>
        <w:t>analysées</w:t>
      </w:r>
      <w:r w:rsidR="00D37024" w:rsidRPr="00A05698">
        <w:rPr>
          <w:spacing w:val="-2"/>
        </w:rPr>
        <w:t>. Il permet de res</w:t>
      </w:r>
      <w:r w:rsidR="00B66F61" w:rsidRPr="00A05698">
        <w:rPr>
          <w:spacing w:val="-2"/>
        </w:rPr>
        <w:t>sortir les enjeux environnementaux et sociaux</w:t>
      </w:r>
      <w:r w:rsidR="001F724D" w:rsidRPr="00A05698">
        <w:rPr>
          <w:spacing w:val="-2"/>
        </w:rPr>
        <w:t xml:space="preserve"> </w:t>
      </w:r>
      <w:r w:rsidRPr="00A05698">
        <w:rPr>
          <w:spacing w:val="-2"/>
        </w:rPr>
        <w:t>pour en tirer les récepteurs sensibles du milieu c’est-à-dire ceux qui risquent de subir une perturbation une fois</w:t>
      </w:r>
      <w:r w:rsidR="00CD6E1B" w:rsidRPr="00A05698">
        <w:rPr>
          <w:spacing w:val="-2"/>
        </w:rPr>
        <w:t xml:space="preserve"> que</w:t>
      </w:r>
      <w:r w:rsidRPr="00A05698">
        <w:rPr>
          <w:spacing w:val="-2"/>
        </w:rPr>
        <w:t xml:space="preserve"> le projet </w:t>
      </w:r>
      <w:r w:rsidR="00CD6E1B" w:rsidRPr="00A05698">
        <w:rPr>
          <w:spacing w:val="-2"/>
        </w:rPr>
        <w:t xml:space="preserve">sera </w:t>
      </w:r>
      <w:r w:rsidRPr="00A05698">
        <w:rPr>
          <w:spacing w:val="-2"/>
        </w:rPr>
        <w:t>mis en œuvre et les vecteurs de modification ou sources de perturbation.</w:t>
      </w:r>
    </w:p>
    <w:p w:rsidR="0077349E" w:rsidRPr="00C51CB6" w:rsidRDefault="00A45EEC" w:rsidP="00C51CB6">
      <w:pPr>
        <w:spacing w:before="120" w:after="120"/>
        <w:ind w:right="-142"/>
        <w:jc w:val="both"/>
        <w:rPr>
          <w:spacing w:val="-2"/>
        </w:rPr>
      </w:pPr>
      <w:r w:rsidRPr="00A05698">
        <w:rPr>
          <w:spacing w:val="-2"/>
        </w:rPr>
        <w:t>Deux listes seront produites à partir de ce travail : une liste des principales activités des composantes du projet (durant toutes les phases) qui sont vecteurs de perturbations (sources d’impact) et une lis</w:t>
      </w:r>
      <w:r w:rsidR="009E0278" w:rsidRPr="00A05698">
        <w:rPr>
          <w:spacing w:val="-2"/>
        </w:rPr>
        <w:t>te des mesures d</w:t>
      </w:r>
      <w:r w:rsidR="00A05714" w:rsidRPr="00A05698">
        <w:rPr>
          <w:spacing w:val="-2"/>
        </w:rPr>
        <w:t>’</w:t>
      </w:r>
      <w:r w:rsidR="009E0278" w:rsidRPr="00A05698">
        <w:rPr>
          <w:spacing w:val="-2"/>
        </w:rPr>
        <w:t xml:space="preserve">accompagnement, </w:t>
      </w:r>
      <w:r w:rsidR="007C1E13" w:rsidRPr="00A05698">
        <w:rPr>
          <w:spacing w:val="-2"/>
        </w:rPr>
        <w:t xml:space="preserve">d’encadrement et de formation </w:t>
      </w:r>
      <w:r w:rsidRPr="00A05698">
        <w:rPr>
          <w:spacing w:val="-2"/>
        </w:rPr>
        <w:t>qu</w:t>
      </w:r>
      <w:r w:rsidR="00A05714" w:rsidRPr="00A05698">
        <w:rPr>
          <w:spacing w:val="-2"/>
        </w:rPr>
        <w:t>’</w:t>
      </w:r>
      <w:r w:rsidRPr="00A05698">
        <w:rPr>
          <w:spacing w:val="-2"/>
        </w:rPr>
        <w:t>il fau</w:t>
      </w:r>
      <w:r w:rsidR="00CA6EF3" w:rsidRPr="00A05698">
        <w:rPr>
          <w:spacing w:val="-2"/>
        </w:rPr>
        <w:t>dra</w:t>
      </w:r>
      <w:r w:rsidRPr="00A05698">
        <w:rPr>
          <w:spacing w:val="-2"/>
        </w:rPr>
        <w:t xml:space="preserve"> adopter pour assurer une meilleure qualité de l</w:t>
      </w:r>
      <w:r w:rsidR="00A05714" w:rsidRPr="00A05698">
        <w:rPr>
          <w:spacing w:val="-2"/>
        </w:rPr>
        <w:t>’</w:t>
      </w:r>
      <w:r w:rsidRPr="00A05698">
        <w:rPr>
          <w:spacing w:val="-2"/>
        </w:rPr>
        <w:t xml:space="preserve">environnement et de la santé humaine. </w:t>
      </w:r>
    </w:p>
    <w:p w:rsidR="00A45EEC" w:rsidRDefault="00A45EEC" w:rsidP="004F4212">
      <w:pPr>
        <w:spacing w:before="120" w:after="120"/>
        <w:ind w:left="-284" w:right="-142"/>
        <w:jc w:val="both"/>
        <w:rPr>
          <w:spacing w:val="-2"/>
        </w:rPr>
      </w:pPr>
    </w:p>
    <w:p w:rsidR="00C51CB6" w:rsidRDefault="00C51CB6" w:rsidP="004F4212">
      <w:pPr>
        <w:spacing w:before="120" w:after="120"/>
        <w:ind w:left="-284" w:right="-142"/>
        <w:jc w:val="both"/>
        <w:rPr>
          <w:spacing w:val="-2"/>
        </w:rPr>
      </w:pPr>
    </w:p>
    <w:p w:rsidR="00C51CB6" w:rsidRDefault="00C51CB6" w:rsidP="004F4212">
      <w:pPr>
        <w:spacing w:before="120" w:after="120"/>
        <w:ind w:left="-284" w:right="-142"/>
        <w:jc w:val="both"/>
        <w:rPr>
          <w:spacing w:val="-2"/>
        </w:rPr>
      </w:pPr>
    </w:p>
    <w:p w:rsidR="00C51CB6" w:rsidRDefault="00C51CB6" w:rsidP="004F4212">
      <w:pPr>
        <w:spacing w:before="120" w:after="120"/>
        <w:ind w:left="-284" w:right="-142"/>
        <w:jc w:val="both"/>
        <w:rPr>
          <w:spacing w:val="-2"/>
        </w:rPr>
      </w:pPr>
    </w:p>
    <w:p w:rsidR="00C51CB6" w:rsidRDefault="00C51CB6" w:rsidP="004F4212">
      <w:pPr>
        <w:spacing w:before="120" w:after="120"/>
        <w:ind w:left="-284" w:right="-142"/>
        <w:jc w:val="both"/>
        <w:rPr>
          <w:spacing w:val="-2"/>
        </w:rPr>
      </w:pPr>
    </w:p>
    <w:p w:rsidR="003B69F9" w:rsidRDefault="003B69F9" w:rsidP="004F4212">
      <w:pPr>
        <w:spacing w:before="120" w:after="120"/>
        <w:ind w:left="-284" w:right="-142"/>
        <w:jc w:val="both"/>
        <w:rPr>
          <w:spacing w:val="-2"/>
        </w:rPr>
      </w:pPr>
    </w:p>
    <w:p w:rsidR="00C51CB6" w:rsidRDefault="00C51CB6" w:rsidP="004F4212">
      <w:pPr>
        <w:spacing w:before="120" w:after="120"/>
        <w:ind w:left="-284" w:right="-142"/>
        <w:jc w:val="both"/>
        <w:rPr>
          <w:spacing w:val="-2"/>
        </w:rPr>
      </w:pPr>
    </w:p>
    <w:p w:rsidR="00A45EEC" w:rsidRPr="003B69F9" w:rsidRDefault="00A45EEC" w:rsidP="003B69F9">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left="0" w:right="-142" w:firstLine="0"/>
        <w:jc w:val="center"/>
        <w:outlineLvl w:val="0"/>
        <w:rPr>
          <w:rFonts w:ascii="Times New Roman" w:hAnsi="Times New Roman"/>
          <w:b/>
          <w:color w:val="002060"/>
          <w:sz w:val="28"/>
          <w:szCs w:val="28"/>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4" w:name="_Toc512871945"/>
      <w:bookmarkStart w:id="125" w:name="_Toc4070727"/>
      <w:bookmarkStart w:id="126" w:name="_Toc53716489"/>
      <w:bookmarkStart w:id="127" w:name="_Toc75432260"/>
      <w:r w:rsidRPr="003B69F9">
        <w:rPr>
          <w:rFonts w:ascii="Times New Roman" w:hAnsi="Times New Roman"/>
          <w:b/>
          <w:color w:val="002060"/>
          <w:sz w:val="28"/>
          <w:szCs w:val="28"/>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DESCRIPTION DU PROJET</w:t>
      </w:r>
      <w:bookmarkEnd w:id="124"/>
      <w:bookmarkEnd w:id="125"/>
      <w:bookmarkEnd w:id="126"/>
      <w:bookmarkEnd w:id="127"/>
    </w:p>
    <w:p w:rsidR="00211041" w:rsidRPr="00A05698" w:rsidRDefault="00211041" w:rsidP="004F4212">
      <w:pPr>
        <w:rPr>
          <w:b/>
          <w:bCs/>
        </w:rPr>
      </w:pPr>
      <w:bookmarkStart w:id="128" w:name="_Toc512871946"/>
      <w:bookmarkStart w:id="129" w:name="_Toc4070728"/>
    </w:p>
    <w:p w:rsidR="00E4121D" w:rsidRPr="00A05698" w:rsidRDefault="00DC40D7" w:rsidP="0084077E">
      <w:pPr>
        <w:pStyle w:val="PargrafodaLista"/>
        <w:spacing w:after="120" w:line="240" w:lineRule="auto"/>
        <w:ind w:left="1068"/>
        <w:outlineLvl w:val="1"/>
        <w:rPr>
          <w:rFonts w:ascii="Times New Roman" w:hAnsi="Times New Roman"/>
          <w:b/>
          <w:bCs/>
          <w:sz w:val="24"/>
          <w:szCs w:val="24"/>
        </w:rPr>
      </w:pPr>
      <w:bookmarkStart w:id="130" w:name="_Toc75432261"/>
      <w:bookmarkStart w:id="131" w:name="_Toc53716490"/>
      <w:r>
        <w:rPr>
          <w:rFonts w:ascii="Times New Roman" w:hAnsi="Times New Roman"/>
          <w:b/>
          <w:bCs/>
          <w:sz w:val="24"/>
          <w:szCs w:val="24"/>
        </w:rPr>
        <w:t>2</w:t>
      </w:r>
      <w:r w:rsidR="001C16FA" w:rsidRPr="00A05698">
        <w:rPr>
          <w:rFonts w:ascii="Times New Roman" w:hAnsi="Times New Roman"/>
          <w:b/>
          <w:bCs/>
          <w:sz w:val="24"/>
          <w:szCs w:val="24"/>
        </w:rPr>
        <w:t xml:space="preserve">.1 </w:t>
      </w:r>
      <w:bookmarkEnd w:id="128"/>
      <w:bookmarkEnd w:id="129"/>
      <w:r w:rsidR="001C16FA" w:rsidRPr="00A05698">
        <w:rPr>
          <w:rFonts w:ascii="Times New Roman" w:hAnsi="Times New Roman"/>
          <w:b/>
          <w:bCs/>
          <w:sz w:val="24"/>
          <w:szCs w:val="24"/>
        </w:rPr>
        <w:t>PRESENTATION DU PROJET</w:t>
      </w:r>
      <w:bookmarkEnd w:id="130"/>
      <w:r w:rsidR="001C16FA" w:rsidRPr="00A05698">
        <w:rPr>
          <w:rFonts w:ascii="Times New Roman" w:hAnsi="Times New Roman"/>
          <w:b/>
          <w:bCs/>
          <w:sz w:val="24"/>
          <w:szCs w:val="24"/>
        </w:rPr>
        <w:t xml:space="preserve"> </w:t>
      </w:r>
      <w:bookmarkEnd w:id="131"/>
    </w:p>
    <w:p w:rsidR="001A64DF" w:rsidRPr="00A05698" w:rsidRDefault="005001FF" w:rsidP="003B69F9">
      <w:pPr>
        <w:spacing w:before="120" w:after="120"/>
        <w:ind w:right="-142"/>
        <w:jc w:val="both"/>
      </w:pPr>
      <w:r w:rsidRPr="00A05698">
        <w:t xml:space="preserve">Le </w:t>
      </w:r>
      <w:r w:rsidR="00661F97" w:rsidRPr="00A05698">
        <w:t>Projet de</w:t>
      </w:r>
      <w:r w:rsidR="009016D4" w:rsidRPr="00A05698">
        <w:t xml:space="preserve"> Sécurité Alimentaire </w:t>
      </w:r>
      <w:r w:rsidR="00DC0B96" w:rsidRPr="00A05698">
        <w:t xml:space="preserve">d’urgence </w:t>
      </w:r>
      <w:r w:rsidR="009016D4" w:rsidRPr="00A05698">
        <w:t xml:space="preserve">en Guinée </w:t>
      </w:r>
      <w:r w:rsidR="00E4121D" w:rsidRPr="00A05698">
        <w:t>Bissau vise</w:t>
      </w:r>
      <w:r w:rsidR="0063137D" w:rsidRPr="00A05698">
        <w:t xml:space="preserve"> principalement à atténuer l</w:t>
      </w:r>
      <w:r w:rsidR="00A05714" w:rsidRPr="00A05698">
        <w:t>’</w:t>
      </w:r>
      <w:r w:rsidR="0063137D" w:rsidRPr="00A05698">
        <w:t>impact de la pandémie de COVID-19 sur la sécurité alimentaire et nutritionnelle de la Guinée-Bissau</w:t>
      </w:r>
      <w:r w:rsidR="00A12590" w:rsidRPr="00A05698">
        <w:t xml:space="preserve">. De </w:t>
      </w:r>
      <w:r w:rsidR="0063137D" w:rsidRPr="00A05698">
        <w:t>plus</w:t>
      </w:r>
      <w:r w:rsidR="00A12590" w:rsidRPr="00A05698">
        <w:t>, il vise à</w:t>
      </w:r>
      <w:r w:rsidR="0063137D" w:rsidRPr="00A05698">
        <w:t xml:space="preserve"> minimiser les risques liés à la commercialisation des noix de cajou. De manière générale, le projet contribue donc à la réalisation des objectifs de développement durable (SDG) sur l</w:t>
      </w:r>
      <w:r w:rsidR="00A05714" w:rsidRPr="00A05698">
        <w:t>’</w:t>
      </w:r>
      <w:r w:rsidR="0063137D" w:rsidRPr="00A05698">
        <w:t>élimination de la faim, la sécurité alimentaire et l</w:t>
      </w:r>
      <w:r w:rsidR="00A05714" w:rsidRPr="00A05698">
        <w:t>’</w:t>
      </w:r>
      <w:r w:rsidR="0063137D" w:rsidRPr="00A05698">
        <w:t>amélioration de la nutrition (SDG2) et SDG1 sur l</w:t>
      </w:r>
      <w:r w:rsidR="00A05714" w:rsidRPr="00A05698">
        <w:t>’</w:t>
      </w:r>
      <w:r w:rsidR="0063137D" w:rsidRPr="00A05698">
        <w:t xml:space="preserve">élimination de la pauvreté sous toutes ses formes. </w:t>
      </w:r>
      <w:r w:rsidR="00A12590" w:rsidRPr="00A05698">
        <w:t xml:space="preserve">Tous </w:t>
      </w:r>
      <w:r w:rsidR="008E0340" w:rsidRPr="00A05698">
        <w:t>l</w:t>
      </w:r>
      <w:r w:rsidR="00A12590" w:rsidRPr="00A05698">
        <w:t xml:space="preserve">es </w:t>
      </w:r>
      <w:r w:rsidR="00D01CFF" w:rsidRPr="00A05698">
        <w:t>objectifs</w:t>
      </w:r>
      <w:r w:rsidR="00A12590" w:rsidRPr="00A05698">
        <w:t xml:space="preserve"> du</w:t>
      </w:r>
      <w:r w:rsidR="0063137D" w:rsidRPr="00A05698">
        <w:t xml:space="preserve"> </w:t>
      </w:r>
      <w:r w:rsidR="00681BD5" w:rsidRPr="00A05698">
        <w:t>projet sont</w:t>
      </w:r>
      <w:r w:rsidR="0063137D" w:rsidRPr="00A05698">
        <w:t xml:space="preserve"> conforme</w:t>
      </w:r>
      <w:r w:rsidR="00A12590" w:rsidRPr="00A05698">
        <w:t>s</w:t>
      </w:r>
      <w:r w:rsidR="0063137D" w:rsidRPr="00A05698">
        <w:t xml:space="preserve"> à l</w:t>
      </w:r>
      <w:r w:rsidR="00A05714" w:rsidRPr="00A05698">
        <w:t>’</w:t>
      </w:r>
      <w:r w:rsidR="0063137D" w:rsidRPr="00A05698">
        <w:t>objectif stratégique de la Banque mondiale visant</w:t>
      </w:r>
      <w:r w:rsidR="00A12590" w:rsidRPr="00A05698">
        <w:t xml:space="preserve"> ainsi</w:t>
      </w:r>
      <w:r w:rsidR="0063137D" w:rsidRPr="00A05698">
        <w:t xml:space="preserve"> à mettre fin à l</w:t>
      </w:r>
      <w:r w:rsidR="00A05714" w:rsidRPr="00A05698">
        <w:t>’</w:t>
      </w:r>
      <w:r w:rsidR="0063137D" w:rsidRPr="00A05698">
        <w:t>extrême pauvreté.</w:t>
      </w:r>
    </w:p>
    <w:p w:rsidR="0063137D" w:rsidRPr="00A05698" w:rsidRDefault="0063137D" w:rsidP="003B69F9">
      <w:pPr>
        <w:spacing w:before="120" w:after="120"/>
        <w:ind w:right="-142"/>
        <w:jc w:val="both"/>
      </w:pPr>
      <w:r w:rsidRPr="00A05698">
        <w:t xml:space="preserve">Le projet est également en parfaite adéquation avec </w:t>
      </w:r>
      <w:r w:rsidR="006176D3" w:rsidRPr="00A05698">
        <w:t>« </w:t>
      </w:r>
      <w:r w:rsidRPr="00A05698">
        <w:t>Terra Ranka</w:t>
      </w:r>
      <w:r w:rsidR="006176D3" w:rsidRPr="00A05698">
        <w:t> »</w:t>
      </w:r>
      <w:r w:rsidRPr="00A05698">
        <w:t>, la stratégie de développement de la Guinée Bissau, qui place l</w:t>
      </w:r>
      <w:r w:rsidR="00A05714" w:rsidRPr="00A05698">
        <w:t>’</w:t>
      </w:r>
      <w:r w:rsidRPr="00A05698">
        <w:t>agriculture parmi les secteurs de croissance</w:t>
      </w:r>
      <w:r w:rsidR="008846B6" w:rsidRPr="00A05698">
        <w:t xml:space="preserve">. En effet, </w:t>
      </w:r>
      <w:r w:rsidR="00634095" w:rsidRPr="00A05698">
        <w:t>le présent projet</w:t>
      </w:r>
      <w:r w:rsidRPr="00A05698">
        <w:t xml:space="preserve"> cherch</w:t>
      </w:r>
      <w:r w:rsidR="00634095" w:rsidRPr="00A05698">
        <w:t>e</w:t>
      </w:r>
      <w:r w:rsidRPr="00A05698">
        <w:t xml:space="preserve"> à lutter contre l</w:t>
      </w:r>
      <w:r w:rsidR="00A05714" w:rsidRPr="00A05698">
        <w:t>’</w:t>
      </w:r>
      <w:r w:rsidRPr="00A05698">
        <w:t>insécurité alimentaire et à augmenter les revenus des producteurs de noix de cajou.</w:t>
      </w:r>
    </w:p>
    <w:p w:rsidR="001A11C6" w:rsidRPr="00A05698" w:rsidRDefault="0063137D" w:rsidP="003B69F9">
      <w:pPr>
        <w:spacing w:before="120" w:after="120"/>
        <w:ind w:right="-142"/>
        <w:jc w:val="both"/>
      </w:pPr>
      <w:r w:rsidRPr="00A05698">
        <w:t>En outre, le projet est pleinement aligné sur le Cadre de partenariat pays (CPP) du Groupe de la Banque mondiale pour 2018-2021. Le CPP vise à soutenir deux domaines d</w:t>
      </w:r>
      <w:r w:rsidR="00A05714" w:rsidRPr="00A05698">
        <w:t>’</w:t>
      </w:r>
      <w:r w:rsidRPr="00A05698">
        <w:t xml:space="preserve">intervention : </w:t>
      </w:r>
    </w:p>
    <w:p w:rsidR="001A11C6" w:rsidRPr="00A05698" w:rsidRDefault="0063137D" w:rsidP="003B69F9">
      <w:pPr>
        <w:pStyle w:val="PargrafodaLista"/>
        <w:numPr>
          <w:ilvl w:val="0"/>
          <w:numId w:val="101"/>
        </w:numPr>
        <w:spacing w:before="120" w:after="120"/>
        <w:ind w:left="851" w:right="-142"/>
        <w:jc w:val="both"/>
        <w:rPr>
          <w:rFonts w:ascii="Times New Roman" w:hAnsi="Times New Roman"/>
          <w:sz w:val="24"/>
          <w:szCs w:val="24"/>
        </w:rPr>
      </w:pPr>
      <w:r w:rsidRPr="00A05698">
        <w:rPr>
          <w:rFonts w:ascii="Times New Roman" w:hAnsi="Times New Roman"/>
          <w:sz w:val="24"/>
          <w:szCs w:val="24"/>
        </w:rPr>
        <w:t>améliorer l</w:t>
      </w:r>
      <w:r w:rsidR="00A05714" w:rsidRPr="00A05698">
        <w:rPr>
          <w:rFonts w:ascii="Times New Roman" w:hAnsi="Times New Roman"/>
          <w:sz w:val="24"/>
          <w:szCs w:val="24"/>
        </w:rPr>
        <w:t>’</w:t>
      </w:r>
      <w:r w:rsidRPr="00A05698">
        <w:rPr>
          <w:rFonts w:ascii="Times New Roman" w:hAnsi="Times New Roman"/>
          <w:sz w:val="24"/>
          <w:szCs w:val="24"/>
        </w:rPr>
        <w:t xml:space="preserve">accès à des services de base de qualité, et </w:t>
      </w:r>
    </w:p>
    <w:p w:rsidR="001A11C6" w:rsidRPr="00A05698" w:rsidRDefault="0063137D" w:rsidP="003B69F9">
      <w:pPr>
        <w:pStyle w:val="PargrafodaLista"/>
        <w:numPr>
          <w:ilvl w:val="0"/>
          <w:numId w:val="101"/>
        </w:numPr>
        <w:spacing w:before="120" w:after="120"/>
        <w:ind w:left="851" w:right="-142"/>
        <w:jc w:val="both"/>
        <w:rPr>
          <w:rFonts w:ascii="Times New Roman" w:hAnsi="Times New Roman"/>
          <w:sz w:val="24"/>
          <w:szCs w:val="24"/>
        </w:rPr>
      </w:pPr>
      <w:r w:rsidRPr="00A05698">
        <w:rPr>
          <w:rFonts w:ascii="Times New Roman" w:hAnsi="Times New Roman"/>
          <w:sz w:val="24"/>
          <w:szCs w:val="24"/>
        </w:rPr>
        <w:t xml:space="preserve">élargir les opportunités économiques et renforcer la résilience. </w:t>
      </w:r>
    </w:p>
    <w:p w:rsidR="0063137D" w:rsidRPr="00A05698" w:rsidRDefault="0063137D" w:rsidP="003B69F9">
      <w:pPr>
        <w:spacing w:before="120" w:after="120"/>
        <w:ind w:right="-142"/>
        <w:jc w:val="both"/>
      </w:pPr>
      <w:r w:rsidRPr="00A05698">
        <w:t>Cette opération tire parti de cette flexibilité pour répondre aux besoins immédiats de sécurité alimentaire des personnes en détresse, ce qui devrait avoir des effets tangibles sur la réduction de la pauvreté. En outre, l</w:t>
      </w:r>
      <w:r w:rsidR="00A05714" w:rsidRPr="00A05698">
        <w:t>’</w:t>
      </w:r>
      <w:r w:rsidRPr="00A05698">
        <w:t>opération contribue directement au deuxième pilier du cadre de réponse sociale de la Banque au COVID-19, car elle offre un soutien alimentaire aux ménages vulnérables et renforce leur résistance aux chocs.</w:t>
      </w:r>
    </w:p>
    <w:p w:rsidR="00651506" w:rsidRPr="00A05698" w:rsidRDefault="00DC40D7" w:rsidP="00431CDE">
      <w:pPr>
        <w:pStyle w:val="PargrafodaLista"/>
        <w:spacing w:after="0" w:line="240" w:lineRule="auto"/>
        <w:ind w:left="1068"/>
        <w:outlineLvl w:val="1"/>
        <w:rPr>
          <w:rFonts w:ascii="Times New Roman" w:hAnsi="Times New Roman"/>
          <w:b/>
          <w:bCs/>
          <w:sz w:val="24"/>
          <w:szCs w:val="24"/>
        </w:rPr>
      </w:pPr>
      <w:bookmarkStart w:id="132" w:name="_Toc75432262"/>
      <w:r>
        <w:rPr>
          <w:rFonts w:ascii="Times New Roman" w:hAnsi="Times New Roman"/>
          <w:b/>
          <w:bCs/>
          <w:sz w:val="24"/>
          <w:szCs w:val="24"/>
        </w:rPr>
        <w:t>2</w:t>
      </w:r>
      <w:r w:rsidR="007F54C9" w:rsidRPr="00A05698">
        <w:rPr>
          <w:rFonts w:ascii="Times New Roman" w:hAnsi="Times New Roman"/>
          <w:b/>
          <w:bCs/>
          <w:sz w:val="24"/>
          <w:szCs w:val="24"/>
        </w:rPr>
        <w:t>.2 OBJECTIF DU PROJET</w:t>
      </w:r>
      <w:r w:rsidR="00431CDE" w:rsidRPr="00A05698">
        <w:rPr>
          <w:rFonts w:ascii="Times New Roman" w:hAnsi="Times New Roman"/>
          <w:b/>
          <w:bCs/>
          <w:sz w:val="24"/>
          <w:szCs w:val="24"/>
        </w:rPr>
        <w:t xml:space="preserve"> PUSA</w:t>
      </w:r>
      <w:bookmarkEnd w:id="132"/>
    </w:p>
    <w:p w:rsidR="00431CDE" w:rsidRPr="00A05698" w:rsidRDefault="00431CDE" w:rsidP="00431CDE">
      <w:pPr>
        <w:pStyle w:val="PargrafodaLista"/>
        <w:tabs>
          <w:tab w:val="left" w:pos="547"/>
          <w:tab w:val="left" w:pos="720"/>
        </w:tabs>
        <w:spacing w:after="0" w:line="240" w:lineRule="auto"/>
        <w:ind w:left="0"/>
        <w:contextualSpacing w:val="0"/>
        <w:jc w:val="both"/>
        <w:rPr>
          <w:rFonts w:ascii="Times New Roman" w:hAnsi="Times New Roman"/>
          <w:b/>
          <w:sz w:val="24"/>
          <w:szCs w:val="24"/>
        </w:rPr>
      </w:pPr>
    </w:p>
    <w:p w:rsidR="00D8067D" w:rsidRPr="00A05698" w:rsidRDefault="00305BD7" w:rsidP="001014A2">
      <w:pPr>
        <w:pStyle w:val="PargrafodaLista"/>
        <w:tabs>
          <w:tab w:val="left" w:pos="547"/>
          <w:tab w:val="left" w:pos="720"/>
        </w:tabs>
        <w:spacing w:after="0" w:line="240" w:lineRule="auto"/>
        <w:ind w:left="0"/>
        <w:contextualSpacing w:val="0"/>
        <w:jc w:val="both"/>
        <w:rPr>
          <w:rFonts w:ascii="Times New Roman" w:hAnsi="Times New Roman"/>
          <w:sz w:val="24"/>
          <w:szCs w:val="24"/>
        </w:rPr>
      </w:pPr>
      <w:r w:rsidRPr="00A05698">
        <w:rPr>
          <w:rFonts w:ascii="Times New Roman" w:hAnsi="Times New Roman"/>
          <w:b/>
          <w:sz w:val="24"/>
          <w:szCs w:val="24"/>
        </w:rPr>
        <w:t>Les objectifs du projet sont les suivants :</w:t>
      </w:r>
      <w:r w:rsidRPr="00A05698">
        <w:rPr>
          <w:rFonts w:ascii="Times New Roman" w:hAnsi="Times New Roman"/>
          <w:sz w:val="24"/>
          <w:szCs w:val="24"/>
        </w:rPr>
        <w:t xml:space="preserve"> </w:t>
      </w:r>
    </w:p>
    <w:p w:rsidR="00D8067D" w:rsidRPr="00A05698" w:rsidRDefault="00D8067D" w:rsidP="002B7882">
      <w:pPr>
        <w:pStyle w:val="PargrafodaLista"/>
        <w:numPr>
          <w:ilvl w:val="0"/>
          <w:numId w:val="285"/>
        </w:numPr>
        <w:tabs>
          <w:tab w:val="left" w:pos="547"/>
          <w:tab w:val="left" w:pos="720"/>
        </w:tabs>
        <w:spacing w:before="120"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w:t>
      </w:r>
      <w:r w:rsidR="00EB42D3" w:rsidRPr="00A05698">
        <w:rPr>
          <w:rFonts w:ascii="Times New Roman" w:hAnsi="Times New Roman"/>
          <w:sz w:val="24"/>
          <w:szCs w:val="24"/>
        </w:rPr>
        <w:t>Soutenir</w:t>
      </w:r>
      <w:r w:rsidR="00305BD7" w:rsidRPr="00A05698">
        <w:rPr>
          <w:rFonts w:ascii="Times New Roman" w:hAnsi="Times New Roman"/>
          <w:sz w:val="24"/>
          <w:szCs w:val="24"/>
        </w:rPr>
        <w:t xml:space="preserve"> l</w:t>
      </w:r>
      <w:r w:rsidR="00A05714" w:rsidRPr="00A05698">
        <w:rPr>
          <w:rFonts w:ascii="Times New Roman" w:hAnsi="Times New Roman"/>
          <w:sz w:val="24"/>
          <w:szCs w:val="24"/>
        </w:rPr>
        <w:t>’</w:t>
      </w:r>
      <w:r w:rsidR="00305BD7" w:rsidRPr="00A05698">
        <w:rPr>
          <w:rFonts w:ascii="Times New Roman" w:hAnsi="Times New Roman"/>
          <w:sz w:val="24"/>
          <w:szCs w:val="24"/>
        </w:rPr>
        <w:t xml:space="preserve">augmentation de la production de cultures vivrières ; </w:t>
      </w:r>
    </w:p>
    <w:p w:rsidR="00EB42D3" w:rsidRPr="00A05698" w:rsidRDefault="00EB42D3" w:rsidP="002B7882">
      <w:pPr>
        <w:pStyle w:val="PargrafodaLista"/>
        <w:numPr>
          <w:ilvl w:val="0"/>
          <w:numId w:val="285"/>
        </w:numPr>
        <w:tabs>
          <w:tab w:val="left" w:pos="547"/>
          <w:tab w:val="left" w:pos="720"/>
        </w:tabs>
        <w:spacing w:before="120"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Accroître</w:t>
      </w:r>
      <w:r w:rsidR="00305BD7" w:rsidRPr="00A05698">
        <w:rPr>
          <w:rFonts w:ascii="Times New Roman" w:hAnsi="Times New Roman"/>
          <w:sz w:val="24"/>
          <w:szCs w:val="24"/>
        </w:rPr>
        <w:t xml:space="preserve"> l</w:t>
      </w:r>
      <w:r w:rsidR="00A05714" w:rsidRPr="00A05698">
        <w:rPr>
          <w:rFonts w:ascii="Times New Roman" w:hAnsi="Times New Roman"/>
          <w:sz w:val="24"/>
          <w:szCs w:val="24"/>
        </w:rPr>
        <w:t>’</w:t>
      </w:r>
      <w:r w:rsidR="00305BD7" w:rsidRPr="00A05698">
        <w:rPr>
          <w:rFonts w:ascii="Times New Roman" w:hAnsi="Times New Roman"/>
          <w:sz w:val="24"/>
          <w:szCs w:val="24"/>
        </w:rPr>
        <w:t>accès des ménages en situation d</w:t>
      </w:r>
      <w:r w:rsidR="00A05714" w:rsidRPr="00A05698">
        <w:rPr>
          <w:rFonts w:ascii="Times New Roman" w:hAnsi="Times New Roman"/>
          <w:sz w:val="24"/>
          <w:szCs w:val="24"/>
        </w:rPr>
        <w:t>’</w:t>
      </w:r>
      <w:r w:rsidR="00305BD7" w:rsidRPr="00A05698">
        <w:rPr>
          <w:rFonts w:ascii="Times New Roman" w:hAnsi="Times New Roman"/>
          <w:sz w:val="24"/>
          <w:szCs w:val="24"/>
        </w:rPr>
        <w:t xml:space="preserve">insécurité alimentaire aux denrées alimentaires destinées à la consommation ; et </w:t>
      </w:r>
    </w:p>
    <w:p w:rsidR="00AD530A" w:rsidRPr="00A05698" w:rsidRDefault="00EB42D3" w:rsidP="002B7882">
      <w:pPr>
        <w:pStyle w:val="PargrafodaLista"/>
        <w:numPr>
          <w:ilvl w:val="0"/>
          <w:numId w:val="285"/>
        </w:numPr>
        <w:tabs>
          <w:tab w:val="left" w:pos="547"/>
          <w:tab w:val="left" w:pos="720"/>
        </w:tabs>
        <w:spacing w:before="120"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Contribuer</w:t>
      </w:r>
      <w:r w:rsidR="00305BD7" w:rsidRPr="00A05698">
        <w:rPr>
          <w:rFonts w:ascii="Times New Roman" w:hAnsi="Times New Roman"/>
          <w:sz w:val="24"/>
          <w:szCs w:val="24"/>
        </w:rPr>
        <w:t xml:space="preserve"> à réduire la vulnérabilité du secteur de la noix de cajou aux risques du marché. </w:t>
      </w:r>
    </w:p>
    <w:p w:rsidR="006A0494" w:rsidRPr="00A05698" w:rsidRDefault="00DC40D7" w:rsidP="008E0340">
      <w:pPr>
        <w:pStyle w:val="PargrafodaLista"/>
        <w:spacing w:after="120" w:line="240" w:lineRule="auto"/>
        <w:ind w:left="1068"/>
        <w:outlineLvl w:val="1"/>
        <w:rPr>
          <w:rFonts w:ascii="Times New Roman" w:hAnsi="Times New Roman"/>
          <w:b/>
          <w:bCs/>
          <w:sz w:val="24"/>
          <w:szCs w:val="24"/>
        </w:rPr>
      </w:pPr>
      <w:bookmarkStart w:id="133" w:name="_Toc53716491"/>
      <w:bookmarkStart w:id="134" w:name="_Toc75432263"/>
      <w:r>
        <w:rPr>
          <w:rFonts w:ascii="Times New Roman" w:hAnsi="Times New Roman"/>
          <w:b/>
          <w:bCs/>
          <w:sz w:val="24"/>
          <w:szCs w:val="24"/>
        </w:rPr>
        <w:t>2</w:t>
      </w:r>
      <w:r w:rsidR="007F54C9" w:rsidRPr="00A05698">
        <w:rPr>
          <w:rFonts w:ascii="Times New Roman" w:hAnsi="Times New Roman"/>
          <w:b/>
          <w:bCs/>
          <w:sz w:val="24"/>
          <w:szCs w:val="24"/>
        </w:rPr>
        <w:t>.3</w:t>
      </w:r>
      <w:r w:rsidR="00692030" w:rsidRPr="00A05698">
        <w:rPr>
          <w:rFonts w:ascii="Times New Roman" w:hAnsi="Times New Roman"/>
          <w:b/>
          <w:bCs/>
          <w:sz w:val="24"/>
          <w:szCs w:val="24"/>
        </w:rPr>
        <w:t xml:space="preserve"> </w:t>
      </w:r>
      <w:r w:rsidR="00EB52C7" w:rsidRPr="00A05698">
        <w:rPr>
          <w:rFonts w:ascii="Times New Roman" w:hAnsi="Times New Roman"/>
          <w:b/>
          <w:bCs/>
          <w:sz w:val="24"/>
          <w:szCs w:val="24"/>
        </w:rPr>
        <w:t>COMPOSANTES DU PROJET</w:t>
      </w:r>
      <w:bookmarkEnd w:id="133"/>
      <w:bookmarkEnd w:id="134"/>
    </w:p>
    <w:p w:rsidR="00EB7DB0" w:rsidRPr="00A05698" w:rsidRDefault="00EB7DB0" w:rsidP="004F4212">
      <w:pPr>
        <w:pStyle w:val="PargrafodaLista"/>
        <w:tabs>
          <w:tab w:val="left" w:pos="547"/>
          <w:tab w:val="left" w:pos="720"/>
        </w:tabs>
        <w:spacing w:after="120" w:line="240" w:lineRule="auto"/>
        <w:ind w:left="0"/>
        <w:contextualSpacing w:val="0"/>
        <w:jc w:val="both"/>
        <w:rPr>
          <w:rFonts w:ascii="Times New Roman" w:hAnsi="Times New Roman"/>
          <w:sz w:val="24"/>
          <w:szCs w:val="24"/>
        </w:rPr>
      </w:pPr>
      <w:r w:rsidRPr="00A05698">
        <w:rPr>
          <w:rFonts w:ascii="Times New Roman" w:hAnsi="Times New Roman"/>
          <w:sz w:val="24"/>
          <w:szCs w:val="24"/>
        </w:rPr>
        <w:t>Le projet sera organisé autour de trois composantes principales décrites ci-dessous.</w:t>
      </w:r>
    </w:p>
    <w:p w:rsidR="00EB7DB0" w:rsidRPr="00A05698" w:rsidRDefault="00EB7DB0" w:rsidP="00157035">
      <w:pPr>
        <w:pStyle w:val="PargrafodaLista"/>
        <w:numPr>
          <w:ilvl w:val="0"/>
          <w:numId w:val="37"/>
        </w:numPr>
        <w:tabs>
          <w:tab w:val="left" w:pos="547"/>
        </w:tabs>
        <w:spacing w:before="480" w:after="360" w:line="240" w:lineRule="auto"/>
        <w:jc w:val="both"/>
        <w:outlineLvl w:val="0"/>
        <w:rPr>
          <w:rFonts w:ascii="Times New Roman" w:hAnsi="Times New Roman"/>
          <w:b/>
          <w:sz w:val="24"/>
          <w:szCs w:val="24"/>
          <w:u w:val="single"/>
        </w:rPr>
      </w:pPr>
      <w:bookmarkStart w:id="135" w:name="_Toc69918666"/>
      <w:bookmarkStart w:id="136" w:name="_Toc73452862"/>
      <w:bookmarkStart w:id="137" w:name="_Toc73459708"/>
      <w:bookmarkStart w:id="138" w:name="_Toc75432264"/>
      <w:r w:rsidRPr="00A05698">
        <w:rPr>
          <w:rFonts w:ascii="Times New Roman" w:hAnsi="Times New Roman"/>
          <w:b/>
          <w:sz w:val="24"/>
          <w:szCs w:val="24"/>
          <w:u w:val="single"/>
        </w:rPr>
        <w:t>Composante 1 : Soutien à la production agricole (10 millions de dollars US)</w:t>
      </w:r>
      <w:bookmarkEnd w:id="135"/>
      <w:bookmarkEnd w:id="136"/>
      <w:bookmarkEnd w:id="137"/>
      <w:bookmarkEnd w:id="138"/>
    </w:p>
    <w:p w:rsidR="00B64130" w:rsidRPr="00A05698" w:rsidRDefault="00EB7DB0" w:rsidP="001014A2">
      <w:pPr>
        <w:spacing w:before="120" w:after="120"/>
        <w:ind w:right="-142"/>
        <w:jc w:val="both"/>
      </w:pPr>
      <w:r w:rsidRPr="00A05698">
        <w:t>L</w:t>
      </w:r>
      <w:r w:rsidR="00A05714" w:rsidRPr="00A05698">
        <w:t>’</w:t>
      </w:r>
      <w:r w:rsidRPr="00A05698">
        <w:t>objectif de cette composante est de soutenir une réponse accélérée de l</w:t>
      </w:r>
      <w:r w:rsidR="00A05714" w:rsidRPr="00A05698">
        <w:t>’</w:t>
      </w:r>
      <w:r w:rsidRPr="00A05698">
        <w:t>offre axée sur la préservation/restauration de la capacité de production des agriculteurs éligibles, afin de leur permettre de s</w:t>
      </w:r>
      <w:r w:rsidR="00A05714" w:rsidRPr="00A05698">
        <w:t>’</w:t>
      </w:r>
      <w:r w:rsidRPr="00A05698">
        <w:t xml:space="preserve">engager efficacement dans la production continue et élargie de denrées alimentaires de base essentielles à court - ou moyen - terme (6-24 mois).  </w:t>
      </w:r>
    </w:p>
    <w:p w:rsidR="00B64130" w:rsidRPr="00A05698" w:rsidRDefault="00EB7DB0" w:rsidP="004F4212">
      <w:pPr>
        <w:pStyle w:val="PargrafodaLista"/>
        <w:tabs>
          <w:tab w:val="left" w:pos="547"/>
          <w:tab w:val="left" w:pos="720"/>
        </w:tabs>
        <w:spacing w:after="120" w:line="240" w:lineRule="auto"/>
        <w:ind w:left="0"/>
        <w:contextualSpacing w:val="0"/>
        <w:jc w:val="both"/>
        <w:rPr>
          <w:rFonts w:ascii="Times New Roman" w:hAnsi="Times New Roman"/>
          <w:b/>
          <w:sz w:val="24"/>
          <w:szCs w:val="24"/>
          <w:u w:val="single"/>
        </w:rPr>
      </w:pPr>
      <w:r w:rsidRPr="00A05698">
        <w:rPr>
          <w:rFonts w:ascii="Times New Roman" w:hAnsi="Times New Roman"/>
          <w:b/>
          <w:sz w:val="24"/>
          <w:szCs w:val="24"/>
          <w:u w:val="single"/>
        </w:rPr>
        <w:t xml:space="preserve">Le projet </w:t>
      </w:r>
      <w:r w:rsidR="002712BB" w:rsidRPr="00A05698">
        <w:rPr>
          <w:rFonts w:ascii="Times New Roman" w:hAnsi="Times New Roman"/>
          <w:b/>
          <w:sz w:val="24"/>
          <w:szCs w:val="24"/>
          <w:u w:val="single"/>
        </w:rPr>
        <w:t>financ</w:t>
      </w:r>
      <w:r w:rsidR="002712BB">
        <w:rPr>
          <w:rFonts w:ascii="Times New Roman" w:hAnsi="Times New Roman"/>
          <w:b/>
          <w:sz w:val="24"/>
          <w:szCs w:val="24"/>
          <w:u w:val="single"/>
        </w:rPr>
        <w:t>era</w:t>
      </w:r>
      <w:r w:rsidR="002712BB" w:rsidRPr="00A05698">
        <w:rPr>
          <w:rFonts w:ascii="Times New Roman" w:hAnsi="Times New Roman"/>
          <w:b/>
          <w:sz w:val="24"/>
          <w:szCs w:val="24"/>
          <w:u w:val="single"/>
        </w:rPr>
        <w:t xml:space="preserve"> :</w:t>
      </w:r>
      <w:r w:rsidRPr="00A05698">
        <w:rPr>
          <w:rFonts w:ascii="Times New Roman" w:hAnsi="Times New Roman"/>
          <w:b/>
          <w:sz w:val="24"/>
          <w:szCs w:val="24"/>
          <w:u w:val="single"/>
        </w:rPr>
        <w:t xml:space="preserve"> </w:t>
      </w:r>
    </w:p>
    <w:p w:rsidR="00B64130" w:rsidRPr="00A05698" w:rsidRDefault="00EB7DB0" w:rsidP="004F0DC1">
      <w:pPr>
        <w:pStyle w:val="PargrafodaLista"/>
        <w:numPr>
          <w:ilvl w:val="0"/>
          <w:numId w:val="27"/>
        </w:numPr>
        <w:tabs>
          <w:tab w:val="left" w:pos="547"/>
          <w:tab w:val="left" w:pos="720"/>
        </w:tabs>
        <w:spacing w:after="120" w:line="240" w:lineRule="auto"/>
        <w:ind w:left="709"/>
        <w:contextualSpacing w:val="0"/>
        <w:jc w:val="both"/>
        <w:rPr>
          <w:rFonts w:ascii="Times New Roman" w:hAnsi="Times New Roman"/>
          <w:sz w:val="24"/>
          <w:szCs w:val="24"/>
        </w:rPr>
      </w:pPr>
      <w:r w:rsidRPr="00A05698">
        <w:rPr>
          <w:rFonts w:ascii="Times New Roman" w:hAnsi="Times New Roman"/>
          <w:sz w:val="24"/>
          <w:szCs w:val="24"/>
        </w:rPr>
        <w:t>l</w:t>
      </w:r>
      <w:r w:rsidR="00A05714" w:rsidRPr="00A05698">
        <w:rPr>
          <w:rFonts w:ascii="Times New Roman" w:hAnsi="Times New Roman"/>
          <w:sz w:val="24"/>
          <w:szCs w:val="24"/>
        </w:rPr>
        <w:t>’</w:t>
      </w:r>
      <w:r w:rsidRPr="00A05698">
        <w:rPr>
          <w:rFonts w:ascii="Times New Roman" w:hAnsi="Times New Roman"/>
          <w:sz w:val="24"/>
          <w:szCs w:val="24"/>
        </w:rPr>
        <w:t>achat et la distribution de semences et de matériel de plantation améliorés, en mettant l</w:t>
      </w:r>
      <w:r w:rsidR="00A05714" w:rsidRPr="00A05698">
        <w:rPr>
          <w:rFonts w:ascii="Times New Roman" w:hAnsi="Times New Roman"/>
          <w:sz w:val="24"/>
          <w:szCs w:val="24"/>
        </w:rPr>
        <w:t>’</w:t>
      </w:r>
      <w:r w:rsidRPr="00A05698">
        <w:rPr>
          <w:rFonts w:ascii="Times New Roman" w:hAnsi="Times New Roman"/>
          <w:sz w:val="24"/>
          <w:szCs w:val="24"/>
        </w:rPr>
        <w:t xml:space="preserve">accent sur les cultures et les légumes essentiels à la sécurité alimentaire ; </w:t>
      </w:r>
    </w:p>
    <w:p w:rsidR="00B64130" w:rsidRPr="00A05698" w:rsidRDefault="006A0494" w:rsidP="004F0DC1">
      <w:pPr>
        <w:pStyle w:val="PargrafodaLista"/>
        <w:numPr>
          <w:ilvl w:val="0"/>
          <w:numId w:val="27"/>
        </w:numPr>
        <w:tabs>
          <w:tab w:val="left" w:pos="547"/>
          <w:tab w:val="left" w:pos="720"/>
        </w:tabs>
        <w:spacing w:after="120" w:line="240" w:lineRule="auto"/>
        <w:ind w:left="709"/>
        <w:contextualSpacing w:val="0"/>
        <w:jc w:val="both"/>
        <w:rPr>
          <w:rFonts w:ascii="Times New Roman" w:hAnsi="Times New Roman"/>
          <w:sz w:val="24"/>
          <w:szCs w:val="24"/>
        </w:rPr>
      </w:pPr>
      <w:r w:rsidRPr="00A05698">
        <w:rPr>
          <w:rFonts w:ascii="Times New Roman" w:hAnsi="Times New Roman"/>
          <w:sz w:val="24"/>
          <w:szCs w:val="24"/>
        </w:rPr>
        <w:lastRenderedPageBreak/>
        <w:t xml:space="preserve"> </w:t>
      </w:r>
      <w:r w:rsidR="00EB7DB0" w:rsidRPr="00A05698">
        <w:rPr>
          <w:rFonts w:ascii="Times New Roman" w:hAnsi="Times New Roman"/>
          <w:sz w:val="24"/>
          <w:szCs w:val="24"/>
        </w:rPr>
        <w:t>l</w:t>
      </w:r>
      <w:r w:rsidR="00A05714" w:rsidRPr="00A05698">
        <w:rPr>
          <w:rFonts w:ascii="Times New Roman" w:hAnsi="Times New Roman"/>
          <w:sz w:val="24"/>
          <w:szCs w:val="24"/>
        </w:rPr>
        <w:t>’</w:t>
      </w:r>
      <w:r w:rsidR="00EB7DB0" w:rsidRPr="00A05698">
        <w:rPr>
          <w:rFonts w:ascii="Times New Roman" w:hAnsi="Times New Roman"/>
          <w:sz w:val="24"/>
          <w:szCs w:val="24"/>
        </w:rPr>
        <w:t>accès au matériel et à la main-d</w:t>
      </w:r>
      <w:r w:rsidR="00A05714" w:rsidRPr="00A05698">
        <w:rPr>
          <w:rFonts w:ascii="Times New Roman" w:hAnsi="Times New Roman"/>
          <w:sz w:val="24"/>
          <w:szCs w:val="24"/>
        </w:rPr>
        <w:t>’</w:t>
      </w:r>
      <w:r w:rsidR="00EB7DB0" w:rsidRPr="00A05698">
        <w:rPr>
          <w:rFonts w:ascii="Times New Roman" w:hAnsi="Times New Roman"/>
          <w:sz w:val="24"/>
          <w:szCs w:val="24"/>
        </w:rPr>
        <w:t xml:space="preserve">œuvre agricoles nécessaires ; et </w:t>
      </w:r>
    </w:p>
    <w:p w:rsidR="00E34814" w:rsidRPr="00A05698" w:rsidRDefault="006A0494" w:rsidP="004F0DC1">
      <w:pPr>
        <w:pStyle w:val="PargrafodaLista"/>
        <w:numPr>
          <w:ilvl w:val="0"/>
          <w:numId w:val="27"/>
        </w:numPr>
        <w:tabs>
          <w:tab w:val="left" w:pos="547"/>
          <w:tab w:val="left" w:pos="720"/>
        </w:tabs>
        <w:spacing w:after="120" w:line="240" w:lineRule="auto"/>
        <w:ind w:left="709"/>
        <w:contextualSpacing w:val="0"/>
        <w:jc w:val="both"/>
        <w:rPr>
          <w:rFonts w:ascii="Times New Roman" w:hAnsi="Times New Roman"/>
          <w:sz w:val="24"/>
          <w:szCs w:val="24"/>
        </w:rPr>
      </w:pPr>
      <w:r w:rsidRPr="00A05698">
        <w:rPr>
          <w:rFonts w:ascii="Times New Roman" w:hAnsi="Times New Roman"/>
          <w:sz w:val="24"/>
          <w:szCs w:val="24"/>
        </w:rPr>
        <w:t xml:space="preserve"> </w:t>
      </w:r>
      <w:r w:rsidR="00EB7DB0" w:rsidRPr="00A05698">
        <w:rPr>
          <w:rFonts w:ascii="Times New Roman" w:hAnsi="Times New Roman"/>
          <w:sz w:val="24"/>
          <w:szCs w:val="24"/>
        </w:rPr>
        <w:t>la fourniture des services de conseil requis pour soutenir l</w:t>
      </w:r>
      <w:r w:rsidR="00A05714" w:rsidRPr="00A05698">
        <w:rPr>
          <w:rFonts w:ascii="Times New Roman" w:hAnsi="Times New Roman"/>
          <w:sz w:val="24"/>
          <w:szCs w:val="24"/>
        </w:rPr>
        <w:t>’</w:t>
      </w:r>
      <w:r w:rsidR="00EB7DB0" w:rsidRPr="00A05698">
        <w:rPr>
          <w:rFonts w:ascii="Times New Roman" w:hAnsi="Times New Roman"/>
          <w:sz w:val="24"/>
          <w:szCs w:val="24"/>
        </w:rPr>
        <w:t xml:space="preserve">amélioration de la production, de la productivité et de la résilience des systèmes de production au changement climatique. </w:t>
      </w:r>
    </w:p>
    <w:p w:rsidR="003B1852" w:rsidRPr="00A05698" w:rsidRDefault="00EB7DB0" w:rsidP="001014A2">
      <w:pPr>
        <w:spacing w:before="120" w:after="120"/>
        <w:ind w:right="-142"/>
        <w:jc w:val="both"/>
      </w:pPr>
      <w:r w:rsidRPr="00A05698">
        <w:t>Une attention particulière sera accordée aux cultures maraîchères, une activité agricole importante dans les zones urbaines et périurbaines, qui est principalement une vocation féminine. Lorsqu</w:t>
      </w:r>
      <w:r w:rsidR="00A05714" w:rsidRPr="00A05698">
        <w:t>’</w:t>
      </w:r>
      <w:r w:rsidRPr="00A05698">
        <w:t>il sera jugé essentiel pour la sécurité alimentaire des ménages, le projet soutiendra les services d</w:t>
      </w:r>
      <w:r w:rsidR="00A05714" w:rsidRPr="00A05698">
        <w:t>’</w:t>
      </w:r>
      <w:r w:rsidRPr="00A05698">
        <w:t xml:space="preserve">élevage, notamment la vaccination, le déparasitage et la gestion des maladies. </w:t>
      </w:r>
    </w:p>
    <w:p w:rsidR="00EB7DB0" w:rsidRPr="00A05698" w:rsidRDefault="00EB7DB0" w:rsidP="001014A2">
      <w:pPr>
        <w:spacing w:before="120" w:after="120"/>
        <w:ind w:right="-142"/>
        <w:jc w:val="both"/>
      </w:pPr>
      <w:r w:rsidRPr="00A05698">
        <w:t>En outre, les activités soutenues au titre de cette composante investiront dans les techniques et pratiques d</w:t>
      </w:r>
      <w:r w:rsidR="00A05714" w:rsidRPr="00A05698">
        <w:t>’</w:t>
      </w:r>
      <w:r w:rsidRPr="00A05698">
        <w:t>agriculture intelligente sur le plan climatique (CSA), les semences résistantes à la sécheresse et le renforcement des capacités des agriculteurs. Pour faciliter un ciblage approprié, le projet évaluera également la vulnérabilité des différentes populations par le biais d</w:t>
      </w:r>
      <w:r w:rsidR="00A05714" w:rsidRPr="00A05698">
        <w:t>’</w:t>
      </w:r>
      <w:r w:rsidRPr="00A05698">
        <w:t>une Mission d</w:t>
      </w:r>
      <w:r w:rsidR="00A05714" w:rsidRPr="00A05698">
        <w:t>’</w:t>
      </w:r>
      <w:r w:rsidRPr="00A05698">
        <w:t>Évaluation rapide des Récoltes et de la Sécurité alimentaire.</w:t>
      </w:r>
    </w:p>
    <w:p w:rsidR="00EB7DB0" w:rsidRPr="00A05698" w:rsidRDefault="00EB7DB0" w:rsidP="001014A2">
      <w:pPr>
        <w:spacing w:before="120" w:after="120"/>
        <w:ind w:right="-142"/>
        <w:jc w:val="both"/>
      </w:pPr>
      <w:r w:rsidRPr="00A05698">
        <w:t>Les activités relevant de ce volet seront mises en œuvre en partenariat avec la FAO et soutenues au cours de deux campagnes agricoles, en commençant par la campagne agricole actuelle.</w:t>
      </w:r>
    </w:p>
    <w:p w:rsidR="00EB7DB0" w:rsidRPr="00A05698" w:rsidRDefault="00EB7DB0" w:rsidP="00157035">
      <w:pPr>
        <w:pStyle w:val="PargrafodaLista"/>
        <w:numPr>
          <w:ilvl w:val="0"/>
          <w:numId w:val="38"/>
        </w:numPr>
        <w:tabs>
          <w:tab w:val="left" w:pos="547"/>
          <w:tab w:val="left" w:pos="720"/>
        </w:tabs>
        <w:spacing w:after="160" w:line="240" w:lineRule="auto"/>
        <w:contextualSpacing w:val="0"/>
        <w:jc w:val="both"/>
        <w:outlineLvl w:val="0"/>
        <w:rPr>
          <w:rFonts w:ascii="Times New Roman" w:hAnsi="Times New Roman"/>
          <w:b/>
          <w:sz w:val="24"/>
          <w:szCs w:val="24"/>
          <w:u w:val="single"/>
        </w:rPr>
      </w:pPr>
      <w:bookmarkStart w:id="139" w:name="_Toc69918667"/>
      <w:bookmarkStart w:id="140" w:name="_Toc73452863"/>
      <w:bookmarkStart w:id="141" w:name="_Toc73459709"/>
      <w:bookmarkStart w:id="142" w:name="_Toc75432265"/>
      <w:r w:rsidRPr="00A05698">
        <w:rPr>
          <w:rFonts w:ascii="Times New Roman" w:hAnsi="Times New Roman"/>
          <w:b/>
          <w:sz w:val="24"/>
          <w:szCs w:val="24"/>
          <w:u w:val="single"/>
        </w:rPr>
        <w:t>Composante 2 : Soutien aux Filets de Sécurité communautaires (2,5 millions de dollars US)</w:t>
      </w:r>
      <w:bookmarkEnd w:id="139"/>
      <w:bookmarkEnd w:id="140"/>
      <w:bookmarkEnd w:id="141"/>
      <w:bookmarkEnd w:id="142"/>
    </w:p>
    <w:p w:rsidR="00EB7DB0" w:rsidRPr="00A05698" w:rsidRDefault="00EB7DB0" w:rsidP="00431F71">
      <w:pPr>
        <w:spacing w:before="120" w:after="120"/>
        <w:ind w:right="-142"/>
        <w:jc w:val="both"/>
      </w:pPr>
      <w:r w:rsidRPr="00A05698">
        <w:t>Le choc pandémique Covid-19 sur le secteur de la noix de cajou devrait entraîner des pertes d</w:t>
      </w:r>
      <w:r w:rsidR="00A05714" w:rsidRPr="00A05698">
        <w:t>’</w:t>
      </w:r>
      <w:r w:rsidRPr="00A05698">
        <w:t>emplois tout au long de la chaîne de valeur.  L</w:t>
      </w:r>
      <w:r w:rsidR="00A05714" w:rsidRPr="00A05698">
        <w:t>’</w:t>
      </w:r>
      <w:r w:rsidRPr="00A05698">
        <w:t>impact de ces pertes d</w:t>
      </w:r>
      <w:r w:rsidR="00A05714" w:rsidRPr="00A05698">
        <w:t>’</w:t>
      </w:r>
      <w:r w:rsidRPr="00A05698">
        <w:t>emplois devrait être plus important pour la multitude de travailleurs non qualifiés de la chaîne de valeur, pour lesquels les salaires journaliers sont la seule source de revenus pour la sécurité alimentaire des ménages. L</w:t>
      </w:r>
      <w:r w:rsidR="00A05714" w:rsidRPr="00A05698">
        <w:t>’</w:t>
      </w:r>
      <w:r w:rsidRPr="00A05698">
        <w:t>escalade prévue des prix des denrées alimentaires (en partie due à la baisse prévue de la production intérieure et à la hausse des prix à l</w:t>
      </w:r>
      <w:r w:rsidR="00A05714" w:rsidRPr="00A05698">
        <w:t>’</w:t>
      </w:r>
      <w:r w:rsidRPr="00A05698">
        <w:t xml:space="preserve">importation), devrait amplifier le choc sur la sécurité alimentaire de leurs ménages. </w:t>
      </w:r>
    </w:p>
    <w:p w:rsidR="00EB7DB0" w:rsidRPr="00A05698" w:rsidRDefault="00EB7DB0" w:rsidP="00431F71">
      <w:pPr>
        <w:spacing w:before="120" w:after="120"/>
        <w:ind w:right="-142"/>
        <w:jc w:val="both"/>
      </w:pPr>
      <w:r w:rsidRPr="00A05698">
        <w:t>Les investissements réalisés dans le cadre de cette composante visent à assurer la sécurité alimentaire des ménages pour les parties des communautés touchées par les pertes d</w:t>
      </w:r>
      <w:r w:rsidR="00A05714" w:rsidRPr="00A05698">
        <w:t>’</w:t>
      </w:r>
      <w:r w:rsidRPr="00A05698">
        <w:t>emploi, en atténuant les déficits de revenus qui sont attendus grâce à un soutien aux travaux publics. L</w:t>
      </w:r>
      <w:r w:rsidR="00A05714" w:rsidRPr="00A05698">
        <w:t>’</w:t>
      </w:r>
      <w:r w:rsidRPr="00A05698">
        <w:t>accent sera mis sur la création d</w:t>
      </w:r>
      <w:r w:rsidR="00A05714" w:rsidRPr="00A05698">
        <w:t>’</w:t>
      </w:r>
      <w:r w:rsidRPr="00A05698">
        <w:t>actifs publics qui contribueront à l</w:t>
      </w:r>
      <w:r w:rsidR="00A05714" w:rsidRPr="00A05698">
        <w:t>’</w:t>
      </w:r>
      <w:r w:rsidRPr="00A05698">
        <w:t>impact de l</w:t>
      </w:r>
      <w:r w:rsidR="00A05714" w:rsidRPr="00A05698">
        <w:t>’</w:t>
      </w:r>
      <w:r w:rsidRPr="00A05698">
        <w:t>aide fournie au titre de la Composante 1 ou l</w:t>
      </w:r>
      <w:r w:rsidR="00A05714" w:rsidRPr="00A05698">
        <w:t>’</w:t>
      </w:r>
      <w:r w:rsidRPr="00A05698">
        <w:t>amélioreront. Ces actifs pourraient inclure un soutien à la distribution d</w:t>
      </w:r>
      <w:r w:rsidR="00A05714" w:rsidRPr="00A05698">
        <w:t>’</w:t>
      </w:r>
      <w:r w:rsidRPr="00A05698">
        <w:t xml:space="preserve">intrants, la réhabilitation des </w:t>
      </w:r>
      <w:r w:rsidR="00BA5825">
        <w:t>infrastructures</w:t>
      </w:r>
      <w:r w:rsidR="00BA5825" w:rsidRPr="00A05698">
        <w:t xml:space="preserve"> </w:t>
      </w:r>
      <w:r w:rsidRPr="00A05698">
        <w:t xml:space="preserve">de stockage, </w:t>
      </w:r>
      <w:r w:rsidR="00145298">
        <w:t>la réhabilitation</w:t>
      </w:r>
      <w:r w:rsidR="00145298" w:rsidRPr="00A05698">
        <w:t xml:space="preserve"> </w:t>
      </w:r>
      <w:r w:rsidRPr="00A05698">
        <w:t>de routes d</w:t>
      </w:r>
      <w:r w:rsidR="00A05714" w:rsidRPr="00A05698">
        <w:t>’</w:t>
      </w:r>
      <w:r w:rsidRPr="00A05698">
        <w:t>accès aux zones de production agricole, la construction de marchés locaux,</w:t>
      </w:r>
      <w:r w:rsidR="007B79DF" w:rsidRPr="007B79DF">
        <w:t xml:space="preserve"> </w:t>
      </w:r>
      <w:r w:rsidR="007B79DF">
        <w:t xml:space="preserve">la réhabilitation </w:t>
      </w:r>
      <w:r w:rsidR="007B79DF" w:rsidRPr="00622418">
        <w:t>d'infrastructures publiques d'irrigation</w:t>
      </w:r>
      <w:r w:rsidR="007B79DF">
        <w:t xml:space="preserve"> et la réhabilitation </w:t>
      </w:r>
      <w:r w:rsidR="007B79DF" w:rsidRPr="00622418">
        <w:t>de rizières</w:t>
      </w:r>
      <w:r w:rsidRPr="00A05698">
        <w:t xml:space="preserve"> etc. Les salaires journaliers pour les activités </w:t>
      </w:r>
      <w:r w:rsidR="00A05714" w:rsidRPr="00A05698">
        <w:t>« </w:t>
      </w:r>
      <w:r w:rsidRPr="00A05698">
        <w:t>argent contre travail</w:t>
      </w:r>
      <w:r w:rsidR="00A05714" w:rsidRPr="00A05698">
        <w:t> »</w:t>
      </w:r>
      <w:r w:rsidRPr="00A05698">
        <w:t xml:space="preserve"> seront inférieurs à ceux de la main-d</w:t>
      </w:r>
      <w:r w:rsidR="00A05714" w:rsidRPr="00A05698">
        <w:t>’</w:t>
      </w:r>
      <w:r w:rsidRPr="00A05698">
        <w:t xml:space="preserve">œuvre non qualifiée au niveau local, ce qui constituera un mécanisme </w:t>
      </w:r>
      <w:r w:rsidR="00A05714" w:rsidRPr="00A05698">
        <w:t>« </w:t>
      </w:r>
      <w:r w:rsidRPr="00A05698">
        <w:t>intégré</w:t>
      </w:r>
      <w:r w:rsidR="00A05714" w:rsidRPr="00A05698">
        <w:t> »</w:t>
      </w:r>
      <w:r w:rsidRPr="00A05698">
        <w:t xml:space="preserve"> d</w:t>
      </w:r>
      <w:r w:rsidR="00A05714" w:rsidRPr="00A05698">
        <w:t>’</w:t>
      </w:r>
      <w:r w:rsidRPr="00A05698">
        <w:t>autosuffisance pour les transferts d</w:t>
      </w:r>
      <w:r w:rsidR="00A05714" w:rsidRPr="00A05698">
        <w:t>’</w:t>
      </w:r>
      <w:r w:rsidRPr="00A05698">
        <w:t>argent, qui garantira également que les travaux publics ne concurrenceront pas l</w:t>
      </w:r>
      <w:r w:rsidR="00A05714" w:rsidRPr="00A05698">
        <w:t>’</w:t>
      </w:r>
      <w:r w:rsidRPr="00A05698">
        <w:t>agriculture pour le travail saisonnier. La mise en œuvre de cette activité tiendra compte des activités financées dans le cadre du projet en cours sur les filets de sécurité et les services de base (P163901) pour assurer la complémentarité.</w:t>
      </w:r>
    </w:p>
    <w:p w:rsidR="00EB7DB0" w:rsidRPr="00A05698" w:rsidRDefault="00EB7DB0" w:rsidP="00431F71">
      <w:pPr>
        <w:spacing w:before="120" w:after="120"/>
        <w:ind w:right="-142"/>
        <w:jc w:val="both"/>
      </w:pPr>
      <w:r w:rsidRPr="00A05698">
        <w:t>Cette composante, qui sera mise en œuvre par la FAO en partenariat avec le Ministère de l</w:t>
      </w:r>
      <w:r w:rsidR="00A05714" w:rsidRPr="00A05698">
        <w:t>’</w:t>
      </w:r>
      <w:r w:rsidRPr="00A05698">
        <w:t>Agriculture et du Développement rural (MARD), financera principalement les salaires (en espèces ou en nature), les outils et les équipements, ainsi que d</w:t>
      </w:r>
      <w:r w:rsidR="00A05714" w:rsidRPr="00A05698">
        <w:t>’</w:t>
      </w:r>
      <w:r w:rsidRPr="00A05698">
        <w:t xml:space="preserve">autres coûts non salariaux, qui seraient nécessaires pour des travaux publics spécifiques. </w:t>
      </w:r>
    </w:p>
    <w:p w:rsidR="00EB7DB0" w:rsidRPr="00A05698" w:rsidRDefault="00EB7DB0" w:rsidP="00157035">
      <w:pPr>
        <w:pStyle w:val="PargrafodaLista"/>
        <w:numPr>
          <w:ilvl w:val="0"/>
          <w:numId w:val="38"/>
        </w:numPr>
        <w:tabs>
          <w:tab w:val="left" w:pos="547"/>
          <w:tab w:val="left" w:pos="720"/>
        </w:tabs>
        <w:spacing w:after="160" w:line="240" w:lineRule="auto"/>
        <w:contextualSpacing w:val="0"/>
        <w:jc w:val="both"/>
        <w:outlineLvl w:val="0"/>
        <w:rPr>
          <w:rFonts w:ascii="Times New Roman" w:hAnsi="Times New Roman"/>
          <w:b/>
          <w:sz w:val="24"/>
          <w:szCs w:val="24"/>
          <w:u w:val="single"/>
        </w:rPr>
      </w:pPr>
      <w:bookmarkStart w:id="143" w:name="_Toc69918668"/>
      <w:bookmarkStart w:id="144" w:name="_Toc73452864"/>
      <w:bookmarkStart w:id="145" w:name="_Toc73459710"/>
      <w:bookmarkStart w:id="146" w:name="_Toc75432266"/>
      <w:r w:rsidRPr="00A05698">
        <w:rPr>
          <w:rFonts w:ascii="Times New Roman" w:hAnsi="Times New Roman"/>
          <w:b/>
          <w:sz w:val="24"/>
          <w:szCs w:val="24"/>
          <w:u w:val="single"/>
        </w:rPr>
        <w:t>Composante 3 : Soutien à l</w:t>
      </w:r>
      <w:r w:rsidR="00A05714" w:rsidRPr="00A05698">
        <w:rPr>
          <w:rFonts w:ascii="Times New Roman" w:hAnsi="Times New Roman"/>
          <w:b/>
          <w:sz w:val="24"/>
          <w:szCs w:val="24"/>
          <w:u w:val="single"/>
        </w:rPr>
        <w:t>’</w:t>
      </w:r>
      <w:r w:rsidRPr="00A05698">
        <w:rPr>
          <w:rFonts w:ascii="Times New Roman" w:hAnsi="Times New Roman"/>
          <w:b/>
          <w:sz w:val="24"/>
          <w:szCs w:val="24"/>
          <w:u w:val="single"/>
        </w:rPr>
        <w:t>atténuation des risques (1,5 million de dollars)</w:t>
      </w:r>
      <w:bookmarkEnd w:id="143"/>
      <w:bookmarkEnd w:id="144"/>
      <w:bookmarkEnd w:id="145"/>
      <w:bookmarkEnd w:id="146"/>
    </w:p>
    <w:p w:rsidR="004F0DC1" w:rsidRDefault="00EB7DB0" w:rsidP="00FC0905">
      <w:pPr>
        <w:spacing w:before="120" w:after="120"/>
        <w:ind w:right="-142"/>
        <w:jc w:val="both"/>
      </w:pPr>
      <w:r w:rsidRPr="00A05698">
        <w:lastRenderedPageBreak/>
        <w:t>La pandémie d</w:t>
      </w:r>
      <w:r w:rsidR="008C2771" w:rsidRPr="00A05698">
        <w:t xml:space="preserve">e </w:t>
      </w:r>
      <w:r w:rsidR="00971169" w:rsidRPr="00A05698">
        <w:t>la Covid</w:t>
      </w:r>
      <w:r w:rsidRPr="00A05698">
        <w:t>-19 a mis en évidence la grande vulnérabilité de l</w:t>
      </w:r>
      <w:r w:rsidR="00A05714" w:rsidRPr="00A05698">
        <w:t>’</w:t>
      </w:r>
      <w:r w:rsidRPr="00A05698">
        <w:t>économie bissau-guinéenne aux chocs, due à sa forte dépendance à une quasi monoculture. Bien que la diversification soit la panacée ultime à cette vulnérabilité, un certain nombre de me</w:t>
      </w:r>
      <w:r w:rsidR="00037A04" w:rsidRPr="00A05698">
        <w:t xml:space="preserve">sures de gestion des risques </w:t>
      </w:r>
      <w:r w:rsidR="008C2771" w:rsidRPr="00A05698">
        <w:t>exacte</w:t>
      </w:r>
      <w:r w:rsidRPr="00A05698">
        <w:t xml:space="preserve"> (par exemple, contrats à terme, assurance, couverture, amélioration du stockage, etc.) ainsi que des instruments de gestion des risques ex post (par exemple, financement des risques éventuels) peuvent réduire les vulnérabilités spécifiques du secteur de la noix de cajou aux risques du marché.</w:t>
      </w:r>
    </w:p>
    <w:p w:rsidR="00EB7DB0" w:rsidRPr="00A05698" w:rsidRDefault="00EB7DB0" w:rsidP="00FC0905">
      <w:pPr>
        <w:spacing w:before="120" w:after="120"/>
        <w:ind w:right="-142"/>
        <w:jc w:val="both"/>
      </w:pPr>
      <w:r w:rsidRPr="00A05698">
        <w:t xml:space="preserve"> La proposition consiste à explorer la faisabilité, puis à piloter la mise en œuvre de mesures de gestion des risques de marché appropriées au niveau local pour le secteur de la noix de cajou. Ces mesures permettraient de renforcer la résilience du secteur aux risques du marché auxquels il est de plus en plus exposé (par exemple, une chute des prix en 2018, les perturbations actuelles des chaînes d</w:t>
      </w:r>
      <w:r w:rsidR="00A05714" w:rsidRPr="00A05698">
        <w:t>’</w:t>
      </w:r>
      <w:r w:rsidRPr="00A05698">
        <w:t>approvisionnement mondiales) et jetteraient les bases d</w:t>
      </w:r>
      <w:r w:rsidR="00A05714" w:rsidRPr="00A05698">
        <w:t>’</w:t>
      </w:r>
      <w:r w:rsidRPr="00A05698">
        <w:t xml:space="preserve">une reprise durable. </w:t>
      </w:r>
    </w:p>
    <w:p w:rsidR="00EB7DB0" w:rsidRPr="00A05698" w:rsidRDefault="00EB7DB0" w:rsidP="00FC0905">
      <w:pPr>
        <w:spacing w:before="120" w:after="120"/>
        <w:ind w:right="-142"/>
        <w:jc w:val="both"/>
      </w:pPr>
      <w:r w:rsidRPr="00A05698">
        <w:t>Un projet financé par la Banque et récemment clôturé a soutenu la construction de structures de stockage des noix de cajou</w:t>
      </w:r>
      <w:r w:rsidR="000813B8" w:rsidRPr="00A05698">
        <w:t>. Ce projet</w:t>
      </w:r>
      <w:r w:rsidRPr="00A05698">
        <w:t xml:space="preserve"> a également évalué les besoins en ce qui concerne l</w:t>
      </w:r>
      <w:r w:rsidR="00A05714" w:rsidRPr="00A05698">
        <w:t>’</w:t>
      </w:r>
      <w:r w:rsidRPr="00A05698">
        <w:t>introduction d</w:t>
      </w:r>
      <w:r w:rsidR="00A05714" w:rsidRPr="00A05698">
        <w:t>’</w:t>
      </w:r>
      <w:r w:rsidRPr="00A05698">
        <w:t>un système de récépissés d</w:t>
      </w:r>
      <w:r w:rsidR="00A05714" w:rsidRPr="00A05698">
        <w:t>’</w:t>
      </w:r>
      <w:r w:rsidRPr="00A05698">
        <w:t>entrepôt négociables. Il est proposé de s</w:t>
      </w:r>
      <w:r w:rsidR="00A05714" w:rsidRPr="00A05698">
        <w:t>’</w:t>
      </w:r>
      <w:r w:rsidRPr="00A05698">
        <w:t>appuyer sur ces progrès lors de la mise en œuvre du projet. Dans ce contexte, le projet financerait l</w:t>
      </w:r>
      <w:r w:rsidR="00A05714" w:rsidRPr="00A05698">
        <w:t>’</w:t>
      </w:r>
      <w:r w:rsidRPr="00A05698">
        <w:t xml:space="preserve">assistance technique (AT), ainsi que les coûts liés au pilotage de la mesure de gestion des risques identifiée. </w:t>
      </w:r>
    </w:p>
    <w:p w:rsidR="00EB7DB0" w:rsidRPr="00A05698" w:rsidRDefault="00EB7DB0" w:rsidP="00157035">
      <w:pPr>
        <w:pStyle w:val="PargrafodaLista"/>
        <w:numPr>
          <w:ilvl w:val="0"/>
          <w:numId w:val="39"/>
        </w:numPr>
        <w:tabs>
          <w:tab w:val="left" w:pos="547"/>
          <w:tab w:val="left" w:pos="720"/>
        </w:tabs>
        <w:spacing w:after="120" w:line="240" w:lineRule="auto"/>
        <w:contextualSpacing w:val="0"/>
        <w:jc w:val="both"/>
        <w:rPr>
          <w:rFonts w:ascii="Times New Roman" w:hAnsi="Times New Roman"/>
          <w:b/>
          <w:sz w:val="24"/>
          <w:szCs w:val="24"/>
          <w:u w:val="single"/>
        </w:rPr>
      </w:pPr>
      <w:r w:rsidRPr="00A05698">
        <w:rPr>
          <w:rFonts w:ascii="Times New Roman" w:hAnsi="Times New Roman"/>
          <w:b/>
          <w:sz w:val="24"/>
          <w:szCs w:val="24"/>
          <w:u w:val="single"/>
        </w:rPr>
        <w:t>Composante 4 : Gestion du projet (1,0 million de dollars US).</w:t>
      </w:r>
    </w:p>
    <w:p w:rsidR="00EB7DB0" w:rsidRPr="00A05698" w:rsidRDefault="00EB7DB0" w:rsidP="00F80D2C">
      <w:pPr>
        <w:spacing w:before="120" w:after="120"/>
        <w:ind w:right="-142"/>
        <w:jc w:val="both"/>
      </w:pPr>
      <w:r w:rsidRPr="00A05698">
        <w:t>L</w:t>
      </w:r>
      <w:r w:rsidR="00A05714" w:rsidRPr="00A05698">
        <w:t>’</w:t>
      </w:r>
      <w:r w:rsidRPr="00A05698">
        <w:t>objectif de cette composante est de faciliter la mise en œuvre effective des activités du projet et le suivi des résultats. Cette composante financera les activités liées à la coordination et à la gestion du projet, y compris l</w:t>
      </w:r>
      <w:r w:rsidR="00A05714" w:rsidRPr="00A05698">
        <w:t>’</w:t>
      </w:r>
      <w:r w:rsidRPr="00A05698">
        <w:t xml:space="preserve">élaboration de plans de travail et de budgets annuels, la gestion financière (GF) et la passation de marchés, </w:t>
      </w:r>
      <w:r w:rsidR="0079471A">
        <w:t xml:space="preserve">le respect de mesures sauvegardes, </w:t>
      </w:r>
      <w:r w:rsidRPr="00A05698">
        <w:t>le suivi et l</w:t>
      </w:r>
      <w:r w:rsidR="00A05714" w:rsidRPr="00A05698">
        <w:t>’</w:t>
      </w:r>
      <w:r w:rsidRPr="00A05698">
        <w:t>évaluation (S&amp;E), l</w:t>
      </w:r>
      <w:r w:rsidR="00A05714" w:rsidRPr="00A05698">
        <w:t>’</w:t>
      </w:r>
      <w:r w:rsidRPr="00A05698">
        <w:t>engagement des citoyens ainsi qu</w:t>
      </w:r>
      <w:r w:rsidR="00A05714" w:rsidRPr="00A05698">
        <w:t>’</w:t>
      </w:r>
      <w:r w:rsidRPr="00A05698">
        <w:t xml:space="preserve">un mécanisme de règlement des plaintes (MRP).   </w:t>
      </w:r>
    </w:p>
    <w:p w:rsidR="00EB7DB0" w:rsidRPr="00A05698" w:rsidRDefault="00EB7DB0" w:rsidP="00157035">
      <w:pPr>
        <w:pStyle w:val="Default"/>
        <w:numPr>
          <w:ilvl w:val="0"/>
          <w:numId w:val="40"/>
        </w:numPr>
        <w:tabs>
          <w:tab w:val="left" w:pos="547"/>
          <w:tab w:val="left" w:pos="720"/>
        </w:tabs>
        <w:autoSpaceDE/>
        <w:autoSpaceDN/>
        <w:adjustRightInd/>
        <w:spacing w:before="120" w:after="120"/>
        <w:jc w:val="both"/>
        <w:rPr>
          <w:rFonts w:ascii="Times New Roman" w:hAnsi="Times New Roman" w:cs="Times New Roman"/>
          <w:b/>
          <w:color w:val="172D5F"/>
          <w:u w:val="single"/>
        </w:rPr>
      </w:pPr>
      <w:r w:rsidRPr="00A05698">
        <w:rPr>
          <w:rFonts w:ascii="Times New Roman" w:hAnsi="Times New Roman" w:cs="Times New Roman"/>
          <w:b/>
          <w:noProof/>
          <w:u w:val="single"/>
        </w:rPr>
        <w:t>Composante 5 : Intervention d</w:t>
      </w:r>
      <w:r w:rsidR="00A05714" w:rsidRPr="00A05698">
        <w:rPr>
          <w:rFonts w:ascii="Times New Roman" w:hAnsi="Times New Roman" w:cs="Times New Roman"/>
          <w:b/>
          <w:noProof/>
          <w:u w:val="single"/>
        </w:rPr>
        <w:t>’</w:t>
      </w:r>
      <w:r w:rsidRPr="00A05698">
        <w:rPr>
          <w:rFonts w:ascii="Times New Roman" w:hAnsi="Times New Roman" w:cs="Times New Roman"/>
          <w:b/>
          <w:noProof/>
          <w:u w:val="single"/>
        </w:rPr>
        <w:t>urgence contingente (0 million de dollars US)</w:t>
      </w:r>
    </w:p>
    <w:p w:rsidR="004F0DC1" w:rsidRPr="00A05698" w:rsidRDefault="00EB7DB0" w:rsidP="00F80D2C">
      <w:pPr>
        <w:spacing w:before="120" w:after="120"/>
        <w:ind w:right="-142"/>
        <w:jc w:val="both"/>
      </w:pPr>
      <w:r w:rsidRPr="00A05698">
        <w:t>Cette composante d</w:t>
      </w:r>
      <w:r w:rsidR="00A05714" w:rsidRPr="00A05698">
        <w:t>’</w:t>
      </w:r>
      <w:r w:rsidRPr="00A05698">
        <w:t>intervention d</w:t>
      </w:r>
      <w:r w:rsidR="00A05714" w:rsidRPr="00A05698">
        <w:t>’</w:t>
      </w:r>
      <w:r w:rsidRPr="00A05698">
        <w:t>urgence contingente à coût zéro (CERC) financera les dépenses admissibles en cas de crises naturelles ou d</w:t>
      </w:r>
      <w:r w:rsidR="00A05714" w:rsidRPr="00A05698">
        <w:t>’</w:t>
      </w:r>
      <w:r w:rsidRPr="00A05698">
        <w:t>origine humaine, de catastrophes, de chocs économiques graves ou d</w:t>
      </w:r>
      <w:r w:rsidR="00A05714" w:rsidRPr="00A05698">
        <w:t>’</w:t>
      </w:r>
      <w:r w:rsidRPr="00A05698">
        <w:t>autres crises et situations d</w:t>
      </w:r>
      <w:r w:rsidR="00A05714" w:rsidRPr="00A05698">
        <w:t>’</w:t>
      </w:r>
      <w:r w:rsidRPr="00A05698">
        <w:t>urgence en Guinée-Bissau. La mise en œuvre de cette composante suivra un plan de mise en œuvre de la réponse d</w:t>
      </w:r>
      <w:r w:rsidR="00A05714" w:rsidRPr="00A05698">
        <w:t>’</w:t>
      </w:r>
      <w:r w:rsidRPr="00A05698">
        <w:t>urgence contingente (CERIP) détaillée et satisfaisante pour la Banque mondiale qui sera préparée pour chaque crise él</w:t>
      </w:r>
      <w:r w:rsidR="00276859" w:rsidRPr="00A05698">
        <w:t>igible</w:t>
      </w:r>
      <w:r w:rsidR="006A0494" w:rsidRPr="00A05698">
        <w:t>.</w:t>
      </w:r>
    </w:p>
    <w:p w:rsidR="004C3B98" w:rsidRPr="00A05698" w:rsidRDefault="00DC40D7" w:rsidP="00AD407E">
      <w:pPr>
        <w:pStyle w:val="PargrafodaLista"/>
        <w:spacing w:after="120" w:line="240" w:lineRule="auto"/>
        <w:ind w:left="1068"/>
        <w:outlineLvl w:val="1"/>
        <w:rPr>
          <w:rFonts w:ascii="Times New Roman" w:hAnsi="Times New Roman"/>
          <w:b/>
          <w:bCs/>
          <w:sz w:val="24"/>
          <w:szCs w:val="24"/>
        </w:rPr>
      </w:pPr>
      <w:bookmarkStart w:id="147" w:name="_Toc75432267"/>
      <w:r>
        <w:rPr>
          <w:rFonts w:ascii="Times New Roman" w:hAnsi="Times New Roman"/>
          <w:b/>
          <w:bCs/>
          <w:sz w:val="24"/>
          <w:szCs w:val="24"/>
        </w:rPr>
        <w:t>2</w:t>
      </w:r>
      <w:r w:rsidR="00AD407E" w:rsidRPr="00A05698">
        <w:rPr>
          <w:rFonts w:ascii="Times New Roman" w:hAnsi="Times New Roman"/>
          <w:b/>
          <w:bCs/>
          <w:sz w:val="24"/>
          <w:szCs w:val="24"/>
        </w:rPr>
        <w:t xml:space="preserve">.4 </w:t>
      </w:r>
      <w:r w:rsidR="009A4D85" w:rsidRPr="00A05698">
        <w:rPr>
          <w:rFonts w:ascii="Times New Roman" w:hAnsi="Times New Roman"/>
          <w:b/>
          <w:bCs/>
          <w:sz w:val="24"/>
          <w:szCs w:val="24"/>
        </w:rPr>
        <w:t>ZONES D’INTERVENTION DU PROJET PUSA</w:t>
      </w:r>
      <w:bookmarkEnd w:id="147"/>
    </w:p>
    <w:p w:rsidR="00E943F9" w:rsidRPr="00A05698" w:rsidRDefault="00A56BFF" w:rsidP="00F80D2C">
      <w:pPr>
        <w:spacing w:before="120" w:after="120"/>
        <w:ind w:right="-142"/>
        <w:jc w:val="both"/>
      </w:pPr>
      <w:r w:rsidRPr="00A05698">
        <w:t>Le Projet de Sécurité Alimentaire d</w:t>
      </w:r>
      <w:r w:rsidR="00A05714" w:rsidRPr="00A05698">
        <w:t>’</w:t>
      </w:r>
      <w:r w:rsidRPr="00A05698">
        <w:t>Urgence en Guinée Bissau</w:t>
      </w:r>
      <w:r w:rsidR="00E943F9" w:rsidRPr="00A05698">
        <w:t xml:space="preserve"> interviendra dans</w:t>
      </w:r>
      <w:r w:rsidR="00762684" w:rsidRPr="00A05698">
        <w:t xml:space="preserve"> </w:t>
      </w:r>
      <w:r w:rsidR="00F87FCA" w:rsidRPr="00A05698">
        <w:t>l’étendu du pays s</w:t>
      </w:r>
      <w:r w:rsidR="007510B1" w:rsidRPr="00A05698">
        <w:t xml:space="preserve">urtout </w:t>
      </w:r>
      <w:r w:rsidR="00F87FCA" w:rsidRPr="00A05698">
        <w:t>dans les zones les plus touché</w:t>
      </w:r>
      <w:r w:rsidR="004B0B6B" w:rsidRPr="00A05698">
        <w:t>e</w:t>
      </w:r>
      <w:r w:rsidR="00F87FCA" w:rsidRPr="00A05698">
        <w:t xml:space="preserve">s </w:t>
      </w:r>
      <w:r w:rsidR="007510B1" w:rsidRPr="00A05698">
        <w:t>par les impacts négatifs de la pandémie d</w:t>
      </w:r>
      <w:r w:rsidR="000C5831" w:rsidRPr="00A05698">
        <w:t>e</w:t>
      </w:r>
      <w:r w:rsidR="007510B1" w:rsidRPr="00A05698">
        <w:t xml:space="preserve"> COVID 19</w:t>
      </w:r>
      <w:r w:rsidR="00965B2C" w:rsidRPr="00A05698">
        <w:t>.</w:t>
      </w:r>
    </w:p>
    <w:p w:rsidR="00E943F9" w:rsidRPr="00A05698" w:rsidRDefault="00E943F9" w:rsidP="00F80D2C">
      <w:pPr>
        <w:spacing w:before="120" w:after="120"/>
        <w:ind w:right="-142"/>
        <w:jc w:val="both"/>
      </w:pPr>
      <w:r w:rsidRPr="00A05698">
        <w:t>Pour des raisons d’effic</w:t>
      </w:r>
      <w:r w:rsidR="00104AF3" w:rsidRPr="00A05698">
        <w:t xml:space="preserve">acité et d’impact, le Projet </w:t>
      </w:r>
      <w:r w:rsidR="00CF376D" w:rsidRPr="00A05698">
        <w:t xml:space="preserve">sera mis en œuvre avec des </w:t>
      </w:r>
      <w:r w:rsidRPr="00A05698">
        <w:t>approche</w:t>
      </w:r>
      <w:r w:rsidR="00CF376D" w:rsidRPr="00A05698">
        <w:t>s</w:t>
      </w:r>
      <w:r w:rsidRPr="00A05698">
        <w:t xml:space="preserve"> </w:t>
      </w:r>
      <w:r w:rsidR="0053273C" w:rsidRPr="00A05698">
        <w:t>de concertat</w:t>
      </w:r>
      <w:r w:rsidR="00EE30C3" w:rsidRPr="00A05698">
        <w:t xml:space="preserve">ion avec </w:t>
      </w:r>
      <w:r w:rsidR="00CF376D" w:rsidRPr="00A05698">
        <w:t>les différents acteurs</w:t>
      </w:r>
      <w:r w:rsidR="00EE30C3" w:rsidRPr="00A05698">
        <w:t xml:space="preserve"> intervenant</w:t>
      </w:r>
      <w:r w:rsidR="000813B8" w:rsidRPr="00A05698">
        <w:t xml:space="preserve"> à cet effet</w:t>
      </w:r>
      <w:r w:rsidR="0052063D" w:rsidRPr="00A05698">
        <w:t xml:space="preserve"> ainsi que la</w:t>
      </w:r>
      <w:r w:rsidRPr="00A05698">
        <w:t xml:space="preserve"> concentration des interventions dans des zones géographiques réunissant : </w:t>
      </w:r>
    </w:p>
    <w:p w:rsidR="00E943F9" w:rsidRPr="00A05698" w:rsidRDefault="00E943F9" w:rsidP="00266763">
      <w:pPr>
        <w:pStyle w:val="Lista2"/>
        <w:ind w:left="567" w:hanging="425"/>
        <w:rPr>
          <w:rFonts w:ascii="Times New Roman" w:hAnsi="Times New Roman"/>
          <w:sz w:val="24"/>
          <w:szCs w:val="24"/>
        </w:rPr>
      </w:pPr>
      <w:r w:rsidRPr="00A05698">
        <w:rPr>
          <w:rFonts w:ascii="Times New Roman" w:hAnsi="Times New Roman"/>
          <w:sz w:val="24"/>
          <w:szCs w:val="24"/>
        </w:rPr>
        <w:t>(a)</w:t>
      </w:r>
      <w:r w:rsidR="00A05714" w:rsidRPr="00A05698">
        <w:rPr>
          <w:rFonts w:ascii="Times New Roman" w:hAnsi="Times New Roman"/>
          <w:sz w:val="24"/>
          <w:szCs w:val="24"/>
        </w:rPr>
        <w:tab/>
      </w:r>
      <w:r w:rsidRPr="00A05698">
        <w:rPr>
          <w:rFonts w:ascii="Times New Roman" w:hAnsi="Times New Roman"/>
          <w:sz w:val="24"/>
          <w:szCs w:val="24"/>
        </w:rPr>
        <w:t xml:space="preserve">un potentiel aménageable et des opportunités de </w:t>
      </w:r>
      <w:r w:rsidR="00D11976" w:rsidRPr="00A05698">
        <w:rPr>
          <w:rFonts w:ascii="Times New Roman" w:hAnsi="Times New Roman"/>
          <w:sz w:val="24"/>
          <w:szCs w:val="24"/>
        </w:rPr>
        <w:t xml:space="preserve">production et de </w:t>
      </w:r>
      <w:r w:rsidRPr="00A05698">
        <w:rPr>
          <w:rFonts w:ascii="Times New Roman" w:hAnsi="Times New Roman"/>
          <w:sz w:val="24"/>
          <w:szCs w:val="24"/>
        </w:rPr>
        <w:t xml:space="preserve">commercialisation et </w:t>
      </w:r>
      <w:r w:rsidR="00D11976" w:rsidRPr="00A05698">
        <w:rPr>
          <w:rFonts w:ascii="Times New Roman" w:hAnsi="Times New Roman"/>
          <w:sz w:val="24"/>
          <w:szCs w:val="24"/>
        </w:rPr>
        <w:t xml:space="preserve">de </w:t>
      </w:r>
      <w:r w:rsidRPr="00A05698">
        <w:rPr>
          <w:rFonts w:ascii="Times New Roman" w:hAnsi="Times New Roman"/>
          <w:sz w:val="24"/>
          <w:szCs w:val="24"/>
        </w:rPr>
        <w:t xml:space="preserve">transformation </w:t>
      </w:r>
      <w:r w:rsidR="00D11976" w:rsidRPr="00A05698">
        <w:rPr>
          <w:rFonts w:ascii="Times New Roman" w:hAnsi="Times New Roman"/>
          <w:sz w:val="24"/>
          <w:szCs w:val="24"/>
        </w:rPr>
        <w:t xml:space="preserve">des noix de cajou </w:t>
      </w:r>
      <w:r w:rsidR="00323ED5" w:rsidRPr="00A05698">
        <w:rPr>
          <w:rFonts w:ascii="Times New Roman" w:hAnsi="Times New Roman"/>
          <w:sz w:val="24"/>
          <w:szCs w:val="24"/>
        </w:rPr>
        <w:t xml:space="preserve">ou des productions vivrières </w:t>
      </w:r>
      <w:r w:rsidRPr="00A05698">
        <w:rPr>
          <w:rFonts w:ascii="Times New Roman" w:hAnsi="Times New Roman"/>
          <w:sz w:val="24"/>
          <w:szCs w:val="24"/>
        </w:rPr>
        <w:t xml:space="preserve">; </w:t>
      </w:r>
    </w:p>
    <w:p w:rsidR="00E943F9" w:rsidRPr="00A05698" w:rsidRDefault="00E943F9" w:rsidP="00266763">
      <w:pPr>
        <w:pStyle w:val="Lista2"/>
        <w:ind w:left="567" w:hanging="425"/>
        <w:rPr>
          <w:rFonts w:ascii="Times New Roman" w:hAnsi="Times New Roman"/>
          <w:sz w:val="24"/>
          <w:szCs w:val="24"/>
        </w:rPr>
      </w:pPr>
      <w:r w:rsidRPr="00A05698">
        <w:rPr>
          <w:rFonts w:ascii="Times New Roman" w:hAnsi="Times New Roman"/>
          <w:sz w:val="24"/>
          <w:szCs w:val="24"/>
        </w:rPr>
        <w:t>(b)</w:t>
      </w:r>
      <w:r w:rsidR="00A05714" w:rsidRPr="00A05698">
        <w:rPr>
          <w:rFonts w:ascii="Times New Roman" w:hAnsi="Times New Roman"/>
          <w:sz w:val="24"/>
          <w:szCs w:val="24"/>
        </w:rPr>
        <w:tab/>
      </w:r>
      <w:r w:rsidRPr="00A05698">
        <w:rPr>
          <w:rFonts w:ascii="Times New Roman" w:hAnsi="Times New Roman"/>
          <w:sz w:val="24"/>
          <w:szCs w:val="24"/>
        </w:rPr>
        <w:t xml:space="preserve">l’expression d’une demande et l’engagement de la collectivité locale et des </w:t>
      </w:r>
      <w:r w:rsidR="008E60E7" w:rsidRPr="00A05698">
        <w:rPr>
          <w:rFonts w:ascii="Times New Roman" w:hAnsi="Times New Roman"/>
          <w:sz w:val="24"/>
          <w:szCs w:val="24"/>
        </w:rPr>
        <w:t>agriculteurs</w:t>
      </w:r>
      <w:r w:rsidRPr="00A05698">
        <w:rPr>
          <w:rFonts w:ascii="Times New Roman" w:hAnsi="Times New Roman"/>
          <w:sz w:val="24"/>
          <w:szCs w:val="24"/>
        </w:rPr>
        <w:t xml:space="preserve"> ;  </w:t>
      </w:r>
    </w:p>
    <w:p w:rsidR="00E943F9" w:rsidRPr="00A05698" w:rsidRDefault="00E943F9" w:rsidP="00266763">
      <w:pPr>
        <w:pStyle w:val="Lista2"/>
        <w:ind w:left="567" w:hanging="425"/>
        <w:rPr>
          <w:rFonts w:ascii="Times New Roman" w:hAnsi="Times New Roman"/>
          <w:sz w:val="24"/>
          <w:szCs w:val="24"/>
        </w:rPr>
      </w:pPr>
      <w:r w:rsidRPr="00A05698">
        <w:rPr>
          <w:rFonts w:ascii="Times New Roman" w:hAnsi="Times New Roman"/>
          <w:sz w:val="24"/>
          <w:szCs w:val="24"/>
        </w:rPr>
        <w:t>(c)</w:t>
      </w:r>
      <w:r w:rsidR="00A05714" w:rsidRPr="00A05698">
        <w:rPr>
          <w:rFonts w:ascii="Times New Roman" w:hAnsi="Times New Roman"/>
          <w:sz w:val="24"/>
          <w:szCs w:val="24"/>
        </w:rPr>
        <w:tab/>
      </w:r>
      <w:r w:rsidRPr="00A05698">
        <w:rPr>
          <w:rFonts w:ascii="Times New Roman" w:hAnsi="Times New Roman"/>
          <w:sz w:val="24"/>
          <w:szCs w:val="24"/>
        </w:rPr>
        <w:t>une incidence importante de la pauvreté</w:t>
      </w:r>
      <w:r w:rsidR="009608B4" w:rsidRPr="00A05698">
        <w:rPr>
          <w:rFonts w:ascii="Times New Roman" w:hAnsi="Times New Roman"/>
          <w:sz w:val="24"/>
          <w:szCs w:val="24"/>
        </w:rPr>
        <w:t xml:space="preserve"> ou d’</w:t>
      </w:r>
      <w:r w:rsidR="00F30847" w:rsidRPr="00A05698">
        <w:rPr>
          <w:rFonts w:ascii="Times New Roman" w:hAnsi="Times New Roman"/>
          <w:sz w:val="24"/>
          <w:szCs w:val="24"/>
        </w:rPr>
        <w:t>insécurité</w:t>
      </w:r>
      <w:r w:rsidR="009608B4" w:rsidRPr="00A05698">
        <w:rPr>
          <w:rFonts w:ascii="Times New Roman" w:hAnsi="Times New Roman"/>
          <w:sz w:val="24"/>
          <w:szCs w:val="24"/>
        </w:rPr>
        <w:t xml:space="preserve"> alimentaire</w:t>
      </w:r>
      <w:r w:rsidR="00F30847" w:rsidRPr="00A05698">
        <w:rPr>
          <w:rFonts w:ascii="Times New Roman" w:hAnsi="Times New Roman"/>
          <w:sz w:val="24"/>
          <w:szCs w:val="24"/>
        </w:rPr>
        <w:t xml:space="preserve"> accentué par la pandémie</w:t>
      </w:r>
      <w:r w:rsidRPr="00A05698">
        <w:rPr>
          <w:rFonts w:ascii="Times New Roman" w:hAnsi="Times New Roman"/>
          <w:sz w:val="24"/>
          <w:szCs w:val="24"/>
        </w:rPr>
        <w:t xml:space="preserve">. </w:t>
      </w:r>
    </w:p>
    <w:p w:rsidR="00416FE4" w:rsidRDefault="00E943F9" w:rsidP="00F80D2C">
      <w:pPr>
        <w:spacing w:before="120" w:after="120"/>
        <w:ind w:right="-142"/>
        <w:jc w:val="both"/>
      </w:pPr>
      <w:r w:rsidRPr="00A05698">
        <w:lastRenderedPageBreak/>
        <w:t>Les zones d’intervention sont également exposées a</w:t>
      </w:r>
      <w:r w:rsidR="0057379A" w:rsidRPr="00A05698">
        <w:t xml:space="preserve">ux aléas climatiques (inondation des champs de culture </w:t>
      </w:r>
      <w:r w:rsidR="00FC5DA2" w:rsidRPr="00A05698">
        <w:t>comme au Sud</w:t>
      </w:r>
      <w:r w:rsidRPr="00A05698">
        <w:t xml:space="preserve">, feux de brousse) et risques agricoles (dommages causés par les animaux ou les oiseaux, mortalité bétail, maladies végétales). </w:t>
      </w:r>
    </w:p>
    <w:p w:rsidR="004F0DC1" w:rsidRPr="00A05698" w:rsidRDefault="004F0DC1" w:rsidP="00083B97">
      <w:pPr>
        <w:spacing w:before="120" w:after="120"/>
        <w:ind w:left="-284" w:right="-142"/>
        <w:jc w:val="both"/>
        <w:rPr>
          <w:b/>
        </w:rPr>
      </w:pPr>
    </w:p>
    <w:p w:rsidR="00276D21" w:rsidRPr="00A05698" w:rsidRDefault="00DC40D7" w:rsidP="00B226BD">
      <w:pPr>
        <w:pStyle w:val="PargrafodaLista"/>
        <w:spacing w:after="120" w:line="240" w:lineRule="auto"/>
        <w:ind w:left="1068"/>
        <w:outlineLvl w:val="1"/>
        <w:rPr>
          <w:rFonts w:ascii="Times New Roman" w:hAnsi="Times New Roman"/>
          <w:b/>
          <w:bCs/>
          <w:sz w:val="24"/>
          <w:szCs w:val="24"/>
        </w:rPr>
      </w:pPr>
      <w:bookmarkStart w:id="148" w:name="_Toc75432268"/>
      <w:r>
        <w:rPr>
          <w:rFonts w:ascii="Times New Roman" w:hAnsi="Times New Roman"/>
          <w:b/>
          <w:bCs/>
          <w:sz w:val="24"/>
          <w:szCs w:val="24"/>
        </w:rPr>
        <w:t>2</w:t>
      </w:r>
      <w:r w:rsidR="006B1D52" w:rsidRPr="00A05698">
        <w:rPr>
          <w:rFonts w:ascii="Times New Roman" w:hAnsi="Times New Roman"/>
          <w:b/>
          <w:bCs/>
          <w:sz w:val="24"/>
          <w:szCs w:val="24"/>
        </w:rPr>
        <w:t xml:space="preserve">.5 </w:t>
      </w:r>
      <w:r w:rsidR="005A5247">
        <w:rPr>
          <w:rFonts w:ascii="Times New Roman" w:hAnsi="Times New Roman"/>
          <w:b/>
          <w:bCs/>
          <w:sz w:val="24"/>
          <w:szCs w:val="24"/>
        </w:rPr>
        <w:t>CIBLAGE DES DIFFERENT</w:t>
      </w:r>
      <w:r w:rsidR="00276D21" w:rsidRPr="00A05698">
        <w:rPr>
          <w:rFonts w:ascii="Times New Roman" w:hAnsi="Times New Roman"/>
          <w:b/>
          <w:bCs/>
          <w:sz w:val="24"/>
          <w:szCs w:val="24"/>
        </w:rPr>
        <w:t>S BENEFICIAIRE</w:t>
      </w:r>
      <w:r w:rsidR="005A5247">
        <w:rPr>
          <w:rFonts w:ascii="Times New Roman" w:hAnsi="Times New Roman"/>
          <w:b/>
          <w:bCs/>
          <w:sz w:val="24"/>
          <w:szCs w:val="24"/>
        </w:rPr>
        <w:t>S</w:t>
      </w:r>
      <w:r w:rsidR="00276D21" w:rsidRPr="00A05698">
        <w:rPr>
          <w:rFonts w:ascii="Times New Roman" w:hAnsi="Times New Roman"/>
          <w:b/>
          <w:bCs/>
          <w:sz w:val="24"/>
          <w:szCs w:val="24"/>
        </w:rPr>
        <w:t xml:space="preserve"> DU PROJET</w:t>
      </w:r>
      <w:bookmarkEnd w:id="148"/>
    </w:p>
    <w:p w:rsidR="002357D0" w:rsidRPr="00A05698" w:rsidRDefault="00276D21" w:rsidP="00F80D2C">
      <w:pPr>
        <w:spacing w:before="120" w:after="120"/>
        <w:ind w:right="-142"/>
        <w:jc w:val="both"/>
      </w:pPr>
      <w:r w:rsidRPr="00A05698">
        <w:t xml:space="preserve">Les bénéficiaires directs des projets sont </w:t>
      </w:r>
      <w:r w:rsidR="002357D0" w:rsidRPr="00A05698">
        <w:t>notamment :</w:t>
      </w:r>
      <w:r w:rsidRPr="00A05698">
        <w:t xml:space="preserve"> </w:t>
      </w:r>
    </w:p>
    <w:p w:rsidR="00A759B4" w:rsidRPr="00A05698" w:rsidRDefault="002357D0" w:rsidP="00266763">
      <w:pPr>
        <w:pStyle w:val="PargrafodaLista"/>
        <w:numPr>
          <w:ilvl w:val="0"/>
          <w:numId w:val="286"/>
        </w:numPr>
        <w:tabs>
          <w:tab w:val="left" w:pos="547"/>
          <w:tab w:val="left" w:pos="720"/>
        </w:tabs>
        <w:spacing w:after="120" w:line="240" w:lineRule="auto"/>
        <w:contextualSpacing w:val="0"/>
        <w:jc w:val="both"/>
        <w:rPr>
          <w:rFonts w:ascii="Times New Roman" w:hAnsi="Times New Roman"/>
          <w:sz w:val="24"/>
          <w:szCs w:val="24"/>
        </w:rPr>
      </w:pPr>
      <w:r w:rsidRPr="00A05698">
        <w:rPr>
          <w:rFonts w:ascii="Times New Roman" w:hAnsi="Times New Roman"/>
          <w:sz w:val="24"/>
          <w:szCs w:val="24"/>
        </w:rPr>
        <w:t>L</w:t>
      </w:r>
      <w:r w:rsidR="00276D21" w:rsidRPr="00A05698">
        <w:rPr>
          <w:rFonts w:ascii="Times New Roman" w:hAnsi="Times New Roman"/>
          <w:sz w:val="24"/>
          <w:szCs w:val="24"/>
        </w:rPr>
        <w:t xml:space="preserve">es petits exploitants agricoles, pour lesquels la production de noix de cajou fait partie intégrante de la sécurité alimentaire ; </w:t>
      </w:r>
    </w:p>
    <w:p w:rsidR="00A759B4" w:rsidRPr="00A05698" w:rsidRDefault="00276D21" w:rsidP="00266763">
      <w:pPr>
        <w:pStyle w:val="PargrafodaLista"/>
        <w:numPr>
          <w:ilvl w:val="0"/>
          <w:numId w:val="286"/>
        </w:numPr>
        <w:tabs>
          <w:tab w:val="left" w:pos="547"/>
          <w:tab w:val="left" w:pos="720"/>
        </w:tabs>
        <w:spacing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les ménages en situation d</w:t>
      </w:r>
      <w:r w:rsidR="00A05714" w:rsidRPr="00A05698">
        <w:rPr>
          <w:rFonts w:ascii="Times New Roman" w:hAnsi="Times New Roman"/>
          <w:sz w:val="24"/>
          <w:szCs w:val="24"/>
        </w:rPr>
        <w:t>’</w:t>
      </w:r>
      <w:r w:rsidRPr="00A05698">
        <w:rPr>
          <w:rFonts w:ascii="Times New Roman" w:hAnsi="Times New Roman"/>
          <w:sz w:val="24"/>
          <w:szCs w:val="24"/>
        </w:rPr>
        <w:t xml:space="preserve">insécurité alimentaire qui dépendent du travail saisonnier ou du salaire journalier pour leur sécurité alimentaire ; </w:t>
      </w:r>
    </w:p>
    <w:p w:rsidR="00A759B4" w:rsidRPr="00A05698" w:rsidRDefault="00A759B4" w:rsidP="00266763">
      <w:pPr>
        <w:pStyle w:val="PargrafodaLista"/>
        <w:numPr>
          <w:ilvl w:val="0"/>
          <w:numId w:val="286"/>
        </w:numPr>
        <w:tabs>
          <w:tab w:val="left" w:pos="547"/>
          <w:tab w:val="left" w:pos="720"/>
        </w:tabs>
        <w:spacing w:after="120" w:line="240" w:lineRule="auto"/>
        <w:contextualSpacing w:val="0"/>
        <w:jc w:val="both"/>
        <w:rPr>
          <w:rFonts w:ascii="Times New Roman" w:hAnsi="Times New Roman"/>
          <w:sz w:val="24"/>
          <w:szCs w:val="24"/>
        </w:rPr>
      </w:pPr>
      <w:r w:rsidRPr="00A05698">
        <w:rPr>
          <w:rFonts w:ascii="Times New Roman" w:hAnsi="Times New Roman"/>
          <w:sz w:val="24"/>
          <w:szCs w:val="24"/>
        </w:rPr>
        <w:t xml:space="preserve"> </w:t>
      </w:r>
      <w:r w:rsidR="00276D21" w:rsidRPr="00A05698">
        <w:rPr>
          <w:rFonts w:ascii="Times New Roman" w:hAnsi="Times New Roman"/>
          <w:sz w:val="24"/>
          <w:szCs w:val="24"/>
        </w:rPr>
        <w:t xml:space="preserve">les maraîchers. </w:t>
      </w:r>
    </w:p>
    <w:p w:rsidR="00165F19" w:rsidRPr="00A05698" w:rsidRDefault="00276D21" w:rsidP="00266763">
      <w:pPr>
        <w:spacing w:before="120" w:after="120"/>
        <w:ind w:right="-142"/>
        <w:jc w:val="both"/>
      </w:pPr>
      <w:r w:rsidRPr="00A05698">
        <w:t>Au moins 50 000 ménages bénéficieront d</w:t>
      </w:r>
      <w:r w:rsidR="00A05714" w:rsidRPr="00A05698">
        <w:t>’</w:t>
      </w:r>
      <w:r w:rsidRPr="00A05698">
        <w:t>un soutien en matière d</w:t>
      </w:r>
      <w:r w:rsidR="00A05714" w:rsidRPr="00A05698">
        <w:t>’</w:t>
      </w:r>
      <w:r w:rsidRPr="00A05698">
        <w:t xml:space="preserve">intrants et 10 000 autres ménages des activités </w:t>
      </w:r>
      <w:r w:rsidR="00A05714" w:rsidRPr="00A05698">
        <w:t>« </w:t>
      </w:r>
      <w:r w:rsidRPr="00A05698">
        <w:t>argent contre travail</w:t>
      </w:r>
      <w:r w:rsidR="00A05714" w:rsidRPr="00A05698">
        <w:t> »</w:t>
      </w:r>
      <w:r w:rsidRPr="00A05698">
        <w:t xml:space="preserve">. En se fondant sur la taille moyenne des ménages en Guinée-Bissau, cela représente environ 378 000 personnes. </w:t>
      </w:r>
    </w:p>
    <w:p w:rsidR="00165F19" w:rsidRPr="00A05698" w:rsidRDefault="00276D21" w:rsidP="00266763">
      <w:pPr>
        <w:spacing w:before="120" w:after="120"/>
        <w:ind w:right="-142"/>
        <w:jc w:val="both"/>
      </w:pPr>
      <w:r w:rsidRPr="00A05698">
        <w:t>Les bénéficiaires indirects comprennent les travailleurs, les consommateurs qui auront accès à la nourriture provenant de la production excédentaire et les fournisseurs d</w:t>
      </w:r>
      <w:r w:rsidR="00A05714" w:rsidRPr="00A05698">
        <w:t>’</w:t>
      </w:r>
      <w:r w:rsidRPr="00A05698">
        <w:t xml:space="preserve">intrants. </w:t>
      </w:r>
    </w:p>
    <w:p w:rsidR="009010BD" w:rsidRPr="00A05698" w:rsidRDefault="00276D21" w:rsidP="00266763">
      <w:pPr>
        <w:spacing w:before="120" w:after="120"/>
        <w:ind w:right="-142"/>
        <w:jc w:val="both"/>
      </w:pPr>
      <w:r w:rsidRPr="00A05698">
        <w:t xml:space="preserve">Compte tenu de la fluidité de la situation, le projet aurait également une couverture nationale, bien que le ciblage permette de se concentrer sur les </w:t>
      </w:r>
      <w:r w:rsidR="00681BD5" w:rsidRPr="00A05698">
        <w:t>régions les</w:t>
      </w:r>
      <w:r w:rsidRPr="00A05698">
        <w:t xml:space="preserve"> plus touchées par l</w:t>
      </w:r>
      <w:r w:rsidR="00A05714" w:rsidRPr="00A05698">
        <w:t>’</w:t>
      </w:r>
      <w:r w:rsidRPr="00A05698">
        <w:t>insécurité alimentaire, tout en évitant une duplication de l</w:t>
      </w:r>
      <w:r w:rsidR="00A05714" w:rsidRPr="00A05698">
        <w:t>’</w:t>
      </w:r>
      <w:r w:rsidRPr="00A05698">
        <w:t>aide fournie par d</w:t>
      </w:r>
      <w:r w:rsidR="00A05714" w:rsidRPr="00A05698">
        <w:t>’</w:t>
      </w:r>
      <w:r w:rsidRPr="00A05698">
        <w:t xml:space="preserve">autres agences et par le biais de financements gouvernementaux. </w:t>
      </w:r>
    </w:p>
    <w:p w:rsidR="00FF54C3" w:rsidRPr="00A05698" w:rsidRDefault="00276D21" w:rsidP="00266763">
      <w:pPr>
        <w:spacing w:before="120" w:after="120"/>
        <w:ind w:right="-142"/>
        <w:jc w:val="both"/>
      </w:pPr>
      <w:r w:rsidRPr="00A05698">
        <w:t>Ce projet analys</w:t>
      </w:r>
      <w:r w:rsidR="00746847">
        <w:t>era</w:t>
      </w:r>
      <w:r w:rsidRPr="00A05698">
        <w:t xml:space="preserve"> dans une perspective de genre pour améliorer la sensibilité </w:t>
      </w:r>
      <w:r w:rsidR="00855F8A" w:rsidRPr="00A05698">
        <w:t>de cet aspect. L’</w:t>
      </w:r>
      <w:r w:rsidR="005E67DC" w:rsidRPr="00A05698">
        <w:t>analyse</w:t>
      </w:r>
      <w:r w:rsidR="00855F8A" w:rsidRPr="00A05698">
        <w:t xml:space="preserve"> permet</w:t>
      </w:r>
      <w:r w:rsidR="00746847">
        <w:t xml:space="preserve">tra </w:t>
      </w:r>
      <w:r w:rsidR="00855F8A" w:rsidRPr="00A05698">
        <w:t>également d’</w:t>
      </w:r>
      <w:r w:rsidRPr="00A05698">
        <w:t>assurer des garanties adéquates en vue de réduire les risques de</w:t>
      </w:r>
      <w:r w:rsidR="00DF0E98" w:rsidRPr="00A05698">
        <w:t xml:space="preserve"> violence </w:t>
      </w:r>
      <w:r w:rsidR="002E23AF">
        <w:t>basée</w:t>
      </w:r>
      <w:r w:rsidR="00DF0E98" w:rsidRPr="00A05698">
        <w:t xml:space="preserve"> sur le genre (</w:t>
      </w:r>
      <w:r w:rsidRPr="00A05698">
        <w:t>V</w:t>
      </w:r>
      <w:r w:rsidR="002E23AF">
        <w:t>B</w:t>
      </w:r>
      <w:r w:rsidRPr="00A05698">
        <w:t xml:space="preserve">G), </w:t>
      </w:r>
      <w:r w:rsidR="004B19E6">
        <w:t xml:space="preserve">y compris </w:t>
      </w:r>
      <w:r w:rsidRPr="00A05698">
        <w:t>d</w:t>
      </w:r>
      <w:r w:rsidR="00A05714" w:rsidRPr="00A05698">
        <w:t>’</w:t>
      </w:r>
      <w:r w:rsidRPr="00A05698">
        <w:t>exploitation et d</w:t>
      </w:r>
      <w:r w:rsidR="00A05714" w:rsidRPr="00A05698">
        <w:t>’</w:t>
      </w:r>
      <w:r w:rsidRPr="00A05698">
        <w:t xml:space="preserve">abus sexuels (EAS), ainsi que de harcèlement sexuel (HS). </w:t>
      </w:r>
    </w:p>
    <w:p w:rsidR="00634D7F" w:rsidRPr="00A05698" w:rsidRDefault="00276D21" w:rsidP="00266763">
      <w:pPr>
        <w:spacing w:before="120" w:after="120"/>
        <w:ind w:right="-142"/>
        <w:jc w:val="both"/>
      </w:pPr>
      <w:r w:rsidRPr="00A05698">
        <w:t xml:space="preserve">Le projet garantira la participation active des femmes dans chaque processus de planification et de mise en œuvre. Le processus de consultation prendra en considération les impacts </w:t>
      </w:r>
      <w:r w:rsidR="004B19E6">
        <w:t xml:space="preserve">rapport </w:t>
      </w:r>
      <w:r w:rsidR="00496E0B">
        <w:t xml:space="preserve">aux risques </w:t>
      </w:r>
      <w:r w:rsidR="002712BB" w:rsidRPr="00A05698">
        <w:t>de</w:t>
      </w:r>
      <w:r w:rsidR="002712BB">
        <w:t xml:space="preserve"> </w:t>
      </w:r>
      <w:r w:rsidR="002712BB" w:rsidRPr="00A05698">
        <w:t>distanciation</w:t>
      </w:r>
      <w:r w:rsidRPr="00A05698">
        <w:t xml:space="preserve"> sociale sur les femmes</w:t>
      </w:r>
      <w:r w:rsidR="00DD3D8E">
        <w:t>. Mais aussi, c</w:t>
      </w:r>
      <w:r w:rsidR="00F12DF1" w:rsidRPr="00A05698">
        <w:t>es consultations seront menées dans des espaces où les femmes peuvent s’exprimer, par exemple des groupes de femmes, animés par des femmes travaillant sur le projet</w:t>
      </w:r>
      <w:r w:rsidRPr="00A05698">
        <w:t>. Cela inclut l</w:t>
      </w:r>
      <w:r w:rsidR="00A05714" w:rsidRPr="00A05698">
        <w:t>’</w:t>
      </w:r>
      <w:r w:rsidRPr="00A05698">
        <w:t>évaluation continue des risques de VBG/EAS/</w:t>
      </w:r>
      <w:r w:rsidR="002712BB" w:rsidRPr="00A05698">
        <w:t>HS.</w:t>
      </w:r>
    </w:p>
    <w:p w:rsidR="00344DAA" w:rsidRPr="00A05698" w:rsidRDefault="00DC40D7" w:rsidP="00083B97">
      <w:pPr>
        <w:pStyle w:val="PargrafodaLista"/>
        <w:spacing w:after="120" w:line="240" w:lineRule="auto"/>
        <w:ind w:left="1068"/>
        <w:outlineLvl w:val="1"/>
      </w:pPr>
      <w:bookmarkStart w:id="149" w:name="_Toc75432269"/>
      <w:r>
        <w:rPr>
          <w:rFonts w:ascii="Times New Roman" w:hAnsi="Times New Roman"/>
          <w:b/>
          <w:bCs/>
          <w:sz w:val="24"/>
          <w:szCs w:val="24"/>
        </w:rPr>
        <w:t>2</w:t>
      </w:r>
      <w:r w:rsidR="00344DAA" w:rsidRPr="00A05698">
        <w:rPr>
          <w:rFonts w:ascii="Times New Roman" w:hAnsi="Times New Roman"/>
          <w:b/>
          <w:bCs/>
          <w:sz w:val="24"/>
          <w:szCs w:val="24"/>
        </w:rPr>
        <w:t xml:space="preserve">.6 </w:t>
      </w:r>
      <w:r w:rsidR="00CD49EF" w:rsidRPr="00A05698">
        <w:rPr>
          <w:rFonts w:ascii="Times New Roman" w:hAnsi="Times New Roman"/>
          <w:b/>
          <w:bCs/>
          <w:sz w:val="24"/>
          <w:szCs w:val="24"/>
        </w:rPr>
        <w:t>SITUATION ALIMENTAIRE ET NUTRITIONNELL</w:t>
      </w:r>
      <w:r w:rsidR="00397855">
        <w:rPr>
          <w:rFonts w:ascii="Times New Roman" w:hAnsi="Times New Roman"/>
          <w:b/>
          <w:bCs/>
          <w:sz w:val="24"/>
          <w:szCs w:val="24"/>
        </w:rPr>
        <w:t>E</w:t>
      </w:r>
      <w:bookmarkEnd w:id="149"/>
    </w:p>
    <w:p w:rsidR="00CD49EF" w:rsidRPr="00A05698" w:rsidRDefault="00DC40D7" w:rsidP="00344DAA">
      <w:pPr>
        <w:pStyle w:val="PargrafodaLista"/>
        <w:spacing w:after="120" w:line="240" w:lineRule="auto"/>
        <w:ind w:left="1068" w:firstLine="348"/>
        <w:outlineLvl w:val="1"/>
        <w:rPr>
          <w:rFonts w:ascii="Times New Roman" w:hAnsi="Times New Roman"/>
          <w:b/>
          <w:bCs/>
          <w:sz w:val="24"/>
          <w:szCs w:val="24"/>
        </w:rPr>
      </w:pPr>
      <w:bookmarkStart w:id="150" w:name="_Toc75432270"/>
      <w:r>
        <w:rPr>
          <w:rFonts w:ascii="Times New Roman" w:hAnsi="Times New Roman"/>
          <w:b/>
          <w:bCs/>
          <w:sz w:val="24"/>
          <w:szCs w:val="24"/>
        </w:rPr>
        <w:t>2</w:t>
      </w:r>
      <w:r w:rsidR="006F155F" w:rsidRPr="00A05698">
        <w:rPr>
          <w:rFonts w:ascii="Times New Roman" w:hAnsi="Times New Roman"/>
          <w:b/>
          <w:bCs/>
          <w:sz w:val="24"/>
          <w:szCs w:val="24"/>
        </w:rPr>
        <w:t>.6</w:t>
      </w:r>
      <w:r w:rsidR="00CD49EF" w:rsidRPr="00A05698">
        <w:rPr>
          <w:rFonts w:ascii="Times New Roman" w:hAnsi="Times New Roman"/>
          <w:b/>
          <w:bCs/>
          <w:sz w:val="24"/>
          <w:szCs w:val="24"/>
        </w:rPr>
        <w:t>.1. Situation des marchés</w:t>
      </w:r>
      <w:bookmarkEnd w:id="150"/>
      <w:r w:rsidR="00CD49EF" w:rsidRPr="00A05698">
        <w:rPr>
          <w:rFonts w:ascii="Times New Roman" w:hAnsi="Times New Roman"/>
          <w:b/>
          <w:bCs/>
          <w:sz w:val="24"/>
          <w:szCs w:val="24"/>
        </w:rPr>
        <w:t xml:space="preserve"> </w:t>
      </w:r>
    </w:p>
    <w:p w:rsidR="00CD49EF" w:rsidRDefault="00CD49EF" w:rsidP="00266763">
      <w:pPr>
        <w:spacing w:before="120" w:after="120"/>
        <w:ind w:right="-142"/>
        <w:jc w:val="both"/>
      </w:pPr>
      <w:r w:rsidRPr="00A05698">
        <w:t>Les marchés sont globalement bien approvisionnés en ce que concernent les céréales (riz et céréales sèches) et les produits alimentaires en général, notamment le sucre, l’oignon, l’ail, la farine de blé, l’</w:t>
      </w:r>
      <w:r w:rsidR="004F0DC1">
        <w:t>huile alimentaire, le vinaigre.</w:t>
      </w:r>
    </w:p>
    <w:p w:rsidR="0047764B" w:rsidRPr="00A05698" w:rsidRDefault="0047764B" w:rsidP="0047764B">
      <w:pPr>
        <w:pStyle w:val="Legenda"/>
        <w:jc w:val="center"/>
      </w:pPr>
      <w:bookmarkStart w:id="151" w:name="_Toc75503435"/>
      <w:r w:rsidRPr="00A05698">
        <w:t xml:space="preserve">Tableau </w:t>
      </w:r>
      <w:r w:rsidR="001C4071">
        <w:fldChar w:fldCharType="begin"/>
      </w:r>
      <w:r w:rsidR="001C4071">
        <w:instrText xml:space="preserve"> </w:instrText>
      </w:r>
      <w:r w:rsidR="006C5620">
        <w:instrText>SEQ</w:instrText>
      </w:r>
      <w:r w:rsidR="001C4071">
        <w:instrText xml:space="preserve"> Tableau \* ARABIC </w:instrText>
      </w:r>
      <w:r w:rsidR="001C4071">
        <w:fldChar w:fldCharType="separate"/>
      </w:r>
      <w:r w:rsidR="00BB7875">
        <w:rPr>
          <w:noProof/>
        </w:rPr>
        <w:t>1</w:t>
      </w:r>
      <w:r w:rsidR="001C4071">
        <w:rPr>
          <w:noProof/>
        </w:rPr>
        <w:fldChar w:fldCharType="end"/>
      </w:r>
      <w:r w:rsidRPr="00A05698">
        <w:t>: Prix des produits alimentaires de base (en XOF), mois d’octobre 2020</w:t>
      </w:r>
      <w:bookmarkEnd w:id="151"/>
    </w:p>
    <w:p w:rsidR="0047764B" w:rsidRPr="00A05698" w:rsidRDefault="0047764B" w:rsidP="0047764B">
      <w:pPr>
        <w:jc w:val="both"/>
        <w:rPr>
          <w:sz w:val="20"/>
          <w:szCs w:val="20"/>
        </w:rPr>
      </w:pP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6"/>
        <w:gridCol w:w="992"/>
        <w:gridCol w:w="1708"/>
        <w:gridCol w:w="850"/>
        <w:gridCol w:w="1134"/>
        <w:gridCol w:w="1701"/>
      </w:tblGrid>
      <w:tr w:rsidR="001E516B" w:rsidRPr="00A05698" w:rsidTr="00083B97">
        <w:trPr>
          <w:jc w:val="center"/>
        </w:trPr>
        <w:tc>
          <w:tcPr>
            <w:tcW w:w="1274"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Région</w:t>
            </w:r>
          </w:p>
        </w:tc>
        <w:tc>
          <w:tcPr>
            <w:tcW w:w="1276"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Riz Importe</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992"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Sucre</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708"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Huile Alimentaire</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(L)</w:t>
            </w:r>
          </w:p>
        </w:tc>
        <w:tc>
          <w:tcPr>
            <w:tcW w:w="850"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Blé</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134"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Oignon</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701" w:type="dxa"/>
            <w:shd w:val="clear" w:color="auto" w:fill="E2EFD9" w:themeFill="accent6" w:themeFillTint="33"/>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Pomme de</w:t>
            </w:r>
            <w:r>
              <w:rPr>
                <w:rFonts w:ascii="Times New Roman" w:hAnsi="Times New Roman" w:cs="Times New Roman"/>
                <w:b/>
                <w:bCs/>
                <w:color w:val="auto"/>
                <w:sz w:val="20"/>
                <w:szCs w:val="20"/>
              </w:rPr>
              <w:t xml:space="preserve"> </w:t>
            </w:r>
            <w:r w:rsidRPr="00A05698">
              <w:rPr>
                <w:rFonts w:ascii="Times New Roman" w:hAnsi="Times New Roman" w:cs="Times New Roman"/>
                <w:b/>
                <w:bCs/>
                <w:color w:val="auto"/>
                <w:sz w:val="20"/>
                <w:szCs w:val="20"/>
              </w:rPr>
              <w:t>terre</w:t>
            </w:r>
          </w:p>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r>
      <w:tr w:rsidR="001E516B" w:rsidRPr="00A05698" w:rsidTr="00083B97">
        <w:trPr>
          <w:jc w:val="center"/>
        </w:trPr>
        <w:tc>
          <w:tcPr>
            <w:tcW w:w="1274" w:type="dxa"/>
          </w:tcPr>
          <w:p w:rsidR="001E516B" w:rsidRPr="00A05698" w:rsidRDefault="001E516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Biombo</w:t>
            </w:r>
          </w:p>
        </w:tc>
        <w:tc>
          <w:tcPr>
            <w:tcW w:w="1276"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992"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8"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850"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1"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Cacheu</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350 </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400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700 </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750 </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Oio</w:t>
            </w:r>
          </w:p>
        </w:tc>
        <w:tc>
          <w:tcPr>
            <w:tcW w:w="1276"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992"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8"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850"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1"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Quinara</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350</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450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750 </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800</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Tombali</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350 </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450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600 </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750 </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Bafata</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350</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600</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750</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lastRenderedPageBreak/>
              <w:t>Gabú</w:t>
            </w:r>
          </w:p>
        </w:tc>
        <w:tc>
          <w:tcPr>
            <w:tcW w:w="1276"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350 </w:t>
            </w:r>
          </w:p>
        </w:tc>
        <w:tc>
          <w:tcPr>
            <w:tcW w:w="992"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400</w:t>
            </w:r>
          </w:p>
        </w:tc>
        <w:tc>
          <w:tcPr>
            <w:tcW w:w="1708"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c>
          <w:tcPr>
            <w:tcW w:w="850"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450</w:t>
            </w:r>
          </w:p>
        </w:tc>
        <w:tc>
          <w:tcPr>
            <w:tcW w:w="1134"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701" w:type="dxa"/>
          </w:tcPr>
          <w:p w:rsidR="001E516B" w:rsidRPr="00A05698" w:rsidRDefault="001E516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r>
      <w:tr w:rsidR="001E516B" w:rsidRPr="00A05698" w:rsidTr="00083B97">
        <w:trPr>
          <w:jc w:val="center"/>
        </w:trPr>
        <w:tc>
          <w:tcPr>
            <w:tcW w:w="1274" w:type="dxa"/>
          </w:tcPr>
          <w:p w:rsidR="001E516B" w:rsidRPr="00A05698" w:rsidRDefault="001E516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Bolama</w:t>
            </w:r>
          </w:p>
        </w:tc>
        <w:tc>
          <w:tcPr>
            <w:tcW w:w="1276"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992"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8"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850"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c>
          <w:tcPr>
            <w:tcW w:w="1701" w:type="dxa"/>
          </w:tcPr>
          <w:p w:rsidR="001E516B" w:rsidRPr="00A05698" w:rsidRDefault="001E516B" w:rsidP="00AF4F28">
            <w:pPr>
              <w:autoSpaceDE w:val="0"/>
              <w:autoSpaceDN w:val="0"/>
              <w:adjustRightInd w:val="0"/>
              <w:ind w:left="-57" w:right="-57"/>
              <w:jc w:val="center"/>
              <w:rPr>
                <w:sz w:val="20"/>
                <w:szCs w:val="20"/>
                <w:lang w:val="pt-PT"/>
              </w:rPr>
            </w:pPr>
            <w:r w:rsidRPr="00A05698">
              <w:rPr>
                <w:sz w:val="20"/>
                <w:szCs w:val="20"/>
                <w:lang w:val="pt-PT"/>
              </w:rPr>
              <w:t>*</w:t>
            </w:r>
          </w:p>
        </w:tc>
      </w:tr>
    </w:tbl>
    <w:p w:rsidR="0047764B" w:rsidRDefault="0047764B" w:rsidP="0047764B">
      <w:pPr>
        <w:pStyle w:val="Default"/>
        <w:rPr>
          <w:rFonts w:ascii="Times New Roman" w:hAnsi="Times New Roman" w:cs="Times New Roman"/>
          <w:i/>
          <w:color w:val="auto"/>
          <w:sz w:val="20"/>
          <w:szCs w:val="20"/>
        </w:rPr>
      </w:pPr>
      <w:r w:rsidRPr="00A05698">
        <w:rPr>
          <w:rFonts w:ascii="Times New Roman" w:hAnsi="Times New Roman" w:cs="Times New Roman"/>
          <w:i/>
          <w:color w:val="auto"/>
          <w:sz w:val="20"/>
          <w:szCs w:val="20"/>
        </w:rPr>
        <w:t>Source : SSA/MADR</w:t>
      </w:r>
    </w:p>
    <w:p w:rsidR="00266763" w:rsidRDefault="00266763" w:rsidP="0047764B">
      <w:pPr>
        <w:pStyle w:val="Default"/>
        <w:rPr>
          <w:rFonts w:ascii="Times New Roman" w:hAnsi="Times New Roman" w:cs="Times New Roman"/>
          <w:i/>
          <w:color w:val="auto"/>
          <w:sz w:val="20"/>
          <w:szCs w:val="20"/>
        </w:rPr>
      </w:pPr>
    </w:p>
    <w:p w:rsidR="00266763" w:rsidRPr="00A05698" w:rsidRDefault="00266763" w:rsidP="0047764B">
      <w:pPr>
        <w:pStyle w:val="Default"/>
        <w:rPr>
          <w:rFonts w:ascii="Times New Roman" w:hAnsi="Times New Roman" w:cs="Times New Roman"/>
          <w:i/>
          <w:color w:val="auto"/>
          <w:sz w:val="20"/>
          <w:szCs w:val="20"/>
        </w:rPr>
      </w:pPr>
    </w:p>
    <w:p w:rsidR="0047764B" w:rsidRPr="00A05698" w:rsidRDefault="0047764B" w:rsidP="0047764B">
      <w:pPr>
        <w:pStyle w:val="Legenda"/>
        <w:jc w:val="center"/>
      </w:pPr>
      <w:bookmarkStart w:id="152" w:name="_Toc75503436"/>
      <w:r w:rsidRPr="00A05698">
        <w:t xml:space="preserve">Tableau </w:t>
      </w:r>
      <w:r w:rsidR="001C4071">
        <w:fldChar w:fldCharType="begin"/>
      </w:r>
      <w:r w:rsidR="001C4071">
        <w:instrText xml:space="preserve"> </w:instrText>
      </w:r>
      <w:r w:rsidR="006C5620">
        <w:instrText>SEQ</w:instrText>
      </w:r>
      <w:r w:rsidR="001C4071">
        <w:instrText xml:space="preserve"> Tableau \* ARABIC </w:instrText>
      </w:r>
      <w:r w:rsidR="001C4071">
        <w:fldChar w:fldCharType="separate"/>
      </w:r>
      <w:r w:rsidR="00BB7875">
        <w:rPr>
          <w:noProof/>
        </w:rPr>
        <w:t>2</w:t>
      </w:r>
      <w:r w:rsidR="001C4071">
        <w:rPr>
          <w:noProof/>
        </w:rPr>
        <w:fldChar w:fldCharType="end"/>
      </w:r>
      <w:r w:rsidRPr="00A05698">
        <w:t>: Prix des produits alimentaires local de base (en XOF), mois d’octobre 2020</w:t>
      </w:r>
      <w:bookmarkEnd w:id="152"/>
    </w:p>
    <w:p w:rsidR="0047764B" w:rsidRPr="00A05698" w:rsidRDefault="0047764B" w:rsidP="0047764B">
      <w:pPr>
        <w:jc w:val="both"/>
        <w:rPr>
          <w:sz w:val="20"/>
          <w:szCs w:val="20"/>
        </w:rPr>
      </w:pP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417"/>
        <w:gridCol w:w="1418"/>
        <w:gridCol w:w="1134"/>
        <w:gridCol w:w="1276"/>
      </w:tblGrid>
      <w:tr w:rsidR="0047764B" w:rsidRPr="00A05698" w:rsidTr="00AF4F28">
        <w:trPr>
          <w:jc w:val="center"/>
        </w:trPr>
        <w:tc>
          <w:tcPr>
            <w:tcW w:w="1134"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Région</w:t>
            </w:r>
          </w:p>
        </w:tc>
        <w:tc>
          <w:tcPr>
            <w:tcW w:w="1418"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Riz local</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417"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Maïs</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418"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Mil</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(L)</w:t>
            </w:r>
          </w:p>
        </w:tc>
        <w:tc>
          <w:tcPr>
            <w:tcW w:w="1134"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Sorgho</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(Kg)</w:t>
            </w:r>
          </w:p>
        </w:tc>
        <w:tc>
          <w:tcPr>
            <w:tcW w:w="1276" w:type="dxa"/>
            <w:shd w:val="clear" w:color="auto" w:fill="E2EFD9" w:themeFill="accent6" w:themeFillTint="33"/>
          </w:tcPr>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Fonio</w:t>
            </w:r>
          </w:p>
          <w:p w:rsidR="0047764B" w:rsidRPr="00A05698" w:rsidRDefault="0047764B" w:rsidP="00AF4F28">
            <w:pPr>
              <w:pStyle w:val="Default"/>
              <w:jc w:val="center"/>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(Barra)</w:t>
            </w:r>
          </w:p>
        </w:tc>
      </w:tr>
      <w:tr w:rsidR="0047764B" w:rsidRPr="00A05698" w:rsidTr="00AF4F28">
        <w:trPr>
          <w:jc w:val="center"/>
        </w:trPr>
        <w:tc>
          <w:tcPr>
            <w:tcW w:w="1134" w:type="dxa"/>
          </w:tcPr>
          <w:p w:rsidR="0047764B" w:rsidRPr="00A05698" w:rsidRDefault="0047764B" w:rsidP="00AF4F28">
            <w:pPr>
              <w:pStyle w:val="Default"/>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Biombo</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7"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Cacheu</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400 </w:t>
            </w:r>
          </w:p>
        </w:tc>
        <w:tc>
          <w:tcPr>
            <w:tcW w:w="1417"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400</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700 </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Oio</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7"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Quinara</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375</w:t>
            </w:r>
          </w:p>
        </w:tc>
        <w:tc>
          <w:tcPr>
            <w:tcW w:w="1417"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134"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Tombali</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400 </w:t>
            </w:r>
          </w:p>
        </w:tc>
        <w:tc>
          <w:tcPr>
            <w:tcW w:w="1417"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300</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Bafata</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450</w:t>
            </w:r>
          </w:p>
        </w:tc>
        <w:tc>
          <w:tcPr>
            <w:tcW w:w="1417"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134"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250</w:t>
            </w:r>
          </w:p>
        </w:tc>
        <w:tc>
          <w:tcPr>
            <w:tcW w:w="1276"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1000</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Gabú</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500</w:t>
            </w:r>
          </w:p>
        </w:tc>
        <w:tc>
          <w:tcPr>
            <w:tcW w:w="1417"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300</w:t>
            </w:r>
          </w:p>
        </w:tc>
        <w:tc>
          <w:tcPr>
            <w:tcW w:w="1418"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300</w:t>
            </w:r>
          </w:p>
        </w:tc>
        <w:tc>
          <w:tcPr>
            <w:tcW w:w="1134"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300</w:t>
            </w:r>
          </w:p>
        </w:tc>
        <w:tc>
          <w:tcPr>
            <w:tcW w:w="1276" w:type="dxa"/>
          </w:tcPr>
          <w:p w:rsidR="0047764B" w:rsidRPr="00A05698" w:rsidRDefault="0047764B" w:rsidP="00AF4F28">
            <w:pPr>
              <w:pStyle w:val="Default"/>
              <w:jc w:val="center"/>
              <w:rPr>
                <w:rFonts w:ascii="Times New Roman" w:hAnsi="Times New Roman" w:cs="Times New Roman"/>
                <w:bCs/>
                <w:color w:val="auto"/>
                <w:sz w:val="20"/>
                <w:szCs w:val="20"/>
              </w:rPr>
            </w:pPr>
            <w:r w:rsidRPr="00A05698">
              <w:rPr>
                <w:rFonts w:ascii="Times New Roman" w:hAnsi="Times New Roman" w:cs="Times New Roman"/>
                <w:bCs/>
                <w:color w:val="auto"/>
                <w:sz w:val="20"/>
                <w:szCs w:val="20"/>
              </w:rPr>
              <w:t xml:space="preserve">750 </w:t>
            </w:r>
          </w:p>
        </w:tc>
      </w:tr>
      <w:tr w:rsidR="0047764B" w:rsidRPr="00A05698" w:rsidTr="00AF4F28">
        <w:trPr>
          <w:jc w:val="center"/>
        </w:trPr>
        <w:tc>
          <w:tcPr>
            <w:tcW w:w="1134" w:type="dxa"/>
          </w:tcPr>
          <w:p w:rsidR="0047764B" w:rsidRPr="00A05698" w:rsidRDefault="0047764B" w:rsidP="00AF4F28">
            <w:pPr>
              <w:pStyle w:val="Default"/>
              <w:jc w:val="both"/>
              <w:rPr>
                <w:rFonts w:ascii="Times New Roman" w:hAnsi="Times New Roman" w:cs="Times New Roman"/>
                <w:b/>
                <w:bCs/>
                <w:color w:val="auto"/>
                <w:sz w:val="20"/>
                <w:szCs w:val="20"/>
              </w:rPr>
            </w:pPr>
            <w:r w:rsidRPr="00A05698">
              <w:rPr>
                <w:rFonts w:ascii="Times New Roman" w:hAnsi="Times New Roman" w:cs="Times New Roman"/>
                <w:b/>
                <w:bCs/>
                <w:color w:val="auto"/>
                <w:sz w:val="20"/>
                <w:szCs w:val="20"/>
              </w:rPr>
              <w:t>Bolama</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7"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418"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134"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c>
          <w:tcPr>
            <w:tcW w:w="1276" w:type="dxa"/>
          </w:tcPr>
          <w:p w:rsidR="0047764B" w:rsidRPr="00A05698" w:rsidRDefault="0047764B" w:rsidP="00AF4F28">
            <w:pPr>
              <w:autoSpaceDE w:val="0"/>
              <w:autoSpaceDN w:val="0"/>
              <w:adjustRightInd w:val="0"/>
              <w:ind w:left="-57" w:right="-57"/>
              <w:jc w:val="center"/>
              <w:rPr>
                <w:sz w:val="20"/>
                <w:szCs w:val="20"/>
                <w:lang w:val="pt-PT"/>
              </w:rPr>
            </w:pPr>
            <w:r w:rsidRPr="00A05698">
              <w:rPr>
                <w:sz w:val="20"/>
                <w:szCs w:val="20"/>
                <w:lang w:val="pt-PT"/>
              </w:rPr>
              <w:t>*</w:t>
            </w:r>
          </w:p>
        </w:tc>
      </w:tr>
    </w:tbl>
    <w:p w:rsidR="0047764B" w:rsidRPr="00CE7C67" w:rsidRDefault="0047764B" w:rsidP="00CE7C67">
      <w:pPr>
        <w:pStyle w:val="Default"/>
        <w:rPr>
          <w:rFonts w:ascii="Times New Roman" w:hAnsi="Times New Roman" w:cs="Times New Roman"/>
          <w:i/>
          <w:color w:val="auto"/>
          <w:sz w:val="20"/>
          <w:szCs w:val="20"/>
        </w:rPr>
      </w:pPr>
      <w:r w:rsidRPr="00A05698">
        <w:rPr>
          <w:rFonts w:ascii="Times New Roman" w:hAnsi="Times New Roman" w:cs="Times New Roman"/>
          <w:i/>
          <w:color w:val="auto"/>
          <w:sz w:val="20"/>
          <w:szCs w:val="20"/>
        </w:rPr>
        <w:t>Source : SSA/MADR</w:t>
      </w:r>
    </w:p>
    <w:p w:rsidR="000F400B" w:rsidRPr="00A05698" w:rsidRDefault="00CD49EF" w:rsidP="00266763">
      <w:pPr>
        <w:spacing w:before="120" w:after="120"/>
        <w:ind w:right="-142"/>
        <w:jc w:val="both"/>
      </w:pPr>
      <w:r w:rsidRPr="00A05698">
        <w:t xml:space="preserve">La commercialisation de la noix de cajou en 2020, a été mauvaise par rapport à celle de l’année 2019 malgré le niveau du prix au producteur que varie entre 250 –300 F/kg. Ceci est dû à la coïncidence du pic </w:t>
      </w:r>
      <w:r w:rsidR="00887628" w:rsidRPr="00A05698">
        <w:t>de la pandémie</w:t>
      </w:r>
      <w:r w:rsidRPr="00A05698">
        <w:t xml:space="preserve"> </w:t>
      </w:r>
      <w:r w:rsidR="00887628" w:rsidRPr="00A05698">
        <w:t>de la</w:t>
      </w:r>
      <w:r w:rsidRPr="00A05698">
        <w:t xml:space="preserve"> Covid 19 avec la période cruciale de commercialisation des noix de cajou en </w:t>
      </w:r>
      <w:r w:rsidR="006F155F" w:rsidRPr="00A05698">
        <w:t>Guinée-Bissau</w:t>
      </w:r>
      <w:r w:rsidRPr="00A05698">
        <w:t xml:space="preserve">. En </w:t>
      </w:r>
      <w:r w:rsidR="006F155F" w:rsidRPr="00A05698">
        <w:t>conséquence</w:t>
      </w:r>
      <w:r w:rsidR="00887628" w:rsidRPr="00A05698">
        <w:t>,</w:t>
      </w:r>
      <w:r w:rsidRPr="00A05698">
        <w:t xml:space="preserve"> la situation alimentaire rendre </w:t>
      </w:r>
      <w:r w:rsidR="006F155F" w:rsidRPr="00A05698">
        <w:t>difficile</w:t>
      </w:r>
      <w:r w:rsidRPr="00A05698">
        <w:t xml:space="preserve"> l’accès d’une bonne partie des ménages aux denrées alimentaires de base.</w:t>
      </w:r>
    </w:p>
    <w:p w:rsidR="000F400B" w:rsidRPr="00A05698" w:rsidRDefault="000F400B" w:rsidP="00266763">
      <w:pPr>
        <w:spacing w:before="120" w:after="120"/>
        <w:ind w:right="-142"/>
        <w:jc w:val="both"/>
      </w:pPr>
      <w:r w:rsidRPr="00A05698">
        <w:t>La noix de cajou brute de la Guinée-Bissau, très compétitive sur le marché international avec un KOR (Kernel Output Ratio - unité de mesure de la qualité de la noix brute) parmi les meilleurs du monde, demeure la principale culture de rente. La Guinée-Bissau, qui en est le cinquième producteur mondial, ne capte cependant que 1% de la valeur ajoutée de la filière alors que le potentiel lié à la capacité installée est de 10%. La noix de cajou compte pour plus des trois quarts des recettes d'exportations et environ un cinquième des recettes de l'État. La Guinée-Bissau exporte principalement ses noix de cajou vers l'Inde.</w:t>
      </w:r>
    </w:p>
    <w:p w:rsidR="002442FE" w:rsidRDefault="000F400B" w:rsidP="00266763">
      <w:pPr>
        <w:spacing w:before="120" w:after="120"/>
        <w:ind w:right="-142"/>
        <w:jc w:val="both"/>
      </w:pPr>
      <w:r w:rsidRPr="00A05698">
        <w:t>Les exportations de noix de cajou ont significativement crû (tableau</w:t>
      </w:r>
      <w:r w:rsidR="000A0BCE" w:rsidRPr="00A05698">
        <w:t xml:space="preserve"> 6</w:t>
      </w:r>
      <w:r w:rsidRPr="00A05698">
        <w:t xml:space="preserve"> que suivi)</w:t>
      </w:r>
      <w:r w:rsidR="000A0BCE" w:rsidRPr="00A05698">
        <w:t>. I</w:t>
      </w:r>
      <w:r w:rsidRPr="00A05698">
        <w:t>l</w:t>
      </w:r>
      <w:r w:rsidR="000A0BCE" w:rsidRPr="00A05698">
        <w:t xml:space="preserve"> </w:t>
      </w:r>
      <w:r w:rsidRPr="00A05698">
        <w:t>en a été de même de la production dont le taux de croissance annuelle moyenne a été de 6% depuis 1995. Cette performance a été enregistrée sur la période en dépit de la chute des cours des noix de cajou de 1 350 dollars EU/tonne en 2011 à 800 dollars EU/tonne en 2013. En 2012, le gouvernement a adopté un décret établissant une réduction de 50% de certaines taxes, notamment des taxes d'exportation, afin de faciliter l´écoulement des stocks de cajou estimés à 50 000 tonnes et leur exportation.</w:t>
      </w:r>
      <w:r w:rsidR="000C5831" w:rsidRPr="00A05698">
        <w:t xml:space="preserve"> </w:t>
      </w:r>
    </w:p>
    <w:p w:rsidR="000F400B" w:rsidRPr="00A05698" w:rsidRDefault="00416FE4" w:rsidP="000C5831">
      <w:pPr>
        <w:spacing w:line="256" w:lineRule="auto"/>
        <w:jc w:val="center"/>
        <w:rPr>
          <w:b/>
          <w:bCs/>
          <w:sz w:val="20"/>
          <w:szCs w:val="20"/>
        </w:rPr>
      </w:pPr>
      <w:bookmarkStart w:id="153" w:name="_Toc75503437"/>
      <w:r w:rsidRPr="00A05698">
        <w:rPr>
          <w:b/>
          <w:bCs/>
          <w:sz w:val="20"/>
          <w:szCs w:val="20"/>
        </w:rPr>
        <w:t xml:space="preserve">Tableau </w:t>
      </w:r>
      <w:r w:rsidRPr="00A05698">
        <w:rPr>
          <w:b/>
          <w:bCs/>
          <w:sz w:val="20"/>
          <w:szCs w:val="20"/>
        </w:rPr>
        <w:fldChar w:fldCharType="begin"/>
      </w:r>
      <w:r w:rsidRPr="00A05698">
        <w:rPr>
          <w:b/>
          <w:bCs/>
          <w:sz w:val="20"/>
          <w:szCs w:val="20"/>
        </w:rPr>
        <w:instrText xml:space="preserve"> </w:instrText>
      </w:r>
      <w:r w:rsidR="006C5620">
        <w:rPr>
          <w:b/>
          <w:bCs/>
          <w:sz w:val="20"/>
          <w:szCs w:val="20"/>
        </w:rPr>
        <w:instrText>SEQ</w:instrText>
      </w:r>
      <w:r w:rsidRPr="00A05698">
        <w:rPr>
          <w:b/>
          <w:bCs/>
          <w:sz w:val="20"/>
          <w:szCs w:val="20"/>
        </w:rPr>
        <w:instrText xml:space="preserve"> Tableau \* ARABIC </w:instrText>
      </w:r>
      <w:r w:rsidRPr="00A05698">
        <w:rPr>
          <w:b/>
          <w:bCs/>
          <w:sz w:val="20"/>
          <w:szCs w:val="20"/>
        </w:rPr>
        <w:fldChar w:fldCharType="separate"/>
      </w:r>
      <w:r w:rsidR="00BB7875">
        <w:rPr>
          <w:b/>
          <w:bCs/>
          <w:noProof/>
          <w:sz w:val="20"/>
          <w:szCs w:val="20"/>
        </w:rPr>
        <w:t>3</w:t>
      </w:r>
      <w:r w:rsidRPr="00A05698">
        <w:rPr>
          <w:b/>
          <w:bCs/>
          <w:sz w:val="20"/>
          <w:szCs w:val="20"/>
        </w:rPr>
        <w:fldChar w:fldCharType="end"/>
      </w:r>
      <w:r w:rsidR="000F400B" w:rsidRPr="00A05698">
        <w:rPr>
          <w:b/>
          <w:bCs/>
          <w:sz w:val="20"/>
          <w:szCs w:val="20"/>
        </w:rPr>
        <w:t>: Commerce de noix de cajou en Guinée-Bissau, 2010-2015</w:t>
      </w:r>
      <w:bookmarkEnd w:id="153"/>
    </w:p>
    <w:p w:rsidR="000F400B" w:rsidRPr="00A05698" w:rsidRDefault="000F400B" w:rsidP="000F400B">
      <w:pPr>
        <w:spacing w:after="160" w:line="256" w:lineRule="auto"/>
        <w:jc w:val="center"/>
      </w:pPr>
      <w:r w:rsidRPr="00A05698">
        <w:rPr>
          <w:noProof/>
          <w:lang w:val="pt-PT" w:eastAsia="pt-PT"/>
        </w:rPr>
        <w:drawing>
          <wp:inline distT="0" distB="0" distL="0" distR="0" wp14:anchorId="2F057C49" wp14:editId="1D964759">
            <wp:extent cx="5968365" cy="1547495"/>
            <wp:effectExtent l="0" t="0" r="635" b="190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8365" cy="1547495"/>
                    </a:xfrm>
                    <a:prstGeom prst="rect">
                      <a:avLst/>
                    </a:prstGeom>
                    <a:noFill/>
                    <a:ln>
                      <a:noFill/>
                    </a:ln>
                  </pic:spPr>
                </pic:pic>
              </a:graphicData>
            </a:graphic>
          </wp:inline>
        </w:drawing>
      </w:r>
    </w:p>
    <w:p w:rsidR="000F400B" w:rsidRPr="001A62A8" w:rsidRDefault="000F400B" w:rsidP="000F400B">
      <w:pPr>
        <w:spacing w:after="160" w:line="256" w:lineRule="auto"/>
        <w:jc w:val="both"/>
        <w:rPr>
          <w:sz w:val="20"/>
          <w:szCs w:val="20"/>
          <w:lang w:eastAsia="zh-CN"/>
        </w:rPr>
      </w:pPr>
      <w:r w:rsidRPr="001A62A8">
        <w:rPr>
          <w:b/>
          <w:bCs/>
          <w:sz w:val="20"/>
          <w:szCs w:val="20"/>
          <w:u w:val="single"/>
        </w:rPr>
        <w:t>Source</w:t>
      </w:r>
      <w:r w:rsidR="000C5831" w:rsidRPr="001A62A8">
        <w:rPr>
          <w:b/>
          <w:bCs/>
          <w:sz w:val="20"/>
          <w:szCs w:val="20"/>
          <w:u w:val="single"/>
        </w:rPr>
        <w:t xml:space="preserve"> </w:t>
      </w:r>
      <w:r w:rsidRPr="001A62A8">
        <w:rPr>
          <w:b/>
          <w:bCs/>
          <w:sz w:val="20"/>
          <w:szCs w:val="20"/>
          <w:u w:val="single"/>
        </w:rPr>
        <w:t>:</w:t>
      </w:r>
      <w:r w:rsidRPr="001A62A8">
        <w:rPr>
          <w:b/>
          <w:bCs/>
          <w:sz w:val="20"/>
          <w:szCs w:val="20"/>
        </w:rPr>
        <w:t xml:space="preserve"> </w:t>
      </w:r>
      <w:r w:rsidRPr="001A62A8">
        <w:rPr>
          <w:sz w:val="20"/>
          <w:szCs w:val="20"/>
        </w:rPr>
        <w:t>Base de données statistiques de la FAO (adresse consultée</w:t>
      </w:r>
      <w:r w:rsidR="000C5831" w:rsidRPr="001A62A8">
        <w:rPr>
          <w:sz w:val="20"/>
          <w:szCs w:val="20"/>
        </w:rPr>
        <w:t xml:space="preserve"> </w:t>
      </w:r>
      <w:r w:rsidRPr="001A62A8">
        <w:rPr>
          <w:sz w:val="20"/>
          <w:szCs w:val="20"/>
        </w:rPr>
        <w:t>: http://faostat3.fao.org/home/E), et autorités bissau-guinéennes.</w:t>
      </w:r>
    </w:p>
    <w:p w:rsidR="0000011D" w:rsidRDefault="00DC40D7" w:rsidP="00083B97">
      <w:pPr>
        <w:pStyle w:val="PargrafodaLista"/>
        <w:spacing w:after="120" w:line="240" w:lineRule="auto"/>
        <w:ind w:left="1068" w:firstLine="348"/>
        <w:outlineLvl w:val="1"/>
      </w:pPr>
      <w:bookmarkStart w:id="154" w:name="_Toc75432271"/>
      <w:r>
        <w:rPr>
          <w:rFonts w:ascii="Times New Roman" w:hAnsi="Times New Roman"/>
          <w:b/>
          <w:bCs/>
          <w:sz w:val="24"/>
          <w:szCs w:val="24"/>
        </w:rPr>
        <w:lastRenderedPageBreak/>
        <w:t>2</w:t>
      </w:r>
      <w:r w:rsidR="0000011D" w:rsidRPr="00A05698">
        <w:rPr>
          <w:rFonts w:ascii="Times New Roman" w:hAnsi="Times New Roman"/>
          <w:b/>
          <w:bCs/>
          <w:sz w:val="24"/>
          <w:szCs w:val="24"/>
        </w:rPr>
        <w:t>.6.2 Analyse de la Situation nutritionnelle</w:t>
      </w:r>
      <w:bookmarkEnd w:id="154"/>
    </w:p>
    <w:p w:rsidR="0000011D" w:rsidRDefault="0000011D" w:rsidP="00CE7C67">
      <w:pPr>
        <w:pBdr>
          <w:top w:val="single" w:sz="4" w:space="1" w:color="auto"/>
          <w:left w:val="single" w:sz="4" w:space="4" w:color="auto"/>
          <w:bottom w:val="single" w:sz="4" w:space="1" w:color="auto"/>
          <w:right w:val="single" w:sz="4" w:space="4" w:color="auto"/>
        </w:pBdr>
        <w:jc w:val="both"/>
        <w:outlineLvl w:val="1"/>
        <w:rPr>
          <w:b/>
          <w:bCs/>
        </w:rPr>
      </w:pPr>
      <w:bookmarkStart w:id="155" w:name="_Toc67507485"/>
      <w:bookmarkStart w:id="156" w:name="_Toc67508487"/>
      <w:bookmarkStart w:id="157" w:name="_Toc69918674"/>
      <w:bookmarkStart w:id="158" w:name="_Toc73452870"/>
      <w:bookmarkStart w:id="159" w:name="_Toc73459716"/>
      <w:bookmarkStart w:id="160" w:name="_Toc75432272"/>
      <w:r>
        <w:rPr>
          <w:rFonts w:eastAsia="Calibri"/>
          <w:b/>
          <w:bCs/>
        </w:rPr>
        <w:t xml:space="preserve">Ainsi, le </w:t>
      </w:r>
      <w:r w:rsidRPr="00EF3A36">
        <w:rPr>
          <w:b/>
          <w:bCs/>
        </w:rPr>
        <w:t>Cadre Harmonisé d’analyse et d’identification des zones</w:t>
      </w:r>
      <w:r>
        <w:rPr>
          <w:b/>
          <w:bCs/>
        </w:rPr>
        <w:t xml:space="preserve"> </w:t>
      </w:r>
      <w:r w:rsidRPr="00EF3A36">
        <w:rPr>
          <w:b/>
          <w:bCs/>
        </w:rPr>
        <w:t>à risque et des populations en insécurité alimentaire au Sahel et en Afrique de l’Ouest (CH)</w:t>
      </w:r>
      <w:r>
        <w:rPr>
          <w:b/>
          <w:bCs/>
        </w:rPr>
        <w:t xml:space="preserve"> a</w:t>
      </w:r>
      <w:r w:rsidR="0014103C">
        <w:rPr>
          <w:b/>
          <w:bCs/>
        </w:rPr>
        <w:t>vait</w:t>
      </w:r>
      <w:r>
        <w:rPr>
          <w:b/>
          <w:bCs/>
        </w:rPr>
        <w:t xml:space="preserve"> effectué des analyses de la situation de l’insécurité alimentaire aigue actuelle par rapport même à la pandémie de la Covid 19 en Guinée Bissau. (Octobre à Décembre 2020)</w:t>
      </w:r>
      <w:bookmarkEnd w:id="155"/>
      <w:bookmarkEnd w:id="156"/>
      <w:bookmarkEnd w:id="157"/>
      <w:bookmarkEnd w:id="158"/>
      <w:bookmarkEnd w:id="159"/>
      <w:bookmarkEnd w:id="160"/>
    </w:p>
    <w:p w:rsidR="00B852A8" w:rsidRDefault="0000011D" w:rsidP="00CE7C67">
      <w:pPr>
        <w:pBdr>
          <w:top w:val="single" w:sz="4" w:space="1" w:color="auto"/>
          <w:left w:val="single" w:sz="4" w:space="4" w:color="auto"/>
          <w:bottom w:val="single" w:sz="4" w:space="1" w:color="auto"/>
          <w:right w:val="single" w:sz="4" w:space="4" w:color="auto"/>
        </w:pBdr>
        <w:jc w:val="both"/>
        <w:rPr>
          <w:b/>
          <w:bCs/>
          <w:i/>
        </w:rPr>
      </w:pPr>
      <w:r>
        <w:rPr>
          <w:b/>
          <w:bCs/>
        </w:rPr>
        <w:t>Les résultats de l’analyse de la situation de l’insécurité alimentaire en Guinée Bissau sont représentés ci-dessous. (</w:t>
      </w:r>
      <w:r w:rsidRPr="00A72AD4">
        <w:rPr>
          <w:bCs/>
          <w:i/>
        </w:rPr>
        <w:t>Source</w:t>
      </w:r>
      <w:r w:rsidRPr="00EF3A36">
        <w:rPr>
          <w:bCs/>
          <w:i/>
        </w:rPr>
        <w:t> : la direction de service des statistiques agricoles</w:t>
      </w:r>
      <w:r>
        <w:rPr>
          <w:b/>
          <w:bCs/>
          <w:i/>
        </w:rPr>
        <w:t>)</w:t>
      </w:r>
    </w:p>
    <w:p w:rsidR="00CD49EF" w:rsidRPr="00A05698" w:rsidRDefault="00CD49EF" w:rsidP="001A62A8">
      <w:pPr>
        <w:jc w:val="both"/>
      </w:pPr>
      <w:r w:rsidRPr="00A05698">
        <w:t xml:space="preserve">La situation des admissions au centre de récupération nutritionnel en internement (CRENI) pour la gestion des cas de malnutrition aigüe sévère de ces 3 derniers mois sont de 250 cas contre 185 cas notés à la même période de l’année passée.   </w:t>
      </w:r>
    </w:p>
    <w:p w:rsidR="00CD49EF" w:rsidRPr="00A05698" w:rsidRDefault="00CD49EF" w:rsidP="001A62A8">
      <w:pPr>
        <w:spacing w:before="120" w:after="120"/>
        <w:jc w:val="both"/>
      </w:pPr>
      <w:r w:rsidRPr="00A05698">
        <w:t xml:space="preserve">Il en est de même pour la situation des admissions au centre de récupération nutritionnel ambulatoire (CRENAG) pour la gestion des cas de la malnutrition aigüe modérée de ces 3 derniers mois qui sont de 245 cas contre 148 cas à la même période de l’année passée. </w:t>
      </w:r>
    </w:p>
    <w:p w:rsidR="00B852A8" w:rsidRPr="00A05698" w:rsidRDefault="00CD49EF" w:rsidP="001A62A8">
      <w:pPr>
        <w:spacing w:before="120" w:after="120"/>
        <w:ind w:right="-142"/>
        <w:jc w:val="both"/>
      </w:pPr>
      <w:r w:rsidRPr="00A05698">
        <w:t>Donc</w:t>
      </w:r>
      <w:r w:rsidR="000A0BCE" w:rsidRPr="00A05698">
        <w:t>,</w:t>
      </w:r>
      <w:r w:rsidRPr="00A05698">
        <w:t xml:space="preserve"> on peut considérer que les augmentations des cas de malnutrition aigüe sévère et de la malnutrition aigüe modérée peuvent être dues aux effets de la pandémie de Covid-19.</w:t>
      </w:r>
    </w:p>
    <w:p w:rsidR="00CD49EF" w:rsidRPr="00A05698" w:rsidRDefault="00CD49EF" w:rsidP="00B439C8">
      <w:pPr>
        <w:pStyle w:val="PargrafodaLista"/>
        <w:numPr>
          <w:ilvl w:val="0"/>
          <w:numId w:val="40"/>
        </w:numPr>
        <w:spacing w:after="120" w:line="240" w:lineRule="auto"/>
        <w:outlineLvl w:val="1"/>
        <w:rPr>
          <w:rFonts w:ascii="Times New Roman" w:hAnsi="Times New Roman"/>
          <w:b/>
          <w:bCs/>
          <w:sz w:val="24"/>
          <w:szCs w:val="24"/>
        </w:rPr>
      </w:pPr>
      <w:bookmarkStart w:id="161" w:name="_Toc75432273"/>
      <w:r w:rsidRPr="00A05698">
        <w:rPr>
          <w:rFonts w:ascii="Times New Roman" w:hAnsi="Times New Roman"/>
          <w:b/>
          <w:bCs/>
          <w:sz w:val="24"/>
          <w:szCs w:val="24"/>
        </w:rPr>
        <w:t>Analyse des indicateurs de résultats de la sécurité alimentaire/résultats</w:t>
      </w:r>
      <w:bookmarkEnd w:id="161"/>
    </w:p>
    <w:p w:rsidR="00CD49EF" w:rsidRPr="00A05698" w:rsidRDefault="00CD49EF" w:rsidP="00B439C8">
      <w:pPr>
        <w:pStyle w:val="PargrafodaLista"/>
        <w:numPr>
          <w:ilvl w:val="1"/>
          <w:numId w:val="40"/>
        </w:numPr>
        <w:spacing w:after="0"/>
        <w:jc w:val="both"/>
        <w:rPr>
          <w:rFonts w:ascii="Times New Roman" w:hAnsi="Times New Roman"/>
          <w:b/>
          <w:bCs/>
          <w:i/>
          <w:sz w:val="24"/>
          <w:szCs w:val="24"/>
          <w:u w:val="single"/>
        </w:rPr>
      </w:pPr>
      <w:r w:rsidRPr="00A05698">
        <w:rPr>
          <w:rFonts w:ascii="Times New Roman" w:hAnsi="Times New Roman"/>
          <w:b/>
          <w:bCs/>
          <w:i/>
          <w:sz w:val="24"/>
          <w:szCs w:val="24"/>
          <w:u w:val="single"/>
        </w:rPr>
        <w:t xml:space="preserve">Consommation alimentaire </w:t>
      </w:r>
    </w:p>
    <w:p w:rsidR="00CD49EF" w:rsidRPr="00A05698" w:rsidRDefault="00CD49EF" w:rsidP="001A62A8">
      <w:pPr>
        <w:spacing w:before="120" w:after="120"/>
        <w:jc w:val="both"/>
      </w:pPr>
      <w:r w:rsidRPr="00A05698">
        <w:t xml:space="preserve">La consommation alimentaire est dans l’ensemble en dégradation du fait qu’une grande partie des ménages ont développé des stratégies négatives liées aux moyens d’existence dans presque toutes </w:t>
      </w:r>
      <w:r w:rsidR="007F3466" w:rsidRPr="00A05698">
        <w:t xml:space="preserve">les </w:t>
      </w:r>
      <w:r w:rsidRPr="00A05698">
        <w:t>régions du pays</w:t>
      </w:r>
      <w:r w:rsidR="007F3466" w:rsidRPr="00A05698">
        <w:t>. Cette baisse est consécutive,</w:t>
      </w:r>
      <w:r w:rsidRPr="00A05698">
        <w:t xml:space="preserve"> </w:t>
      </w:r>
      <w:r w:rsidR="000C5831" w:rsidRPr="00A05698">
        <w:t>aux</w:t>
      </w:r>
      <w:r w:rsidRPr="00A05698">
        <w:t xml:space="preserve"> difficultés financières notamment engendrées par la mauvaise campagne de la noix de cajou et le conte</w:t>
      </w:r>
      <w:r w:rsidR="00AD7C00" w:rsidRPr="00A05698">
        <w:t>xte d</w:t>
      </w:r>
      <w:r w:rsidR="007F3466" w:rsidRPr="00A05698">
        <w:t xml:space="preserve">e </w:t>
      </w:r>
      <w:r w:rsidR="00681BD5" w:rsidRPr="00A05698">
        <w:t>la COVID</w:t>
      </w:r>
      <w:r w:rsidR="00AD7C00" w:rsidRPr="00A05698">
        <w:t>-19</w:t>
      </w:r>
      <w:r w:rsidRPr="00A05698">
        <w:t>.</w:t>
      </w:r>
    </w:p>
    <w:p w:rsidR="00CD49EF" w:rsidRPr="00A05698" w:rsidRDefault="00CD49EF" w:rsidP="00B439C8">
      <w:pPr>
        <w:pStyle w:val="PargrafodaLista"/>
        <w:numPr>
          <w:ilvl w:val="1"/>
          <w:numId w:val="40"/>
        </w:numPr>
        <w:spacing w:after="0"/>
        <w:jc w:val="both"/>
        <w:rPr>
          <w:rFonts w:ascii="Times New Roman" w:hAnsi="Times New Roman"/>
          <w:b/>
          <w:bCs/>
          <w:i/>
          <w:sz w:val="24"/>
          <w:szCs w:val="24"/>
          <w:u w:val="single"/>
        </w:rPr>
      </w:pPr>
      <w:r w:rsidRPr="00A05698">
        <w:rPr>
          <w:rFonts w:ascii="Times New Roman" w:hAnsi="Times New Roman"/>
          <w:b/>
          <w:bCs/>
          <w:i/>
          <w:sz w:val="24"/>
          <w:szCs w:val="24"/>
          <w:u w:val="single"/>
        </w:rPr>
        <w:t>Évolution des moyens d’existence</w:t>
      </w:r>
    </w:p>
    <w:p w:rsidR="00CD49EF" w:rsidRPr="00A05698" w:rsidRDefault="00CD49EF" w:rsidP="007B59A6">
      <w:pPr>
        <w:spacing w:before="120" w:after="120"/>
        <w:ind w:right="-142"/>
        <w:jc w:val="both"/>
      </w:pPr>
      <w:r w:rsidRPr="00A05698">
        <w:t xml:space="preserve">On note une nette détérioration des moyens d’existence dans le pays avec une dégradation des conditions de vie des ménages les plus pauvres. </w:t>
      </w:r>
    </w:p>
    <w:p w:rsidR="0000011D" w:rsidRPr="000F5902" w:rsidRDefault="00BB7875" w:rsidP="000F5902">
      <w:pPr>
        <w:pStyle w:val="PargrafodaLista"/>
        <w:spacing w:after="360" w:line="240" w:lineRule="auto"/>
        <w:ind w:left="1068" w:firstLine="348"/>
        <w:outlineLvl w:val="1"/>
        <w:rPr>
          <w:rFonts w:ascii="Times New Roman" w:hAnsi="Times New Roman"/>
          <w:b/>
          <w:bCs/>
          <w:sz w:val="24"/>
          <w:szCs w:val="24"/>
        </w:rPr>
      </w:pPr>
      <w:bookmarkStart w:id="162" w:name="_Toc75432274"/>
      <w:r>
        <w:rPr>
          <w:rFonts w:ascii="Times New Roman" w:hAnsi="Times New Roman"/>
          <w:b/>
          <w:bCs/>
          <w:sz w:val="24"/>
          <w:szCs w:val="24"/>
        </w:rPr>
        <w:t>2</w:t>
      </w:r>
      <w:r w:rsidR="007E3046" w:rsidRPr="00A05698">
        <w:rPr>
          <w:rFonts w:ascii="Times New Roman" w:hAnsi="Times New Roman"/>
          <w:b/>
          <w:bCs/>
          <w:sz w:val="24"/>
          <w:szCs w:val="24"/>
        </w:rPr>
        <w:t>.6.3</w:t>
      </w:r>
      <w:r w:rsidR="00F867D4" w:rsidRPr="00A05698">
        <w:rPr>
          <w:rFonts w:ascii="Times New Roman" w:hAnsi="Times New Roman"/>
          <w:b/>
          <w:bCs/>
          <w:sz w:val="24"/>
          <w:szCs w:val="24"/>
        </w:rPr>
        <w:t xml:space="preserve"> </w:t>
      </w:r>
      <w:r w:rsidR="007E3046" w:rsidRPr="00A05698">
        <w:rPr>
          <w:rFonts w:ascii="Times New Roman" w:hAnsi="Times New Roman"/>
          <w:b/>
          <w:bCs/>
          <w:sz w:val="24"/>
          <w:szCs w:val="24"/>
        </w:rPr>
        <w:t>E</w:t>
      </w:r>
      <w:r w:rsidR="00F867D4" w:rsidRPr="00A05698">
        <w:rPr>
          <w:rFonts w:ascii="Times New Roman" w:hAnsi="Times New Roman"/>
          <w:b/>
          <w:bCs/>
          <w:sz w:val="24"/>
          <w:szCs w:val="24"/>
        </w:rPr>
        <w:t>valuation de l’insécurité alimentaire (cadre harmonisé)</w:t>
      </w:r>
      <w:bookmarkEnd w:id="162"/>
    </w:p>
    <w:p w:rsidR="00CD49EF" w:rsidRPr="00A05698" w:rsidRDefault="007B59A6" w:rsidP="00F01E9D">
      <w:pPr>
        <w:pStyle w:val="PargrafodaLista"/>
        <w:spacing w:after="120" w:line="240" w:lineRule="auto"/>
        <w:ind w:left="1068" w:firstLine="348"/>
        <w:outlineLvl w:val="1"/>
        <w:rPr>
          <w:rFonts w:ascii="Times New Roman" w:hAnsi="Times New Roman"/>
          <w:b/>
          <w:bCs/>
          <w:sz w:val="22"/>
          <w:szCs w:val="22"/>
        </w:rPr>
      </w:pPr>
      <w:bookmarkStart w:id="163" w:name="_Toc75432275"/>
      <w:r>
        <w:rPr>
          <w:rFonts w:ascii="Times New Roman" w:hAnsi="Times New Roman"/>
          <w:b/>
          <w:bCs/>
          <w:sz w:val="22"/>
          <w:szCs w:val="22"/>
        </w:rPr>
        <w:t xml:space="preserve">      </w:t>
      </w:r>
      <w:r w:rsidR="00BB7875">
        <w:rPr>
          <w:rFonts w:ascii="Times New Roman" w:hAnsi="Times New Roman"/>
          <w:b/>
          <w:bCs/>
          <w:sz w:val="22"/>
          <w:szCs w:val="22"/>
        </w:rPr>
        <w:t>2</w:t>
      </w:r>
      <w:r w:rsidR="005033A6" w:rsidRPr="00A05698">
        <w:rPr>
          <w:rFonts w:ascii="Times New Roman" w:hAnsi="Times New Roman"/>
          <w:b/>
          <w:bCs/>
          <w:sz w:val="22"/>
          <w:szCs w:val="22"/>
        </w:rPr>
        <w:t xml:space="preserve">.6.3.1 </w:t>
      </w:r>
      <w:r w:rsidR="00CD49EF" w:rsidRPr="00A05698">
        <w:rPr>
          <w:rFonts w:ascii="Times New Roman" w:hAnsi="Times New Roman"/>
          <w:b/>
          <w:bCs/>
          <w:sz w:val="22"/>
          <w:szCs w:val="22"/>
        </w:rPr>
        <w:t>Rappel de la méthodologie utilisée</w:t>
      </w:r>
      <w:bookmarkEnd w:id="163"/>
      <w:r w:rsidR="00CD49EF" w:rsidRPr="00A05698">
        <w:rPr>
          <w:rFonts w:ascii="Times New Roman" w:hAnsi="Times New Roman"/>
          <w:b/>
          <w:bCs/>
          <w:sz w:val="22"/>
          <w:szCs w:val="22"/>
        </w:rPr>
        <w:t xml:space="preserve"> </w:t>
      </w:r>
    </w:p>
    <w:p w:rsidR="00CD49EF" w:rsidRPr="00A05698" w:rsidRDefault="00CD49EF" w:rsidP="007B59A6">
      <w:pPr>
        <w:spacing w:before="120" w:after="120"/>
        <w:ind w:right="-142"/>
        <w:jc w:val="both"/>
      </w:pPr>
      <w:r w:rsidRPr="00A05698">
        <w:t>Sous la coordination de la Direction des Statistiques Agricoles et du CONACILSS, tous les acteurs nationaux et internationaux de la place ont été conviés à prendre part à ce cycle d’analyse du CH en Guinée-Bissau. Tous les acteurs ont été invités également à fournir les données (preuves) de leurs secteurs respectifs.</w:t>
      </w:r>
    </w:p>
    <w:p w:rsidR="00CD49EF" w:rsidRPr="00A05698" w:rsidRDefault="00CD49EF" w:rsidP="007B59A6">
      <w:pPr>
        <w:spacing w:before="120" w:after="120"/>
        <w:ind w:right="-142"/>
        <w:jc w:val="both"/>
      </w:pPr>
      <w:r w:rsidRPr="00A05698">
        <w:t xml:space="preserve">L’exercice a débuté par une formation sur les procédures de collecte des données et de remplissage de la nouvelle matrice intermédiaire et du nouveau tableur du Cadre harmonisé. </w:t>
      </w:r>
      <w:r w:rsidRPr="004D1BD0">
        <w:t>Ensuite, les participants ont été</w:t>
      </w:r>
      <w:r w:rsidRPr="00A05698">
        <w:t xml:space="preserve"> regroupés dans les mêmes groupes définis lors de l’exercice passé du mois de novembre 2020. Il n’a pas été possible de recueillir des données au niveau secteur, ce qui a amené les équipes à travailler au niveau région (N1). </w:t>
      </w:r>
    </w:p>
    <w:p w:rsidR="000C5831" w:rsidRPr="00A05698" w:rsidRDefault="00353598" w:rsidP="007B59A6">
      <w:pPr>
        <w:spacing w:before="120" w:after="120"/>
        <w:ind w:right="-142"/>
        <w:jc w:val="both"/>
      </w:pPr>
      <w:r w:rsidRPr="00A05698">
        <w:t xml:space="preserve"> </w:t>
      </w:r>
      <w:r w:rsidR="00CD49EF" w:rsidRPr="00A05698">
        <w:t>Pour l’analyse, les données des indicateurs des résultats utilisés sont issues des enquêtes S</w:t>
      </w:r>
      <w:r w:rsidR="00460312">
        <w:t>I</w:t>
      </w:r>
      <w:r w:rsidR="00CD49EF" w:rsidRPr="00A05698">
        <w:t xml:space="preserve">SSAN. Les données des facteurs contributifs proviennent des rapports du </w:t>
      </w:r>
      <w:r w:rsidR="00A35434">
        <w:t>DGA</w:t>
      </w:r>
      <w:r w:rsidR="00CD49EF" w:rsidRPr="00A05698">
        <w:t>, de la Mission conjointe d’évaluation des récoltes, de suivi des marchés par le PAM, du suivi des admissions dans les centres de récupération nutritionnelle, de la protection civile pour les inondations, etc.</w:t>
      </w:r>
    </w:p>
    <w:p w:rsidR="00CD49EF" w:rsidRPr="00A05698" w:rsidRDefault="00BB7875" w:rsidP="004F0DC1">
      <w:pPr>
        <w:pStyle w:val="PargrafodaLista"/>
        <w:spacing w:after="120" w:line="240" w:lineRule="auto"/>
        <w:ind w:left="1068" w:firstLine="348"/>
        <w:outlineLvl w:val="1"/>
        <w:rPr>
          <w:rFonts w:ascii="Times New Roman" w:hAnsi="Times New Roman"/>
          <w:b/>
          <w:bCs/>
          <w:sz w:val="22"/>
          <w:szCs w:val="22"/>
        </w:rPr>
      </w:pPr>
      <w:bookmarkStart w:id="164" w:name="_Toc75432276"/>
      <w:r>
        <w:rPr>
          <w:rFonts w:ascii="Times New Roman" w:hAnsi="Times New Roman"/>
          <w:b/>
          <w:bCs/>
          <w:sz w:val="22"/>
          <w:szCs w:val="22"/>
        </w:rPr>
        <w:t>2</w:t>
      </w:r>
      <w:r w:rsidR="009775D5" w:rsidRPr="00A05698">
        <w:rPr>
          <w:rFonts w:ascii="Times New Roman" w:hAnsi="Times New Roman"/>
          <w:b/>
          <w:bCs/>
          <w:sz w:val="22"/>
          <w:szCs w:val="22"/>
        </w:rPr>
        <w:t>.</w:t>
      </w:r>
      <w:r w:rsidR="00CD49EF" w:rsidRPr="00A05698">
        <w:rPr>
          <w:rFonts w:ascii="Times New Roman" w:hAnsi="Times New Roman"/>
          <w:b/>
          <w:bCs/>
          <w:sz w:val="22"/>
          <w:szCs w:val="22"/>
        </w:rPr>
        <w:t>6.</w:t>
      </w:r>
      <w:r w:rsidR="004F0DC1">
        <w:rPr>
          <w:rFonts w:ascii="Times New Roman" w:hAnsi="Times New Roman"/>
          <w:b/>
          <w:bCs/>
          <w:sz w:val="22"/>
          <w:szCs w:val="22"/>
        </w:rPr>
        <w:t>3</w:t>
      </w:r>
      <w:r w:rsidR="00905D9C">
        <w:rPr>
          <w:rFonts w:ascii="Times New Roman" w:hAnsi="Times New Roman"/>
          <w:b/>
          <w:bCs/>
          <w:sz w:val="22"/>
          <w:szCs w:val="22"/>
        </w:rPr>
        <w:t>.</w:t>
      </w:r>
      <w:r w:rsidR="00CD49EF" w:rsidRPr="00A05698">
        <w:rPr>
          <w:rFonts w:ascii="Times New Roman" w:hAnsi="Times New Roman"/>
          <w:b/>
          <w:bCs/>
          <w:sz w:val="22"/>
          <w:szCs w:val="22"/>
        </w:rPr>
        <w:t xml:space="preserve">2. </w:t>
      </w:r>
      <w:r w:rsidR="00BF3603" w:rsidRPr="00A05698">
        <w:rPr>
          <w:rFonts w:ascii="Times New Roman" w:hAnsi="Times New Roman"/>
          <w:b/>
          <w:bCs/>
          <w:sz w:val="22"/>
          <w:szCs w:val="22"/>
        </w:rPr>
        <w:t>Situation courante</w:t>
      </w:r>
      <w:r w:rsidR="00CD49EF" w:rsidRPr="00A05698">
        <w:rPr>
          <w:rFonts w:ascii="Times New Roman" w:hAnsi="Times New Roman"/>
          <w:b/>
          <w:bCs/>
          <w:sz w:val="22"/>
          <w:szCs w:val="22"/>
        </w:rPr>
        <w:t xml:space="preserve"> et projetée</w:t>
      </w:r>
      <w:bookmarkEnd w:id="164"/>
    </w:p>
    <w:p w:rsidR="00CD49EF" w:rsidRPr="00A05698" w:rsidRDefault="00CD49EF" w:rsidP="007B59A6">
      <w:pPr>
        <w:spacing w:before="120" w:after="120"/>
        <w:ind w:right="-142"/>
        <w:jc w:val="both"/>
      </w:pPr>
      <w:r w:rsidRPr="00A05698">
        <w:t xml:space="preserve">L’analyse </w:t>
      </w:r>
      <w:r w:rsidR="00076101" w:rsidRPr="00A05698">
        <w:t xml:space="preserve">du </w:t>
      </w:r>
      <w:r w:rsidRPr="00A05698">
        <w:t>Cadre Harmonisé en Guinée-Bissau fait ressortir les résultats suivants :</w:t>
      </w:r>
    </w:p>
    <w:p w:rsidR="00CD49EF" w:rsidRPr="00A05698" w:rsidRDefault="00CD49EF" w:rsidP="007B59A6">
      <w:pPr>
        <w:spacing w:before="120" w:after="120"/>
        <w:ind w:right="-142"/>
        <w:jc w:val="both"/>
      </w:pPr>
      <w:r w:rsidRPr="00A05698">
        <w:lastRenderedPageBreak/>
        <w:t>En phase courante (octobre à décembre 2020), 2 régions (Bafata et Bolama)) sur 8 analysées a été classées en phase 3 (IA crise) et 5 régions en phase 2 (IA sous pression) et une région (Quinara) en minimale (</w:t>
      </w:r>
      <w:r w:rsidRPr="004D1BD0">
        <w:rPr>
          <w:i/>
          <w:iCs/>
        </w:rPr>
        <w:t>cf. carte 1</w:t>
      </w:r>
      <w:r w:rsidRPr="00A05698">
        <w:t xml:space="preserve">) ; tandis qu’en situation projetée (Juin à Août 2021), 1 région (Bolama) sur 8 </w:t>
      </w:r>
      <w:r w:rsidR="00076101" w:rsidRPr="00A05698">
        <w:t>analysées</w:t>
      </w:r>
      <w:r w:rsidRPr="00A05698">
        <w:t xml:space="preserve"> serait en phase 3 (IA crise), 6 régions en phase 2 (IA sous pression) et 1 région (Cacheu) en p</w:t>
      </w:r>
      <w:r w:rsidR="008B3A25" w:rsidRPr="00A05698">
        <w:t>hase 1 (IA minimale) cf. carte ci-dessous</w:t>
      </w:r>
      <w:r w:rsidRPr="00A05698">
        <w:t>.</w:t>
      </w:r>
    </w:p>
    <w:p w:rsidR="00CD49EF" w:rsidRDefault="00CD49EF" w:rsidP="007B59A6">
      <w:pPr>
        <w:spacing w:before="120" w:after="120"/>
        <w:ind w:right="-142"/>
        <w:jc w:val="both"/>
      </w:pPr>
      <w:r w:rsidRPr="00A05698">
        <w:t>En situation courante (octobre à décembre 2020), environ 153.132</w:t>
      </w:r>
      <w:r w:rsidRPr="00A05698" w:rsidDel="00480232">
        <w:t xml:space="preserve"> </w:t>
      </w:r>
      <w:r w:rsidRPr="00A05698">
        <w:t>personnes (soit 12% des personnes analysées) sont estimées en phase crise et plus. Ces personnes auront besoin d’assistance alimentaire immédiate. 465.200</w:t>
      </w:r>
      <w:r w:rsidRPr="00A05698" w:rsidDel="00480232">
        <w:t xml:space="preserve"> </w:t>
      </w:r>
      <w:r w:rsidRPr="00A05698">
        <w:t>personnes (soit 36,4%) sont en insécurité alimentaire sous pression, elles ont besoin de programmes de renforcement de leur résilience pour éviter qu’elles ne basculent en crise.</w:t>
      </w:r>
    </w:p>
    <w:p w:rsidR="00211435" w:rsidRPr="00A05698" w:rsidRDefault="00211435" w:rsidP="00211435">
      <w:pPr>
        <w:pStyle w:val="PargrafodaLista"/>
        <w:ind w:left="142" w:hanging="142"/>
        <w:jc w:val="center"/>
        <w:rPr>
          <w:rFonts w:ascii="Times New Roman" w:hAnsi="Times New Roman"/>
          <w:sz w:val="24"/>
          <w:szCs w:val="24"/>
        </w:rPr>
      </w:pPr>
      <w:r w:rsidRPr="00083B97">
        <w:rPr>
          <w:rFonts w:ascii="Times New Roman" w:hAnsi="Times New Roman"/>
          <w:noProof/>
          <w:lang w:val="pt-PT" w:eastAsia="pt-PT"/>
        </w:rPr>
        <w:drawing>
          <wp:inline distT="0" distB="0" distL="0" distR="0" wp14:anchorId="74D20D65" wp14:editId="71FA56CC">
            <wp:extent cx="5968365" cy="3184525"/>
            <wp:effectExtent l="0" t="0" r="635" b="0"/>
            <wp:docPr id="10" name="Image 10" descr="Guinee Bissau_Courante_Octobre_Décembre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nee Bissau_Courante_Octobre_Décembre_20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3647" cy="3219357"/>
                    </a:xfrm>
                    <a:prstGeom prst="rect">
                      <a:avLst/>
                    </a:prstGeom>
                    <a:noFill/>
                    <a:ln>
                      <a:noFill/>
                    </a:ln>
                  </pic:spPr>
                </pic:pic>
              </a:graphicData>
            </a:graphic>
          </wp:inline>
        </w:drawing>
      </w:r>
    </w:p>
    <w:p w:rsidR="004F0DC1" w:rsidRPr="009247AD" w:rsidRDefault="00211435" w:rsidP="00211435">
      <w:pPr>
        <w:pStyle w:val="PargrafodaLista"/>
        <w:ind w:left="142" w:hanging="142"/>
        <w:jc w:val="center"/>
        <w:rPr>
          <w:rFonts w:ascii="Times New Roman" w:hAnsi="Times New Roman"/>
          <w:b/>
        </w:rPr>
      </w:pPr>
      <w:bookmarkStart w:id="165" w:name="_Toc75433066"/>
      <w:r w:rsidRPr="009247AD">
        <w:rPr>
          <w:rFonts w:ascii="Times New Roman" w:hAnsi="Times New Roman"/>
          <w:b/>
        </w:rPr>
        <w:t xml:space="preserve">Figure </w:t>
      </w:r>
      <w:r w:rsidRPr="009247AD">
        <w:rPr>
          <w:rFonts w:ascii="Times New Roman" w:hAnsi="Times New Roman"/>
          <w:b/>
        </w:rPr>
        <w:fldChar w:fldCharType="begin"/>
      </w:r>
      <w:r w:rsidRPr="009247AD">
        <w:rPr>
          <w:rFonts w:ascii="Times New Roman" w:hAnsi="Times New Roman"/>
          <w:b/>
        </w:rPr>
        <w:instrText xml:space="preserve"> </w:instrText>
      </w:r>
      <w:r w:rsidR="006C5620">
        <w:rPr>
          <w:rFonts w:ascii="Times New Roman" w:hAnsi="Times New Roman"/>
          <w:b/>
        </w:rPr>
        <w:instrText>SEQ</w:instrText>
      </w:r>
      <w:r w:rsidRPr="009247AD">
        <w:rPr>
          <w:rFonts w:ascii="Times New Roman" w:hAnsi="Times New Roman"/>
          <w:b/>
        </w:rPr>
        <w:instrText xml:space="preserve"> Figure \* ARABIC </w:instrText>
      </w:r>
      <w:r w:rsidRPr="009247AD">
        <w:rPr>
          <w:rFonts w:ascii="Times New Roman" w:hAnsi="Times New Roman"/>
          <w:b/>
        </w:rPr>
        <w:fldChar w:fldCharType="separate"/>
      </w:r>
      <w:r w:rsidR="00BB7875">
        <w:rPr>
          <w:rFonts w:ascii="Times New Roman" w:hAnsi="Times New Roman"/>
          <w:b/>
          <w:noProof/>
        </w:rPr>
        <w:t>1</w:t>
      </w:r>
      <w:r w:rsidRPr="009247AD">
        <w:rPr>
          <w:rFonts w:ascii="Times New Roman" w:hAnsi="Times New Roman"/>
          <w:b/>
          <w:noProof/>
        </w:rPr>
        <w:fldChar w:fldCharType="end"/>
      </w:r>
      <w:r w:rsidRPr="009247AD">
        <w:rPr>
          <w:rFonts w:ascii="Times New Roman" w:hAnsi="Times New Roman"/>
          <w:b/>
          <w:noProof/>
        </w:rPr>
        <w:t> : S</w:t>
      </w:r>
      <w:r w:rsidRPr="009247AD">
        <w:rPr>
          <w:rFonts w:ascii="Times New Roman" w:hAnsi="Times New Roman"/>
          <w:b/>
        </w:rPr>
        <w:t>ituation alimentaire et nutritionnelle courante en Guinée Bissau</w:t>
      </w:r>
      <w:bookmarkEnd w:id="165"/>
    </w:p>
    <w:p w:rsidR="00735B1C" w:rsidRDefault="007C37B9" w:rsidP="006423E2">
      <w:pPr>
        <w:pStyle w:val="PargrafodaLista"/>
        <w:spacing w:after="120" w:line="240" w:lineRule="auto"/>
        <w:ind w:left="1701" w:firstLine="348"/>
        <w:outlineLvl w:val="1"/>
        <w:rPr>
          <w:rFonts w:ascii="Times New Roman" w:hAnsi="Times New Roman"/>
          <w:b/>
          <w:bCs/>
          <w:sz w:val="22"/>
          <w:szCs w:val="22"/>
        </w:rPr>
      </w:pPr>
      <w:bookmarkStart w:id="166" w:name="_Toc75432277"/>
      <w:r w:rsidRPr="006423E2">
        <w:rPr>
          <w:rFonts w:ascii="Times New Roman" w:hAnsi="Times New Roman"/>
          <w:b/>
          <w:bCs/>
          <w:noProof/>
          <w:sz w:val="22"/>
          <w:szCs w:val="22"/>
          <w:lang w:val="pt-PT" w:eastAsia="pt-PT"/>
        </w:rPr>
        <w:lastRenderedPageBreak/>
        <w:drawing>
          <wp:anchor distT="0" distB="0" distL="114300" distR="114300" simplePos="0" relativeHeight="251658320" behindDoc="0" locked="0" layoutInCell="1" allowOverlap="1" wp14:anchorId="2021271B" wp14:editId="1ECF5DE5">
            <wp:simplePos x="0" y="0"/>
            <wp:positionH relativeFrom="column">
              <wp:posOffset>-124460</wp:posOffset>
            </wp:positionH>
            <wp:positionV relativeFrom="paragraph">
              <wp:posOffset>222250</wp:posOffset>
            </wp:positionV>
            <wp:extent cx="6172200" cy="4342765"/>
            <wp:effectExtent l="0" t="0" r="0" b="635"/>
            <wp:wrapTight wrapText="bothSides">
              <wp:wrapPolygon edited="0">
                <wp:start x="0" y="0"/>
                <wp:lineTo x="0" y="21477"/>
                <wp:lineTo x="21511" y="21477"/>
                <wp:lineTo x="2151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2">
                      <a:extLst>
                        <a:ext uri="{28A0092B-C50C-407E-A947-70E740481C1C}">
                          <a14:useLocalDpi xmlns:a14="http://schemas.microsoft.com/office/drawing/2010/main" val="0"/>
                        </a:ext>
                      </a:extLst>
                    </a:blip>
                    <a:srcRect r="40176"/>
                    <a:stretch/>
                  </pic:blipFill>
                  <pic:spPr bwMode="auto">
                    <a:xfrm>
                      <a:off x="0" y="0"/>
                      <a:ext cx="6172200" cy="434276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BB7875">
        <w:rPr>
          <w:rFonts w:ascii="Times New Roman" w:hAnsi="Times New Roman"/>
          <w:b/>
          <w:bCs/>
          <w:sz w:val="22"/>
          <w:szCs w:val="22"/>
        </w:rPr>
        <w:t>2.6.</w:t>
      </w:r>
      <w:r w:rsidR="004F0DC1">
        <w:rPr>
          <w:rFonts w:ascii="Times New Roman" w:hAnsi="Times New Roman"/>
          <w:b/>
          <w:bCs/>
          <w:sz w:val="22"/>
          <w:szCs w:val="22"/>
        </w:rPr>
        <w:t>3</w:t>
      </w:r>
      <w:r w:rsidR="006423E2">
        <w:rPr>
          <w:rFonts w:ascii="Times New Roman" w:hAnsi="Times New Roman"/>
          <w:b/>
          <w:bCs/>
          <w:sz w:val="22"/>
          <w:szCs w:val="22"/>
        </w:rPr>
        <w:t>.3</w:t>
      </w:r>
      <w:r w:rsidR="00735B1C" w:rsidRPr="00A05698">
        <w:rPr>
          <w:rFonts w:ascii="Times New Roman" w:hAnsi="Times New Roman"/>
          <w:b/>
          <w:bCs/>
          <w:sz w:val="22"/>
          <w:szCs w:val="22"/>
        </w:rPr>
        <w:t>. Estimation des populations</w:t>
      </w:r>
      <w:r w:rsidR="00456D8C">
        <w:rPr>
          <w:rFonts w:ascii="Times New Roman" w:hAnsi="Times New Roman"/>
          <w:b/>
          <w:bCs/>
          <w:sz w:val="22"/>
          <w:szCs w:val="22"/>
        </w:rPr>
        <w:t xml:space="preserve"> en situation courante</w:t>
      </w:r>
      <w:bookmarkEnd w:id="166"/>
    </w:p>
    <w:p w:rsidR="00E81CBB" w:rsidRDefault="00E81CBB" w:rsidP="006423E2">
      <w:pPr>
        <w:pStyle w:val="PargrafodaLista"/>
        <w:spacing w:after="120" w:line="240" w:lineRule="auto"/>
        <w:ind w:left="1701" w:firstLine="348"/>
        <w:outlineLvl w:val="1"/>
        <w:rPr>
          <w:rFonts w:ascii="Times New Roman" w:hAnsi="Times New Roman"/>
          <w:b/>
          <w:bCs/>
          <w:sz w:val="22"/>
          <w:szCs w:val="22"/>
        </w:rPr>
      </w:pPr>
    </w:p>
    <w:p w:rsidR="00B439C8" w:rsidRPr="00A05698" w:rsidRDefault="00B439C8" w:rsidP="006423E2">
      <w:pPr>
        <w:pStyle w:val="PargrafodaLista"/>
        <w:spacing w:after="120" w:line="240" w:lineRule="auto"/>
        <w:ind w:left="1701" w:firstLine="348"/>
        <w:outlineLvl w:val="1"/>
        <w:rPr>
          <w:rFonts w:ascii="Times New Roman" w:hAnsi="Times New Roman"/>
          <w:b/>
          <w:bCs/>
          <w:sz w:val="22"/>
          <w:szCs w:val="22"/>
        </w:rPr>
      </w:pPr>
    </w:p>
    <w:p w:rsidR="00211435" w:rsidRPr="00083B97" w:rsidRDefault="00BB7875" w:rsidP="00083B97">
      <w:pPr>
        <w:pStyle w:val="PargrafodaLista"/>
        <w:spacing w:after="120" w:line="240" w:lineRule="auto"/>
        <w:ind w:left="1068" w:firstLine="348"/>
        <w:outlineLvl w:val="1"/>
        <w:rPr>
          <w:b/>
          <w:bCs/>
          <w:sz w:val="22"/>
          <w:szCs w:val="22"/>
        </w:rPr>
      </w:pPr>
      <w:bookmarkStart w:id="167" w:name="_Toc75432278"/>
      <w:r>
        <w:rPr>
          <w:rFonts w:ascii="Times New Roman" w:hAnsi="Times New Roman"/>
          <w:b/>
          <w:bCs/>
          <w:sz w:val="22"/>
          <w:szCs w:val="22"/>
        </w:rPr>
        <w:t>2</w:t>
      </w:r>
      <w:r w:rsidR="00735B1C" w:rsidRPr="00A05698">
        <w:rPr>
          <w:rFonts w:ascii="Times New Roman" w:hAnsi="Times New Roman"/>
          <w:b/>
          <w:bCs/>
          <w:sz w:val="22"/>
          <w:szCs w:val="22"/>
        </w:rPr>
        <w:t>.</w:t>
      </w:r>
      <w:r>
        <w:rPr>
          <w:rFonts w:ascii="Times New Roman" w:hAnsi="Times New Roman"/>
          <w:b/>
          <w:bCs/>
          <w:sz w:val="22"/>
          <w:szCs w:val="22"/>
        </w:rPr>
        <w:t>6.</w:t>
      </w:r>
      <w:r w:rsidR="004F0DC1">
        <w:rPr>
          <w:rFonts w:ascii="Times New Roman" w:hAnsi="Times New Roman"/>
          <w:b/>
          <w:bCs/>
          <w:sz w:val="22"/>
          <w:szCs w:val="22"/>
        </w:rPr>
        <w:t>3</w:t>
      </w:r>
      <w:r w:rsidR="006423E2">
        <w:rPr>
          <w:rFonts w:ascii="Times New Roman" w:hAnsi="Times New Roman"/>
          <w:b/>
          <w:bCs/>
          <w:sz w:val="22"/>
          <w:szCs w:val="22"/>
        </w:rPr>
        <w:t>.4</w:t>
      </w:r>
      <w:r w:rsidR="00735B1C" w:rsidRPr="00A05698">
        <w:rPr>
          <w:rFonts w:ascii="Times New Roman" w:hAnsi="Times New Roman"/>
          <w:b/>
          <w:bCs/>
          <w:sz w:val="22"/>
          <w:szCs w:val="22"/>
        </w:rPr>
        <w:t>. Situation projetée</w:t>
      </w:r>
      <w:bookmarkEnd w:id="167"/>
    </w:p>
    <w:p w:rsidR="00CD49EF" w:rsidRPr="00A05698" w:rsidRDefault="00CD49EF" w:rsidP="001F6724">
      <w:pPr>
        <w:spacing w:before="120" w:after="120"/>
        <w:ind w:left="-284" w:right="-142"/>
        <w:jc w:val="both"/>
      </w:pPr>
      <w:r w:rsidRPr="00A05698">
        <w:t>En situation projetée (juin à août 2021), le nombre de populations en Insécurité Alimentaire Crise et plus est de 95.899 personnes (soit 7,5% de la population totale analysée). Tandis que celles en Insécurité Alimentaire Sous pression est de 372.894 personnes (29,2% de la population totale analysée), elles auront besoin des programmes de renforcement de leur résilience pour éviter qu’elles ne basculent en crise.</w:t>
      </w:r>
    </w:p>
    <w:p w:rsidR="000C5831" w:rsidRPr="00A05698" w:rsidRDefault="00AA43DD" w:rsidP="000C5831">
      <w:pPr>
        <w:spacing w:before="120" w:after="120"/>
        <w:ind w:left="-284" w:right="-142"/>
        <w:jc w:val="both"/>
      </w:pPr>
      <w:r w:rsidRPr="00A05698">
        <w:rPr>
          <w:noProof/>
          <w:sz w:val="20"/>
          <w:szCs w:val="20"/>
          <w:lang w:val="pt-PT" w:eastAsia="pt-PT"/>
        </w:rPr>
        <w:lastRenderedPageBreak/>
        <w:drawing>
          <wp:inline distT="0" distB="0" distL="0" distR="0" wp14:anchorId="3973A307" wp14:editId="604574C5">
            <wp:extent cx="6151245" cy="3070225"/>
            <wp:effectExtent l="0" t="0" r="0" b="3175"/>
            <wp:docPr id="452" name="Image 452" descr="Guinee Bissau_projetee_Juin-Aout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nee Bissau_projetee_Juin-Aout_2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2940" cy="3096027"/>
                    </a:xfrm>
                    <a:prstGeom prst="rect">
                      <a:avLst/>
                    </a:prstGeom>
                    <a:noFill/>
                    <a:ln>
                      <a:noFill/>
                    </a:ln>
                  </pic:spPr>
                </pic:pic>
              </a:graphicData>
            </a:graphic>
          </wp:inline>
        </w:drawing>
      </w:r>
    </w:p>
    <w:p w:rsidR="004A218C" w:rsidRPr="00681BD5" w:rsidRDefault="006B07CE" w:rsidP="006B07CE">
      <w:pPr>
        <w:spacing w:before="120" w:after="120"/>
        <w:ind w:left="-284" w:right="-142"/>
        <w:jc w:val="center"/>
        <w:rPr>
          <w:sz w:val="20"/>
          <w:szCs w:val="20"/>
        </w:rPr>
      </w:pPr>
      <w:bookmarkStart w:id="168" w:name="_Toc75433067"/>
      <w:r w:rsidRPr="00681BD5">
        <w:rPr>
          <w:b/>
          <w:sz w:val="20"/>
          <w:szCs w:val="20"/>
        </w:rPr>
        <w:t xml:space="preserve">Figure </w:t>
      </w:r>
      <w:r w:rsidRPr="00681BD5">
        <w:rPr>
          <w:b/>
          <w:sz w:val="20"/>
          <w:szCs w:val="20"/>
        </w:rPr>
        <w:fldChar w:fldCharType="begin"/>
      </w:r>
      <w:r w:rsidRPr="00681BD5">
        <w:rPr>
          <w:b/>
          <w:sz w:val="20"/>
          <w:szCs w:val="20"/>
        </w:rPr>
        <w:instrText xml:space="preserve"> </w:instrText>
      </w:r>
      <w:r w:rsidR="006C5620">
        <w:rPr>
          <w:b/>
          <w:sz w:val="20"/>
          <w:szCs w:val="20"/>
        </w:rPr>
        <w:instrText>SEQ</w:instrText>
      </w:r>
      <w:r w:rsidRPr="00681BD5">
        <w:rPr>
          <w:b/>
          <w:sz w:val="20"/>
          <w:szCs w:val="20"/>
        </w:rPr>
        <w:instrText xml:space="preserve"> Figure \* ARABIC </w:instrText>
      </w:r>
      <w:r w:rsidRPr="00681BD5">
        <w:rPr>
          <w:b/>
          <w:sz w:val="20"/>
          <w:szCs w:val="20"/>
        </w:rPr>
        <w:fldChar w:fldCharType="separate"/>
      </w:r>
      <w:r w:rsidR="00BB7875">
        <w:rPr>
          <w:b/>
          <w:noProof/>
          <w:sz w:val="20"/>
          <w:szCs w:val="20"/>
        </w:rPr>
        <w:t>2</w:t>
      </w:r>
      <w:r w:rsidRPr="00681BD5">
        <w:rPr>
          <w:b/>
          <w:noProof/>
          <w:sz w:val="20"/>
          <w:szCs w:val="20"/>
        </w:rPr>
        <w:fldChar w:fldCharType="end"/>
      </w:r>
      <w:r w:rsidRPr="00681BD5">
        <w:rPr>
          <w:b/>
          <w:noProof/>
          <w:sz w:val="20"/>
          <w:szCs w:val="20"/>
        </w:rPr>
        <w:t xml:space="preserve"> : </w:t>
      </w:r>
      <w:r w:rsidR="004A218C" w:rsidRPr="00681BD5">
        <w:rPr>
          <w:b/>
          <w:sz w:val="20"/>
          <w:szCs w:val="20"/>
        </w:rPr>
        <w:t>situation alimentaire et nutritionnelle projetée en Guinée Bissau</w:t>
      </w:r>
      <w:bookmarkEnd w:id="168"/>
    </w:p>
    <w:bookmarkStart w:id="169" w:name="_Toc75432279"/>
    <w:p w:rsidR="00CD49EF" w:rsidRPr="00A05698" w:rsidRDefault="00E31F0B" w:rsidP="00EA0EFE">
      <w:pPr>
        <w:pStyle w:val="PargrafodaLista"/>
        <w:spacing w:after="120" w:line="240" w:lineRule="auto"/>
        <w:ind w:left="1068" w:firstLine="348"/>
        <w:outlineLvl w:val="1"/>
        <w:rPr>
          <w:rFonts w:ascii="Times New Roman" w:hAnsi="Times New Roman"/>
          <w:b/>
          <w:bCs/>
          <w:sz w:val="22"/>
          <w:szCs w:val="22"/>
        </w:rPr>
      </w:pPr>
      <w:r>
        <w:rPr>
          <w:rFonts w:ascii="Times New Roman" w:hAnsi="Times New Roman"/>
          <w:noProof/>
          <w:sz w:val="24"/>
          <w:szCs w:val="24"/>
          <w:lang w:val="pt-PT" w:eastAsia="pt-PT"/>
        </w:rPr>
        <mc:AlternateContent>
          <mc:Choice Requires="wpg">
            <w:drawing>
              <wp:anchor distT="0" distB="0" distL="114300" distR="114300" simplePos="0" relativeHeight="251658321" behindDoc="0" locked="0" layoutInCell="1" allowOverlap="1" wp14:anchorId="178DA8DB" wp14:editId="392895B0">
                <wp:simplePos x="0" y="0"/>
                <wp:positionH relativeFrom="column">
                  <wp:posOffset>-124460</wp:posOffset>
                </wp:positionH>
                <wp:positionV relativeFrom="paragraph">
                  <wp:posOffset>220345</wp:posOffset>
                </wp:positionV>
                <wp:extent cx="6096000" cy="3428365"/>
                <wp:effectExtent l="0" t="0" r="0" b="635"/>
                <wp:wrapThrough wrapText="bothSides">
                  <wp:wrapPolygon edited="0">
                    <wp:start x="0" y="0"/>
                    <wp:lineTo x="0" y="21444"/>
                    <wp:lineTo x="21510" y="21444"/>
                    <wp:lineTo x="21510" y="8322"/>
                    <wp:lineTo x="21330" y="7681"/>
                    <wp:lineTo x="21510" y="7681"/>
                    <wp:lineTo x="21510" y="0"/>
                    <wp:lineTo x="0" y="0"/>
                  </wp:wrapPolygon>
                </wp:wrapThrough>
                <wp:docPr id="22" name="Grouper 22"/>
                <wp:cNvGraphicFramePr/>
                <a:graphic xmlns:a="http://schemas.openxmlformats.org/drawingml/2006/main">
                  <a:graphicData uri="http://schemas.microsoft.com/office/word/2010/wordprocessingGroup">
                    <wpg:wgp>
                      <wpg:cNvGrpSpPr/>
                      <wpg:grpSpPr>
                        <a:xfrm>
                          <a:off x="0" y="0"/>
                          <a:ext cx="6096000" cy="3428365"/>
                          <a:chOff x="0" y="0"/>
                          <a:chExt cx="3747400" cy="2654300"/>
                        </a:xfrm>
                      </wpg:grpSpPr>
                      <pic:pic xmlns:pic="http://schemas.openxmlformats.org/drawingml/2006/picture">
                        <pic:nvPicPr>
                          <pic:cNvPr id="61" name="Image 61"/>
                          <pic:cNvPicPr>
                            <a:picLocks noChangeAspect="1"/>
                          </pic:cNvPicPr>
                        </pic:nvPicPr>
                        <pic:blipFill rotWithShape="1">
                          <a:blip r:embed="rId22">
                            <a:extLst>
                              <a:ext uri="{28A0092B-C50C-407E-A947-70E740481C1C}">
                                <a14:useLocalDpi xmlns:a14="http://schemas.microsoft.com/office/drawing/2010/main" val="0"/>
                              </a:ext>
                            </a:extLst>
                          </a:blip>
                          <a:srcRect l="59503"/>
                          <a:stretch/>
                        </pic:blipFill>
                        <pic:spPr bwMode="auto">
                          <a:xfrm>
                            <a:off x="1063255" y="0"/>
                            <a:ext cx="2684145" cy="265430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pic:pic xmlns:pic="http://schemas.openxmlformats.org/drawingml/2006/picture">
                        <pic:nvPicPr>
                          <pic:cNvPr id="20" name="Image 20"/>
                          <pic:cNvPicPr>
                            <a:picLocks noChangeAspect="1"/>
                          </pic:cNvPicPr>
                        </pic:nvPicPr>
                        <pic:blipFill rotWithShape="1">
                          <a:blip r:embed="rId22">
                            <a:extLst>
                              <a:ext uri="{28A0092B-C50C-407E-A947-70E740481C1C}">
                                <a14:useLocalDpi xmlns:a14="http://schemas.microsoft.com/office/drawing/2010/main" val="0"/>
                              </a:ext>
                            </a:extLst>
                          </a:blip>
                          <a:srcRect r="83160"/>
                          <a:stretch/>
                        </pic:blipFill>
                        <pic:spPr bwMode="auto">
                          <a:xfrm>
                            <a:off x="0" y="0"/>
                            <a:ext cx="1116330" cy="265430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644CE4" id="Grouper 22" o:spid="_x0000_s1026" style="position:absolute;margin-left:-9.8pt;margin-top:17.35pt;width:480pt;height:269.95pt;z-index:251658321;mso-width-relative:margin;mso-height-relative:margin" coordsize="37474,265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">
                <v:shape id="Image 61" o:spid="_x0000_s1027" type="#_x0000_t75" style="position:absolute;left:10632;width:26842;height:2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">
                  <v:imagedata r:id="rId24" o:title="" cropleft="38996f"/>
                </v:shape>
                <v:shape id="Image 20" o:spid="_x0000_s1028" type="#_x0000_t75" style="position:absolute;width:11163;height:2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">
                  <v:imagedata r:id="rId24" o:title="" cropright="54500f"/>
                </v:shape>
                <w10:wrap type="through"/>
              </v:group>
            </w:pict>
          </mc:Fallback>
        </mc:AlternateContent>
      </w:r>
      <w:r w:rsidR="00BB7875">
        <w:rPr>
          <w:rFonts w:ascii="Times New Roman" w:hAnsi="Times New Roman"/>
          <w:b/>
          <w:bCs/>
          <w:sz w:val="22"/>
          <w:szCs w:val="22"/>
        </w:rPr>
        <w:t>2</w:t>
      </w:r>
      <w:r w:rsidR="004A218C" w:rsidRPr="00A05698">
        <w:rPr>
          <w:rFonts w:ascii="Times New Roman" w:hAnsi="Times New Roman"/>
          <w:b/>
          <w:bCs/>
          <w:sz w:val="22"/>
          <w:szCs w:val="22"/>
        </w:rPr>
        <w:t>.</w:t>
      </w:r>
      <w:r w:rsidR="004F0DC1">
        <w:rPr>
          <w:rFonts w:ascii="Times New Roman" w:hAnsi="Times New Roman"/>
          <w:b/>
          <w:bCs/>
          <w:sz w:val="22"/>
          <w:szCs w:val="22"/>
        </w:rPr>
        <w:t>6.3</w:t>
      </w:r>
      <w:r w:rsidR="00EB27BB">
        <w:rPr>
          <w:rFonts w:ascii="Times New Roman" w:hAnsi="Times New Roman"/>
          <w:b/>
          <w:bCs/>
          <w:sz w:val="22"/>
          <w:szCs w:val="22"/>
        </w:rPr>
        <w:t>.5</w:t>
      </w:r>
      <w:r w:rsidR="00CD49EF" w:rsidRPr="00A05698">
        <w:rPr>
          <w:rFonts w:ascii="Times New Roman" w:hAnsi="Times New Roman"/>
          <w:b/>
          <w:bCs/>
          <w:sz w:val="22"/>
          <w:szCs w:val="22"/>
        </w:rPr>
        <w:t>. Estimation des populations</w:t>
      </w:r>
      <w:r w:rsidR="0089262E">
        <w:rPr>
          <w:rFonts w:ascii="Times New Roman" w:hAnsi="Times New Roman"/>
          <w:b/>
          <w:bCs/>
          <w:sz w:val="22"/>
          <w:szCs w:val="22"/>
        </w:rPr>
        <w:t xml:space="preserve"> en situation projetée </w:t>
      </w:r>
      <w:r w:rsidR="00D660CB" w:rsidRPr="00A05698">
        <w:t>(</w:t>
      </w:r>
      <w:r w:rsidR="00D660CB" w:rsidRPr="00083B97">
        <w:rPr>
          <w:b/>
        </w:rPr>
        <w:t>juin à août 2021)</w:t>
      </w:r>
      <w:bookmarkEnd w:id="169"/>
    </w:p>
    <w:p w:rsidR="00CD49EF" w:rsidRPr="00A05698" w:rsidRDefault="00BB7875" w:rsidP="00CE7C67">
      <w:pPr>
        <w:pStyle w:val="PargrafodaLista"/>
        <w:spacing w:after="120" w:line="240" w:lineRule="auto"/>
        <w:ind w:left="1068" w:firstLine="348"/>
        <w:outlineLvl w:val="1"/>
        <w:rPr>
          <w:rFonts w:ascii="Times New Roman" w:hAnsi="Times New Roman"/>
          <w:b/>
          <w:bCs/>
          <w:sz w:val="24"/>
          <w:szCs w:val="24"/>
        </w:rPr>
      </w:pPr>
      <w:bookmarkStart w:id="170" w:name="_Toc75432280"/>
      <w:r>
        <w:rPr>
          <w:rFonts w:ascii="Times New Roman" w:hAnsi="Times New Roman"/>
          <w:b/>
          <w:bCs/>
          <w:sz w:val="24"/>
          <w:szCs w:val="24"/>
        </w:rPr>
        <w:t>2</w:t>
      </w:r>
      <w:r w:rsidR="004F0DC1">
        <w:rPr>
          <w:rFonts w:ascii="Times New Roman" w:hAnsi="Times New Roman"/>
          <w:b/>
          <w:bCs/>
          <w:sz w:val="24"/>
          <w:szCs w:val="24"/>
        </w:rPr>
        <w:t>.6.4</w:t>
      </w:r>
      <w:r w:rsidR="00CD49EF" w:rsidRPr="00A05698">
        <w:rPr>
          <w:rFonts w:ascii="Times New Roman" w:hAnsi="Times New Roman"/>
          <w:b/>
          <w:bCs/>
          <w:sz w:val="24"/>
          <w:szCs w:val="24"/>
        </w:rPr>
        <w:t xml:space="preserve"> </w:t>
      </w:r>
      <w:r w:rsidR="00EB27BB">
        <w:rPr>
          <w:rFonts w:ascii="Times New Roman" w:hAnsi="Times New Roman"/>
          <w:b/>
          <w:bCs/>
          <w:sz w:val="24"/>
          <w:szCs w:val="24"/>
        </w:rPr>
        <w:t>D</w:t>
      </w:r>
      <w:r w:rsidR="00EB27BB" w:rsidRPr="00A05698">
        <w:rPr>
          <w:rFonts w:ascii="Times New Roman" w:hAnsi="Times New Roman"/>
          <w:b/>
          <w:bCs/>
          <w:sz w:val="24"/>
          <w:szCs w:val="24"/>
        </w:rPr>
        <w:t>étermination des zones à risque</w:t>
      </w:r>
      <w:bookmarkEnd w:id="170"/>
      <w:r w:rsidR="00EB27BB" w:rsidRPr="00A05698">
        <w:rPr>
          <w:rFonts w:ascii="Times New Roman" w:hAnsi="Times New Roman"/>
          <w:b/>
          <w:bCs/>
          <w:sz w:val="24"/>
          <w:szCs w:val="24"/>
        </w:rPr>
        <w:t xml:space="preserve"> </w:t>
      </w:r>
    </w:p>
    <w:p w:rsidR="00CD49EF" w:rsidRDefault="00CD49EF" w:rsidP="00E81CBB">
      <w:pPr>
        <w:spacing w:before="120" w:after="120"/>
        <w:ind w:right="-142"/>
        <w:jc w:val="both"/>
      </w:pPr>
      <w:r w:rsidRPr="00A05698">
        <w:t xml:space="preserve">Les cas d’inondations ont été observées dans les régions de Cacheu, Oio, Bafata, Tombali et Quinara dues au débordement des fleuves en conséquence des fortes pluies enregistrées au cours des mois de juillet, août et septembre 2020. Pour le moment, les zones </w:t>
      </w:r>
      <w:r w:rsidR="00076101" w:rsidRPr="00A05698">
        <w:t>inondées</w:t>
      </w:r>
      <w:r w:rsidRPr="00A05698">
        <w:t xml:space="preserve"> ont été identifiées comme zones à risque. Néanmoins, il faut suivre ces zones inondées dans les régions de Cacheu, Oio, Bafata, Tombali et Quinara face à une éventuelle chute des productions agricoles et dégradation des conditions de vies des populations.</w:t>
      </w:r>
    </w:p>
    <w:p w:rsidR="00B805ED" w:rsidRPr="00A574A8" w:rsidRDefault="00B805ED" w:rsidP="00D93380">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left="0" w:right="-142" w:firstLine="0"/>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71" w:name="_Toc75432281"/>
      <w:r w:rsidRPr="00A574A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CADRE POLITIQUE, JURIDIQUE ET INSTITUTIONNEL</w:t>
      </w:r>
      <w:bookmarkEnd w:id="171"/>
      <w:r w:rsidRPr="00A574A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B805ED" w:rsidRPr="00A05698" w:rsidRDefault="00B805ED" w:rsidP="00B805ED">
      <w:pPr>
        <w:ind w:right="-283"/>
        <w:jc w:val="both"/>
        <w:rPr>
          <w:color w:val="000000"/>
        </w:rPr>
      </w:pPr>
    </w:p>
    <w:p w:rsidR="00B805ED" w:rsidRPr="00A05698" w:rsidRDefault="00B805ED" w:rsidP="00D93380">
      <w:pPr>
        <w:spacing w:before="120" w:after="120"/>
        <w:ind w:right="-142"/>
        <w:jc w:val="both"/>
        <w:rPr>
          <w:spacing w:val="-2"/>
        </w:rPr>
      </w:pPr>
      <w:r w:rsidRPr="00A05698">
        <w:rPr>
          <w:spacing w:val="-2"/>
        </w:rPr>
        <w:t>Sur le plan national, il existe des documents sur la déclaration de politique sectorielle dans le</w:t>
      </w:r>
      <w:r w:rsidRPr="00A05698">
        <w:rPr>
          <w:spacing w:val="-2"/>
        </w:rPr>
        <w:br/>
        <w:t xml:space="preserve">domaine de l’agriculture, sur le plan environnemental et social. Le cadre institutionnel et les normes de la Banque Mondiale et de la FAO en lien avec les composantes du projet PUSA seront les aspects abordés dans ce chapitre. </w:t>
      </w:r>
    </w:p>
    <w:p w:rsidR="00B805ED" w:rsidRPr="00A05698" w:rsidRDefault="00B805ED" w:rsidP="004F0DC1">
      <w:pPr>
        <w:pStyle w:val="PargrafodaLista"/>
        <w:numPr>
          <w:ilvl w:val="1"/>
          <w:numId w:val="99"/>
        </w:numPr>
        <w:spacing w:after="120" w:line="240" w:lineRule="auto"/>
        <w:outlineLvl w:val="1"/>
        <w:rPr>
          <w:rFonts w:ascii="Times New Roman" w:hAnsi="Times New Roman"/>
          <w:b/>
          <w:bCs/>
          <w:sz w:val="24"/>
          <w:szCs w:val="24"/>
        </w:rPr>
      </w:pPr>
      <w:bookmarkStart w:id="172" w:name="_Toc75432282"/>
      <w:r w:rsidRPr="00A05698">
        <w:rPr>
          <w:rFonts w:ascii="Times New Roman" w:hAnsi="Times New Roman"/>
          <w:b/>
          <w:bCs/>
          <w:sz w:val="24"/>
          <w:szCs w:val="24"/>
        </w:rPr>
        <w:t>CADRE POLITIQUE</w:t>
      </w:r>
      <w:bookmarkEnd w:id="172"/>
      <w:r w:rsidRPr="00A05698">
        <w:rPr>
          <w:rFonts w:ascii="Times New Roman" w:hAnsi="Times New Roman"/>
          <w:b/>
          <w:bCs/>
          <w:sz w:val="24"/>
          <w:szCs w:val="24"/>
        </w:rPr>
        <w:t xml:space="preserve"> </w:t>
      </w:r>
    </w:p>
    <w:p w:rsidR="00B805ED" w:rsidRPr="00A05698" w:rsidRDefault="00B805ED" w:rsidP="00E20E22">
      <w:pPr>
        <w:spacing w:before="120" w:after="120"/>
        <w:ind w:right="-142"/>
        <w:jc w:val="both"/>
        <w:rPr>
          <w:spacing w:val="-2"/>
        </w:rPr>
      </w:pPr>
      <w:r w:rsidRPr="00A05698">
        <w:rPr>
          <w:spacing w:val="-2"/>
        </w:rPr>
        <w:t>Sur le plan national, nous avons exploité le document de déclaration de politique sectorielle dans le domaine de l’agriculture.</w:t>
      </w:r>
    </w:p>
    <w:p w:rsidR="00B805ED" w:rsidRPr="00A05698" w:rsidRDefault="00B805ED" w:rsidP="004F0DC1">
      <w:pPr>
        <w:pStyle w:val="PargrafodaLista"/>
        <w:numPr>
          <w:ilvl w:val="2"/>
          <w:numId w:val="99"/>
        </w:numPr>
        <w:spacing w:after="120" w:line="240" w:lineRule="auto"/>
        <w:outlineLvl w:val="1"/>
        <w:rPr>
          <w:rFonts w:ascii="Times New Roman" w:hAnsi="Times New Roman"/>
          <w:b/>
          <w:bCs/>
          <w:sz w:val="24"/>
          <w:szCs w:val="24"/>
        </w:rPr>
      </w:pPr>
      <w:bookmarkStart w:id="173" w:name="_Toc75432283"/>
      <w:r w:rsidRPr="00A05698">
        <w:rPr>
          <w:rFonts w:ascii="Times New Roman" w:hAnsi="Times New Roman"/>
          <w:b/>
          <w:bCs/>
          <w:sz w:val="24"/>
          <w:szCs w:val="24"/>
        </w:rPr>
        <w:t>Documents de Politique dans le secteur de l’agriculture</w:t>
      </w:r>
      <w:bookmarkEnd w:id="173"/>
    </w:p>
    <w:p w:rsidR="00B805ED" w:rsidRPr="00D93380" w:rsidRDefault="00B805ED" w:rsidP="00D93380">
      <w:pPr>
        <w:pStyle w:val="Listadecont"/>
        <w:numPr>
          <w:ilvl w:val="0"/>
          <w:numId w:val="102"/>
        </w:numPr>
        <w:rPr>
          <w:b/>
          <w:lang w:eastAsia="en-US"/>
        </w:rPr>
      </w:pPr>
      <w:r w:rsidRPr="00A05698">
        <w:rPr>
          <w:b/>
          <w:lang w:eastAsia="en-US"/>
        </w:rPr>
        <w:t xml:space="preserve">La Lettre de Politique de Développement Agricole (LPDA) </w:t>
      </w:r>
      <w:r>
        <w:rPr>
          <w:b/>
          <w:lang w:eastAsia="en-US"/>
        </w:rPr>
        <w:t>(</w:t>
      </w:r>
      <w:r w:rsidRPr="001F2701">
        <w:rPr>
          <w:b/>
          <w:lang w:eastAsia="en-US"/>
        </w:rPr>
        <w:t xml:space="preserve">Carta de política de desenvolvimento agrícola, </w:t>
      </w:r>
      <w:r w:rsidRPr="00083B97">
        <w:rPr>
          <w:b/>
          <w:lang w:eastAsia="en-US"/>
        </w:rPr>
        <w:t>élaborée en avril 2002)</w:t>
      </w:r>
      <w:r>
        <w:rPr>
          <w:b/>
          <w:lang w:eastAsia="en-US"/>
        </w:rPr>
        <w:t> </w:t>
      </w:r>
    </w:p>
    <w:p w:rsidR="00B805ED" w:rsidRPr="00A05698" w:rsidRDefault="00B805ED" w:rsidP="00E20E22">
      <w:pPr>
        <w:spacing w:before="120" w:after="120"/>
        <w:ind w:right="-142"/>
        <w:jc w:val="both"/>
        <w:rPr>
          <w:spacing w:val="-2"/>
        </w:rPr>
      </w:pPr>
      <w:r w:rsidRPr="00A05698">
        <w:rPr>
          <w:spacing w:val="-2"/>
        </w:rPr>
        <w:t xml:space="preserve">Le Gouvernement Bissau-guinéen a élaboré la LPDA dont la mise en œuvre a démarré en 1989 et de son Plan d ́Action adopté depuis 1997. Sur cette base, le gouvernement a entrepris un certain nombre d’actions notamment dans le cadre du Programme Spécial pour la Sécurité Alimentaire (PSSA) et le Programme Régional pour la Sécurité Alimentaire (PRSA). </w:t>
      </w:r>
    </w:p>
    <w:p w:rsidR="00B805ED" w:rsidRPr="00A05698" w:rsidRDefault="00B805ED" w:rsidP="00E20E22">
      <w:pPr>
        <w:spacing w:before="120" w:after="120"/>
        <w:ind w:right="-142"/>
        <w:jc w:val="both"/>
        <w:rPr>
          <w:spacing w:val="-2"/>
        </w:rPr>
      </w:pPr>
      <w:r w:rsidRPr="00A05698">
        <w:rPr>
          <w:spacing w:val="-2"/>
        </w:rPr>
        <w:t xml:space="preserve">Les objectifs généraux du Gouvernement en matière de politique agricole sont les suivants : (i) garantir la sécurité alimentaire ; (ii) augmenter et diversifier les exportations agricoles ; (iii) assurer la gestion rationnelle et la préservation des ressources agro-sylvo-pastorales et ; (iv) améliorer le cadre de vie des populations rurales. Ces quatre objectifs impliquent : (i) la croissance de la production alimentaire per capita, (ii) le renforcement de la disponibilité des produits alimentaires (marchés, stockage...) ; (iii) l’amélioration des revenus des populations et de l’accès financier aux produits alimentaires ; (iv) la préservation du capital national de ressources naturelles (forêts, sols, eau, pêche) par un niveau approprié d’exploitation. </w:t>
      </w:r>
    </w:p>
    <w:p w:rsidR="00B805ED" w:rsidRPr="00A05698" w:rsidRDefault="00B805ED" w:rsidP="00B805ED">
      <w:pPr>
        <w:pStyle w:val="Listadecont"/>
        <w:numPr>
          <w:ilvl w:val="0"/>
          <w:numId w:val="102"/>
        </w:numPr>
        <w:rPr>
          <w:b/>
          <w:lang w:eastAsia="en-US"/>
        </w:rPr>
      </w:pPr>
      <w:r w:rsidRPr="00A05698">
        <w:rPr>
          <w:b/>
          <w:lang w:eastAsia="en-US"/>
        </w:rPr>
        <w:t xml:space="preserve">La Stratégie agricole </w:t>
      </w:r>
    </w:p>
    <w:p w:rsidR="00B805ED" w:rsidRDefault="00B805ED" w:rsidP="00E20E22">
      <w:pPr>
        <w:spacing w:before="120" w:after="120"/>
        <w:ind w:right="-142"/>
        <w:jc w:val="both"/>
        <w:rPr>
          <w:spacing w:val="-2"/>
        </w:rPr>
      </w:pPr>
      <w:r w:rsidRPr="00A05698">
        <w:rPr>
          <w:spacing w:val="-2"/>
        </w:rPr>
        <w:t xml:space="preserve">La stratégie agricole a été élaborée dans un contexte marqué par une dynamique d’intégration avec l’adhésion des pays de l’UEMOA. Elaborée en 2009 pour une période d’exécution jusqu’en 2015, elle constitue le cadre de référence de la politique suivie dans le domaine de l’élevage. En adéquation avec le document de DSRP, la stratégie repose sur quatre axes : (i) renforcement de la gouvernance, modernisation de l’administration publique et assurance de la stabilité macroéconomique ; (ii) promotion de la croissance économique et création d’emplois ; (iii) augmentation de l’accès aux services sociaux et aux infrastructures de base ; et (iv) amélioration des conditions de vie des groupes vulnérables. </w:t>
      </w:r>
    </w:p>
    <w:p w:rsidR="00B805ED" w:rsidRPr="00083B97" w:rsidRDefault="00B805ED" w:rsidP="00E20E22">
      <w:pPr>
        <w:spacing w:before="120" w:after="120"/>
        <w:ind w:right="-142"/>
        <w:jc w:val="both"/>
        <w:rPr>
          <w:i/>
          <w:spacing w:val="-2"/>
          <w:sz w:val="21"/>
          <w:szCs w:val="21"/>
        </w:rPr>
      </w:pPr>
      <w:r w:rsidRPr="00083B97">
        <w:rPr>
          <w:i/>
          <w:spacing w:val="-2"/>
          <w:sz w:val="21"/>
          <w:szCs w:val="21"/>
        </w:rPr>
        <w:t>Source : MARD</w:t>
      </w:r>
    </w:p>
    <w:p w:rsidR="00B805ED" w:rsidRPr="00A05698" w:rsidRDefault="00B805ED" w:rsidP="004F0DC1">
      <w:pPr>
        <w:pStyle w:val="PargrafodaLista"/>
        <w:numPr>
          <w:ilvl w:val="2"/>
          <w:numId w:val="99"/>
        </w:numPr>
        <w:spacing w:after="120" w:line="240" w:lineRule="auto"/>
        <w:outlineLvl w:val="1"/>
        <w:rPr>
          <w:rFonts w:ascii="Times New Roman" w:hAnsi="Times New Roman"/>
          <w:b/>
          <w:bCs/>
          <w:sz w:val="24"/>
          <w:szCs w:val="24"/>
        </w:rPr>
      </w:pPr>
      <w:bookmarkStart w:id="174" w:name="_Toc75432284"/>
      <w:r w:rsidRPr="00A05698">
        <w:rPr>
          <w:rFonts w:ascii="Times New Roman" w:hAnsi="Times New Roman"/>
          <w:b/>
          <w:bCs/>
          <w:sz w:val="24"/>
          <w:szCs w:val="24"/>
        </w:rPr>
        <w:t>Documents de Politiques et de Stratégies Environnementales et Sociales</w:t>
      </w:r>
      <w:bookmarkEnd w:id="174"/>
    </w:p>
    <w:p w:rsidR="00B805ED" w:rsidRPr="00A05698" w:rsidRDefault="00B805ED" w:rsidP="00E20E22">
      <w:pPr>
        <w:spacing w:before="120" w:after="120"/>
        <w:ind w:right="-142"/>
        <w:jc w:val="both"/>
      </w:pPr>
      <w:r w:rsidRPr="00A05698">
        <w:rPr>
          <w:spacing w:val="-2"/>
        </w:rPr>
        <w:t xml:space="preserve">Le Gouvernement Bissau-guinéen dispose de plusieurs documents de stratégie environnementale et sociale dont les plus essentiels </w:t>
      </w:r>
      <w:r>
        <w:rPr>
          <w:spacing w:val="-2"/>
        </w:rPr>
        <w:t xml:space="preserve">pour cette </w:t>
      </w:r>
      <w:r w:rsidRPr="00A05698">
        <w:rPr>
          <w:spacing w:val="-2"/>
        </w:rPr>
        <w:t>présent</w:t>
      </w:r>
      <w:r>
        <w:rPr>
          <w:spacing w:val="-2"/>
        </w:rPr>
        <w:t>e étude</w:t>
      </w:r>
      <w:r w:rsidRPr="00A05698">
        <w:rPr>
          <w:spacing w:val="-2"/>
        </w:rPr>
        <w:t xml:space="preserve"> du projet de PUSA sont : </w:t>
      </w:r>
    </w:p>
    <w:p w:rsidR="00B805ED" w:rsidRPr="00083B97" w:rsidRDefault="00B805ED" w:rsidP="00B805ED">
      <w:pPr>
        <w:numPr>
          <w:ilvl w:val="0"/>
          <w:numId w:val="41"/>
        </w:numPr>
        <w:spacing w:after="200"/>
        <w:ind w:left="1985" w:right="-283" w:hanging="425"/>
        <w:contextualSpacing/>
        <w:rPr>
          <w:b/>
          <w:lang w:bidi="fr-FR"/>
        </w:rPr>
      </w:pPr>
      <w:r w:rsidRPr="00A05698">
        <w:rPr>
          <w:b/>
          <w:lang w:bidi="fr-FR"/>
        </w:rPr>
        <w:t>Le plan national de gestion environnementale (PNGE)</w:t>
      </w:r>
      <w:r>
        <w:rPr>
          <w:b/>
          <w:lang w:bidi="fr-FR"/>
        </w:rPr>
        <w:t xml:space="preserve"> (</w:t>
      </w:r>
      <w:r w:rsidRPr="008712A1">
        <w:rPr>
          <w:b/>
          <w:lang w:val="pt-PT" w:bidi="fr-FR"/>
        </w:rPr>
        <w:t>O plano nacional de gestão ambiental (PNGE)</w:t>
      </w:r>
    </w:p>
    <w:p w:rsidR="00B805ED" w:rsidRPr="00A05698" w:rsidRDefault="00B805ED" w:rsidP="00E20E22">
      <w:pPr>
        <w:spacing w:before="120" w:after="120"/>
        <w:jc w:val="both"/>
        <w:rPr>
          <w:spacing w:val="-2"/>
        </w:rPr>
      </w:pPr>
      <w:r w:rsidRPr="00A05698">
        <w:rPr>
          <w:spacing w:val="-2"/>
        </w:rPr>
        <w:t xml:space="preserve">Cet instrument stratégique d´orientation pour la mise en œuvre de la politique Environnementale, propose dans ses objectifs généraux, que la politique nationale de gestion environnementale puisse contribuer au développement socio-économique durable et soutenable </w:t>
      </w:r>
      <w:r w:rsidRPr="00A05698">
        <w:rPr>
          <w:spacing w:val="-2"/>
        </w:rPr>
        <w:lastRenderedPageBreak/>
        <w:t>du pays.  En effet, le plan se base sur la recherche des solutions afin de garantir la sécurité alimentaire, l´éradication de la pauvreté, le contrôle des pollutions et l’assainissement.</w:t>
      </w:r>
    </w:p>
    <w:p w:rsidR="00B805ED" w:rsidRPr="00A05698" w:rsidRDefault="00B805ED" w:rsidP="00E20E22">
      <w:pPr>
        <w:spacing w:before="120" w:after="120"/>
        <w:jc w:val="both"/>
        <w:rPr>
          <w:spacing w:val="-2"/>
        </w:rPr>
      </w:pPr>
      <w:r w:rsidRPr="00A05698">
        <w:rPr>
          <w:spacing w:val="-2"/>
        </w:rPr>
        <w:t xml:space="preserve">Dans ses objectifs spécifiques, les aspects suivants sont visés : </w:t>
      </w:r>
    </w:p>
    <w:p w:rsidR="00B805ED" w:rsidRPr="00A05698" w:rsidRDefault="00B805ED" w:rsidP="00B805ED">
      <w:pPr>
        <w:pStyle w:val="PargrafodaLista"/>
        <w:numPr>
          <w:ilvl w:val="0"/>
          <w:numId w:val="46"/>
        </w:numPr>
        <w:autoSpaceDE w:val="0"/>
        <w:autoSpaceDN w:val="0"/>
        <w:adjustRightInd w:val="0"/>
        <w:spacing w:line="240" w:lineRule="auto"/>
        <w:ind w:left="851"/>
        <w:jc w:val="both"/>
        <w:rPr>
          <w:rFonts w:ascii="Times New Roman" w:hAnsi="Times New Roman"/>
          <w:sz w:val="24"/>
          <w:szCs w:val="24"/>
        </w:rPr>
      </w:pPr>
      <w:r w:rsidRPr="00A05698">
        <w:rPr>
          <w:rFonts w:ascii="Times New Roman" w:hAnsi="Times New Roman"/>
          <w:sz w:val="24"/>
          <w:szCs w:val="24"/>
        </w:rPr>
        <w:t>dans le cadre de la gestion participative, développer et appuyer la mise en place d´une gestion décentralisée et participative des ressources naturelles ;</w:t>
      </w:r>
    </w:p>
    <w:p w:rsidR="00B805ED" w:rsidRPr="00A05698" w:rsidRDefault="00B805ED" w:rsidP="00B805ED">
      <w:pPr>
        <w:pStyle w:val="PargrafodaLista"/>
        <w:numPr>
          <w:ilvl w:val="0"/>
          <w:numId w:val="46"/>
        </w:numPr>
        <w:autoSpaceDE w:val="0"/>
        <w:autoSpaceDN w:val="0"/>
        <w:adjustRightInd w:val="0"/>
        <w:spacing w:line="240" w:lineRule="auto"/>
        <w:ind w:left="851"/>
        <w:jc w:val="both"/>
        <w:rPr>
          <w:rFonts w:ascii="Times New Roman" w:hAnsi="Times New Roman"/>
          <w:sz w:val="24"/>
          <w:szCs w:val="24"/>
        </w:rPr>
      </w:pPr>
      <w:r w:rsidRPr="00A05698">
        <w:rPr>
          <w:rFonts w:ascii="Times New Roman" w:hAnsi="Times New Roman"/>
          <w:sz w:val="24"/>
          <w:szCs w:val="24"/>
        </w:rPr>
        <w:t>appuyer les différentes associations de base, ainsi que d´autres partenaires, pour pouvoir jouer un rôle prépondérant dans la gestion des ressources naturelles.</w:t>
      </w:r>
    </w:p>
    <w:p w:rsidR="00B805ED" w:rsidRPr="00A05698" w:rsidRDefault="00B805ED" w:rsidP="00E20E22">
      <w:pPr>
        <w:spacing w:before="120" w:after="120"/>
        <w:jc w:val="both"/>
        <w:rPr>
          <w:spacing w:val="-2"/>
        </w:rPr>
      </w:pPr>
      <w:r w:rsidRPr="00A05698">
        <w:rPr>
          <w:spacing w:val="-2"/>
        </w:rPr>
        <w:t xml:space="preserve">Un autre rôle, non moins important, concerne l´obligation à la réalisation d´étude d´impact environnemental au niveau de tous les projets susceptibles d´avoir une répercussion sur </w:t>
      </w:r>
      <w:r w:rsidRPr="004F369B">
        <w:rPr>
          <w:spacing w:val="-2"/>
        </w:rPr>
        <w:t>l’environnement</w:t>
      </w:r>
      <w:r w:rsidRPr="00291DC0">
        <w:rPr>
          <w:spacing w:val="-2"/>
        </w:rPr>
        <w:t xml:space="preserve"> et </w:t>
      </w:r>
      <w:r w:rsidRPr="00083B97">
        <w:t>la nécessite d’obtenir des pe</w:t>
      </w:r>
      <w:r w:rsidRPr="00291DC0">
        <w:t>rmis s’il y a des constructions</w:t>
      </w:r>
      <w:r>
        <w:t>.</w:t>
      </w:r>
    </w:p>
    <w:p w:rsidR="00B805ED" w:rsidRPr="00A05698" w:rsidRDefault="00B805ED" w:rsidP="00B805ED">
      <w:pPr>
        <w:pStyle w:val="PargrafodaLista"/>
        <w:numPr>
          <w:ilvl w:val="0"/>
          <w:numId w:val="41"/>
        </w:numPr>
        <w:spacing w:line="240" w:lineRule="auto"/>
        <w:ind w:left="1985" w:right="-283" w:hanging="425"/>
        <w:rPr>
          <w:rFonts w:ascii="Times New Roman" w:hAnsi="Times New Roman"/>
          <w:b/>
          <w:sz w:val="24"/>
          <w:szCs w:val="24"/>
          <w:lang w:bidi="fr-FR"/>
        </w:rPr>
      </w:pPr>
      <w:r w:rsidRPr="00A05698">
        <w:rPr>
          <w:rFonts w:ascii="Times New Roman" w:hAnsi="Times New Roman"/>
          <w:b/>
          <w:sz w:val="24"/>
          <w:szCs w:val="24"/>
          <w:lang w:bidi="fr-FR"/>
        </w:rPr>
        <w:t>La Stratégie nationale et le plan d’action pour la conservation de la diversité biologie</w:t>
      </w:r>
      <w:r>
        <w:rPr>
          <w:rFonts w:ascii="Times New Roman" w:hAnsi="Times New Roman"/>
          <w:b/>
          <w:sz w:val="24"/>
          <w:szCs w:val="24"/>
          <w:lang w:bidi="fr-FR"/>
        </w:rPr>
        <w:t xml:space="preserve"> (</w:t>
      </w:r>
      <w:r w:rsidRPr="001F2701">
        <w:rPr>
          <w:rFonts w:ascii="Times New Roman" w:hAnsi="Times New Roman"/>
          <w:b/>
          <w:sz w:val="24"/>
          <w:szCs w:val="24"/>
          <w:lang w:bidi="fr-FR"/>
        </w:rPr>
        <w:t>A Estratégia Nacional e o Plano de Ação para a Conservação da Diversidade Biológica)</w:t>
      </w:r>
    </w:p>
    <w:p w:rsidR="00B805ED" w:rsidRPr="00A05698" w:rsidRDefault="00B805ED" w:rsidP="00B805ED">
      <w:pPr>
        <w:pStyle w:val="Cabealho7"/>
        <w:rPr>
          <w:sz w:val="24"/>
        </w:rPr>
      </w:pPr>
      <w:r w:rsidRPr="00A05698">
        <w:rPr>
          <w:sz w:val="24"/>
        </w:rPr>
        <w:t>La stratégie nationale</w:t>
      </w:r>
    </w:p>
    <w:p w:rsidR="00B805ED" w:rsidRPr="00A05698" w:rsidRDefault="00B805ED" w:rsidP="00E20E22">
      <w:pPr>
        <w:spacing w:before="120" w:after="120"/>
        <w:jc w:val="both"/>
        <w:rPr>
          <w:spacing w:val="-2"/>
        </w:rPr>
      </w:pPr>
      <w:r w:rsidRPr="00A05698">
        <w:rPr>
          <w:spacing w:val="-2"/>
        </w:rPr>
        <w:t>La Guinée-Bissau est un pays dans lequel les ressources biologiques constituent le support principal de l’économie nationale et où les tendances pour leur dégradation deviennent alarmantes. Cela étant, il impo</w:t>
      </w:r>
      <w:r>
        <w:rPr>
          <w:spacing w:val="-2"/>
        </w:rPr>
        <w:t>rte</w:t>
      </w:r>
      <w:r w:rsidRPr="00A05698">
        <w:rPr>
          <w:spacing w:val="-2"/>
        </w:rPr>
        <w:t xml:space="preserve"> de connaître les raisons, les solutions à préconiser et le type de recommandations à faire pour la conservation de la biodiversité. Ce</w:t>
      </w:r>
      <w:r>
        <w:rPr>
          <w:spacing w:val="-2"/>
        </w:rPr>
        <w:t xml:space="preserve">tte connaissance </w:t>
      </w:r>
      <w:r w:rsidRPr="00A05698">
        <w:rPr>
          <w:spacing w:val="-2"/>
        </w:rPr>
        <w:t>permettra de rendre l’intervention humaine plus rationnelle, en évitant ainsi l’érosion accélérée du patrimoine biologique et la consécutive diminution des coûts économiques et sociaux.</w:t>
      </w:r>
    </w:p>
    <w:p w:rsidR="00B805ED" w:rsidRPr="00A05698" w:rsidRDefault="00B805ED" w:rsidP="00E20E22">
      <w:pPr>
        <w:spacing w:before="120" w:after="120"/>
        <w:jc w:val="both"/>
        <w:rPr>
          <w:spacing w:val="-2"/>
        </w:rPr>
      </w:pPr>
      <w:r w:rsidRPr="00A05698">
        <w:rPr>
          <w:spacing w:val="-2"/>
        </w:rPr>
        <w:t xml:space="preserve">La stratégie d’implémentation des actions de conservation et d’utilisation de la biodiversité s’adosse sur les trois principes majeurs de la Convention : </w:t>
      </w:r>
    </w:p>
    <w:p w:rsidR="00B805ED" w:rsidRPr="00A05698" w:rsidRDefault="00B805ED" w:rsidP="00B805ED">
      <w:pPr>
        <w:pStyle w:val="PargrafodaLista"/>
        <w:numPr>
          <w:ilvl w:val="0"/>
          <w:numId w:val="42"/>
        </w:numPr>
        <w:autoSpaceDE w:val="0"/>
        <w:autoSpaceDN w:val="0"/>
        <w:adjustRightInd w:val="0"/>
        <w:spacing w:after="0" w:line="240" w:lineRule="auto"/>
        <w:ind w:right="-283"/>
        <w:jc w:val="both"/>
        <w:rPr>
          <w:rFonts w:ascii="Times New Roman" w:hAnsi="Times New Roman"/>
          <w:b/>
          <w:color w:val="000000"/>
          <w:sz w:val="24"/>
          <w:szCs w:val="24"/>
        </w:rPr>
      </w:pPr>
      <w:r w:rsidRPr="00A05698">
        <w:rPr>
          <w:rFonts w:ascii="Times New Roman" w:hAnsi="Times New Roman"/>
          <w:b/>
          <w:color w:val="000000"/>
          <w:sz w:val="24"/>
          <w:szCs w:val="24"/>
        </w:rPr>
        <w:t xml:space="preserve">Participation des populations, </w:t>
      </w:r>
    </w:p>
    <w:p w:rsidR="00B805ED" w:rsidRPr="00A05698" w:rsidRDefault="00B805ED" w:rsidP="00B805ED">
      <w:pPr>
        <w:pStyle w:val="PargrafodaLista"/>
        <w:numPr>
          <w:ilvl w:val="0"/>
          <w:numId w:val="42"/>
        </w:numPr>
        <w:autoSpaceDE w:val="0"/>
        <w:autoSpaceDN w:val="0"/>
        <w:adjustRightInd w:val="0"/>
        <w:spacing w:after="0" w:line="240" w:lineRule="auto"/>
        <w:ind w:right="-283"/>
        <w:jc w:val="both"/>
        <w:rPr>
          <w:rFonts w:ascii="Times New Roman" w:hAnsi="Times New Roman"/>
          <w:b/>
          <w:color w:val="000000"/>
          <w:sz w:val="24"/>
          <w:szCs w:val="24"/>
        </w:rPr>
      </w:pPr>
      <w:r w:rsidRPr="00A05698">
        <w:rPr>
          <w:rFonts w:ascii="Times New Roman" w:hAnsi="Times New Roman"/>
          <w:b/>
          <w:color w:val="000000"/>
          <w:sz w:val="24"/>
          <w:szCs w:val="24"/>
        </w:rPr>
        <w:t xml:space="preserve">Approche intégrée, </w:t>
      </w:r>
    </w:p>
    <w:p w:rsidR="00B805ED" w:rsidRPr="00A05698" w:rsidRDefault="00B805ED" w:rsidP="00B805ED">
      <w:pPr>
        <w:pStyle w:val="PargrafodaLista"/>
        <w:numPr>
          <w:ilvl w:val="0"/>
          <w:numId w:val="42"/>
        </w:numPr>
        <w:autoSpaceDE w:val="0"/>
        <w:autoSpaceDN w:val="0"/>
        <w:adjustRightInd w:val="0"/>
        <w:spacing w:after="0" w:line="240" w:lineRule="auto"/>
        <w:ind w:right="-283"/>
        <w:jc w:val="both"/>
        <w:rPr>
          <w:rFonts w:ascii="Times New Roman" w:hAnsi="Times New Roman"/>
          <w:color w:val="000000"/>
          <w:sz w:val="24"/>
          <w:szCs w:val="24"/>
        </w:rPr>
      </w:pPr>
      <w:r w:rsidRPr="00A05698">
        <w:rPr>
          <w:rFonts w:ascii="Times New Roman" w:hAnsi="Times New Roman"/>
          <w:b/>
          <w:color w:val="000000"/>
          <w:sz w:val="24"/>
          <w:szCs w:val="24"/>
        </w:rPr>
        <w:t>Partenariat.</w:t>
      </w:r>
    </w:p>
    <w:p w:rsidR="00B805ED" w:rsidRDefault="00B805ED" w:rsidP="00E26B09">
      <w:pPr>
        <w:spacing w:before="120" w:after="120"/>
        <w:jc w:val="both"/>
        <w:rPr>
          <w:spacing w:val="-2"/>
        </w:rPr>
      </w:pPr>
      <w:r w:rsidRPr="00A05698">
        <w:rPr>
          <w:spacing w:val="-2"/>
        </w:rPr>
        <w:t>Le développement économique ne peut se concevoir sans tenir compte des aspects sociaux, la lutte contre les inégalités et le respect de l’environnement.</w:t>
      </w:r>
      <w:r>
        <w:rPr>
          <w:spacing w:val="-2"/>
        </w:rPr>
        <w:t xml:space="preserve"> </w:t>
      </w:r>
      <w:r w:rsidRPr="00A05698">
        <w:rPr>
          <w:spacing w:val="-2"/>
        </w:rPr>
        <w:t xml:space="preserve">Ayant en vue que le développement ne peut être durable que s’il est simultanément économique, social et environnemental. </w:t>
      </w:r>
    </w:p>
    <w:p w:rsidR="00B805ED" w:rsidRPr="00083B97" w:rsidRDefault="00B805ED" w:rsidP="00E26B09">
      <w:pPr>
        <w:spacing w:before="120" w:after="120"/>
        <w:jc w:val="both"/>
        <w:rPr>
          <w:i/>
          <w:spacing w:val="-2"/>
          <w:sz w:val="20"/>
          <w:szCs w:val="20"/>
        </w:rPr>
      </w:pPr>
      <w:r w:rsidRPr="00083B97">
        <w:rPr>
          <w:i/>
          <w:spacing w:val="-2"/>
          <w:sz w:val="20"/>
          <w:szCs w:val="20"/>
        </w:rPr>
        <w:t>Source :IBAP</w:t>
      </w:r>
    </w:p>
    <w:p w:rsidR="00B805ED" w:rsidRPr="00A05698" w:rsidRDefault="00B805ED" w:rsidP="00B805ED">
      <w:pPr>
        <w:pStyle w:val="Cabealho7"/>
        <w:rPr>
          <w:sz w:val="24"/>
          <w:lang w:val="fr-FR"/>
        </w:rPr>
      </w:pPr>
      <w:r w:rsidRPr="00A05698">
        <w:rPr>
          <w:sz w:val="24"/>
          <w:lang w:val="fr-FR"/>
        </w:rPr>
        <w:t>Le plan d’action pour la conservation de la diversité biologique</w:t>
      </w:r>
    </w:p>
    <w:p w:rsidR="00B805ED" w:rsidRPr="00A05698" w:rsidRDefault="00B805ED" w:rsidP="0034616C">
      <w:pPr>
        <w:spacing w:before="120" w:after="120"/>
        <w:jc w:val="both"/>
        <w:rPr>
          <w:spacing w:val="-2"/>
        </w:rPr>
      </w:pPr>
      <w:r w:rsidRPr="00A05698">
        <w:rPr>
          <w:spacing w:val="-2"/>
        </w:rPr>
        <w:t>L’élaboration de la stratégie et du plan d’action représentent le fruit de l’engagement du Gouvernement de la Guinée-Bissau, à travers la signature et la ratification de la Convention sur la Diversité Biologique, le 27 octobre 1995.</w:t>
      </w:r>
    </w:p>
    <w:p w:rsidR="00B805ED" w:rsidRPr="00A05698" w:rsidRDefault="00B805ED" w:rsidP="00B805ED">
      <w:pPr>
        <w:pStyle w:val="Cabealho7"/>
        <w:rPr>
          <w:sz w:val="24"/>
          <w:lang w:val="fr-FR"/>
        </w:rPr>
      </w:pPr>
      <w:r w:rsidRPr="00A05698">
        <w:rPr>
          <w:sz w:val="24"/>
          <w:lang w:val="fr-FR"/>
        </w:rPr>
        <w:t>Le développement socio-économique de la Guinée-Bissau repose sur l’utilisation de ses ressources naturelles</w:t>
      </w:r>
    </w:p>
    <w:p w:rsidR="00B805ED" w:rsidRPr="00A05698" w:rsidRDefault="00B805ED" w:rsidP="0034616C">
      <w:pPr>
        <w:spacing w:before="120" w:after="120"/>
        <w:jc w:val="both"/>
        <w:rPr>
          <w:spacing w:val="-2"/>
        </w:rPr>
      </w:pPr>
      <w:r w:rsidRPr="001F78A4">
        <w:rPr>
          <w:spacing w:val="-2"/>
        </w:rPr>
        <w:t xml:space="preserve">Le développement socio-économique de la Guinée-Bissau </w:t>
      </w:r>
      <w:r w:rsidRPr="00A05698">
        <w:rPr>
          <w:spacing w:val="-2"/>
        </w:rPr>
        <w:t>contient une analyse actuelle de la situation de la biodiversité en Guinée-Bissau. Il propose une série d’actions qui doit être réalisée dans le sens de permettre la mise en œuvre des orientations stratégiques en vue de la conservation et l’utilisation durable de la biodiversité. La participation directe de la société civile et des communautés de base est primordiale, sans oublier la participation des femmes et de la jeunesse qui aussi, jouent un rôle important dans ce processus.</w:t>
      </w:r>
    </w:p>
    <w:p w:rsidR="00B805ED" w:rsidRPr="00A05698" w:rsidRDefault="00B805ED" w:rsidP="0034616C">
      <w:pPr>
        <w:spacing w:before="120" w:after="120"/>
        <w:jc w:val="both"/>
        <w:rPr>
          <w:spacing w:val="-2"/>
        </w:rPr>
      </w:pPr>
      <w:r w:rsidRPr="00A05698">
        <w:rPr>
          <w:spacing w:val="-2"/>
        </w:rPr>
        <w:lastRenderedPageBreak/>
        <w:t xml:space="preserve">Ce plan </w:t>
      </w:r>
      <w:r>
        <w:rPr>
          <w:spacing w:val="-2"/>
        </w:rPr>
        <w:t xml:space="preserve">action </w:t>
      </w:r>
      <w:r w:rsidRPr="00A05698">
        <w:rPr>
          <w:spacing w:val="-2"/>
        </w:rPr>
        <w:t>constituera à partir des résultats espérés de la stratégie nationale, un ensemble d’actions cohérentes destinées à corriger les déséquilibres actuels et ainsi répondre de façon positive et efficace aux problèmes identifiés pendant les séminaires régionaux et nationaux.</w:t>
      </w:r>
    </w:p>
    <w:p w:rsidR="00B805ED" w:rsidRPr="00A05698" w:rsidRDefault="00B805ED" w:rsidP="00B805ED">
      <w:pPr>
        <w:pStyle w:val="PargrafodaLista"/>
        <w:autoSpaceDE w:val="0"/>
        <w:autoSpaceDN w:val="0"/>
        <w:adjustRightInd w:val="0"/>
        <w:spacing w:after="0" w:line="240" w:lineRule="auto"/>
        <w:ind w:right="-283"/>
        <w:jc w:val="both"/>
        <w:rPr>
          <w:rFonts w:ascii="Times New Roman" w:hAnsi="Times New Roman"/>
          <w:b/>
          <w:i/>
          <w:color w:val="000000"/>
        </w:rPr>
      </w:pPr>
    </w:p>
    <w:p w:rsidR="00B805ED" w:rsidRPr="007000D2" w:rsidRDefault="00B805ED" w:rsidP="00171856">
      <w:pPr>
        <w:numPr>
          <w:ilvl w:val="0"/>
          <w:numId w:val="41"/>
        </w:numPr>
        <w:spacing w:after="200"/>
        <w:ind w:left="709" w:hanging="425"/>
        <w:contextualSpacing/>
        <w:rPr>
          <w:b/>
          <w:lang w:bidi="fr-FR"/>
        </w:rPr>
      </w:pPr>
      <w:r w:rsidRPr="00A05698">
        <w:rPr>
          <w:b/>
          <w:lang w:bidi="fr-FR"/>
        </w:rPr>
        <w:t>Le Plan National d’Adaptation aux Changements Climatiques (</w:t>
      </w:r>
      <w:r>
        <w:rPr>
          <w:b/>
          <w:lang w:bidi="fr-FR"/>
        </w:rPr>
        <w:t>PANA</w:t>
      </w:r>
      <w:r w:rsidRPr="00A05698">
        <w:rPr>
          <w:b/>
          <w:lang w:bidi="fr-FR"/>
        </w:rPr>
        <w:t>)</w:t>
      </w:r>
      <w:r>
        <w:rPr>
          <w:b/>
          <w:lang w:bidi="fr-FR"/>
        </w:rPr>
        <w:t xml:space="preserve"> (</w:t>
      </w:r>
      <w:r w:rsidRPr="008F1B04">
        <w:rPr>
          <w:b/>
          <w:lang w:val="pt-PT" w:bidi="fr-FR"/>
        </w:rPr>
        <w:t>O Plano Nacional de Adaptação às Mudanças Climáticas (PANA</w:t>
      </w:r>
      <w:r>
        <w:rPr>
          <w:b/>
          <w:lang w:val="pt-PT" w:bidi="fr-FR"/>
        </w:rPr>
        <w:t>), 2006</w:t>
      </w:r>
      <w:r w:rsidRPr="008F1B04">
        <w:rPr>
          <w:b/>
          <w:lang w:val="pt-PT" w:bidi="fr-FR"/>
        </w:rPr>
        <w:t>)</w:t>
      </w:r>
    </w:p>
    <w:p w:rsidR="00B805ED" w:rsidRPr="00A05698" w:rsidRDefault="00B805ED" w:rsidP="0034616C">
      <w:pPr>
        <w:spacing w:before="120" w:after="120"/>
        <w:jc w:val="both"/>
        <w:rPr>
          <w:spacing w:val="-2"/>
        </w:rPr>
      </w:pPr>
      <w:r w:rsidRPr="00A05698">
        <w:rPr>
          <w:spacing w:val="-2"/>
        </w:rPr>
        <w:t>Les Pays Moins Avancés (PMA) dont la Guinée-Bissau, sont les plus affectés à cause de leurs conditions géo-climatiques, leur dépendance élevée aux ressources naturelles et leur capacité limitée pour s’adapter aux impacts négatifs de ces changements.</w:t>
      </w:r>
    </w:p>
    <w:p w:rsidR="00B805ED" w:rsidRPr="00A05698" w:rsidRDefault="00B805ED" w:rsidP="0034616C">
      <w:pPr>
        <w:spacing w:before="120" w:after="120"/>
        <w:jc w:val="both"/>
        <w:rPr>
          <w:spacing w:val="-2"/>
        </w:rPr>
      </w:pPr>
      <w:r w:rsidRPr="00A05698">
        <w:rPr>
          <w:spacing w:val="-2"/>
        </w:rPr>
        <w:t>Dans ce scénario et contexte, la préparation et la conclusion du Programme d’Action National d’Adaptation aux effets des Changements Climatiques (PANA) financé par le Fonds Mondial pour l’Environnement (FME/GEF) marquant ainsi l’adhésion du pays à la Convention Cadre des Nations Unies sur les Changements Climatiques et le Protocole de Kyoto, ont visé à évaluer la vulnérabilité du pays devant les phénomènes référencés auparavant. Elles proposent des mesures et actions prioritaires qui permettent ou conduisent à la réduction et/ou l’atténuation des effets négatifs et à l’application de mesure de prévision et d’alerte précoce aux catastrophes futures.</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Document de Stratégie Nationale pour la Réduction de la pauvreté (DENARP II)</w:t>
      </w:r>
      <w:r w:rsidRPr="000A432C">
        <w:rPr>
          <w:rFonts w:ascii="Times New Roman" w:hAnsi="Times New Roman"/>
          <w:b/>
          <w:sz w:val="24"/>
          <w:szCs w:val="24"/>
          <w:lang w:bidi="fr-FR"/>
        </w:rPr>
        <w:t xml:space="preserve"> </w:t>
      </w:r>
      <w:r>
        <w:rPr>
          <w:rFonts w:ascii="Times New Roman" w:hAnsi="Times New Roman"/>
          <w:b/>
          <w:sz w:val="24"/>
          <w:szCs w:val="24"/>
          <w:lang w:bidi="fr-FR"/>
        </w:rPr>
        <w:t>(</w:t>
      </w:r>
      <w:r w:rsidRPr="001F2701">
        <w:rPr>
          <w:rFonts w:ascii="Times New Roman" w:hAnsi="Times New Roman"/>
          <w:b/>
          <w:sz w:val="24"/>
          <w:szCs w:val="24"/>
          <w:lang w:bidi="fr-FR"/>
        </w:rPr>
        <w:t>Documento de Estratégia Nacional para a Redução da Pobreza (DENARP II), 2015)</w:t>
      </w:r>
    </w:p>
    <w:p w:rsidR="00B805ED" w:rsidRPr="00A05698" w:rsidRDefault="00B805ED" w:rsidP="0034616C">
      <w:pPr>
        <w:spacing w:before="120" w:after="120"/>
        <w:jc w:val="both"/>
        <w:rPr>
          <w:spacing w:val="-2"/>
        </w:rPr>
      </w:pPr>
      <w:r w:rsidRPr="00A05698">
        <w:rPr>
          <w:spacing w:val="-2"/>
        </w:rPr>
        <w:t>L’objectif principal du DENARP II est de réduire de façon significative la pauvreté dans ses multiples dimensions. Il s’appuie sur la création   d’opportunités de revenus, d’emplois et d’amélioration de l’accès aux services publics de base de qualité dans un Etat de droit renforcé.</w:t>
      </w:r>
    </w:p>
    <w:p w:rsidR="00B805ED" w:rsidRPr="00A05698" w:rsidRDefault="00B805ED" w:rsidP="0034616C">
      <w:pPr>
        <w:spacing w:before="120" w:after="120"/>
        <w:jc w:val="both"/>
        <w:rPr>
          <w:spacing w:val="-2"/>
        </w:rPr>
      </w:pPr>
      <w:r w:rsidRPr="00A05698">
        <w:rPr>
          <w:spacing w:val="-2"/>
        </w:rPr>
        <w:t>Ses objectifs spécifiques sont :</w:t>
      </w:r>
    </w:p>
    <w:p w:rsidR="00B805ED" w:rsidRPr="00A05698" w:rsidRDefault="00B805ED" w:rsidP="00B805ED">
      <w:pPr>
        <w:pStyle w:val="PargrafodaLista"/>
        <w:numPr>
          <w:ilvl w:val="0"/>
          <w:numId w:val="47"/>
        </w:numPr>
        <w:autoSpaceDE w:val="0"/>
        <w:autoSpaceDN w:val="0"/>
        <w:adjustRightInd w:val="0"/>
        <w:spacing w:line="240" w:lineRule="auto"/>
        <w:ind w:left="993"/>
        <w:jc w:val="both"/>
        <w:rPr>
          <w:rFonts w:ascii="Times New Roman" w:hAnsi="Times New Roman"/>
          <w:sz w:val="24"/>
          <w:szCs w:val="24"/>
        </w:rPr>
      </w:pPr>
      <w:r w:rsidRPr="00A05698">
        <w:rPr>
          <w:rFonts w:ascii="Times New Roman" w:hAnsi="Times New Roman"/>
          <w:sz w:val="24"/>
          <w:szCs w:val="24"/>
        </w:rPr>
        <w:t xml:space="preserve">la réduction de l’incidence de la pauvreté au niveau national de 69,3 % en 2010 à 59 % en 2015 et celle de l’extrême pauvreté de 33 % à 20 % au cours de la même période, en tenant compte des disparités entre hommes et femmes; </w:t>
      </w:r>
    </w:p>
    <w:p w:rsidR="00B805ED" w:rsidRPr="00A05698" w:rsidRDefault="00B805ED" w:rsidP="00B805ED">
      <w:pPr>
        <w:pStyle w:val="PargrafodaLista"/>
        <w:numPr>
          <w:ilvl w:val="0"/>
          <w:numId w:val="47"/>
        </w:numPr>
        <w:autoSpaceDE w:val="0"/>
        <w:autoSpaceDN w:val="0"/>
        <w:adjustRightInd w:val="0"/>
        <w:spacing w:line="240" w:lineRule="auto"/>
        <w:ind w:left="993" w:right="-283"/>
        <w:jc w:val="both"/>
        <w:rPr>
          <w:rFonts w:ascii="Times New Roman" w:hAnsi="Times New Roman"/>
          <w:sz w:val="24"/>
          <w:szCs w:val="24"/>
        </w:rPr>
      </w:pPr>
      <w:r w:rsidRPr="00A05698">
        <w:rPr>
          <w:rFonts w:ascii="Times New Roman" w:hAnsi="Times New Roman"/>
          <w:sz w:val="24"/>
          <w:szCs w:val="24"/>
        </w:rPr>
        <w:t xml:space="preserve">la réduction du taux de l’insécurité alimentaire de 32% à 16% en 2015 ; </w:t>
      </w:r>
    </w:p>
    <w:p w:rsidR="00B805ED" w:rsidRPr="00A05698" w:rsidRDefault="00B805ED" w:rsidP="00B805ED">
      <w:pPr>
        <w:pStyle w:val="PargrafodaLista"/>
        <w:numPr>
          <w:ilvl w:val="0"/>
          <w:numId w:val="47"/>
        </w:numPr>
        <w:autoSpaceDE w:val="0"/>
        <w:autoSpaceDN w:val="0"/>
        <w:adjustRightInd w:val="0"/>
        <w:spacing w:line="240" w:lineRule="auto"/>
        <w:ind w:left="993"/>
        <w:jc w:val="both"/>
        <w:rPr>
          <w:rFonts w:ascii="Times New Roman" w:hAnsi="Times New Roman"/>
          <w:sz w:val="24"/>
          <w:szCs w:val="24"/>
        </w:rPr>
      </w:pPr>
      <w:r w:rsidRPr="00A05698">
        <w:rPr>
          <w:rFonts w:ascii="Times New Roman" w:hAnsi="Times New Roman"/>
          <w:sz w:val="24"/>
          <w:szCs w:val="24"/>
        </w:rPr>
        <w:t xml:space="preserve">l’atteinte d’un taux de croissance économique annuel moyen de 5 % par an sur la période 2011-2015 ; </w:t>
      </w:r>
    </w:p>
    <w:p w:rsidR="00B805ED" w:rsidRPr="00A05698" w:rsidRDefault="00B805ED" w:rsidP="00B805ED">
      <w:pPr>
        <w:pStyle w:val="PargrafodaLista"/>
        <w:numPr>
          <w:ilvl w:val="0"/>
          <w:numId w:val="47"/>
        </w:numPr>
        <w:autoSpaceDE w:val="0"/>
        <w:autoSpaceDN w:val="0"/>
        <w:adjustRightInd w:val="0"/>
        <w:spacing w:line="240" w:lineRule="auto"/>
        <w:ind w:left="993"/>
        <w:jc w:val="both"/>
        <w:rPr>
          <w:rFonts w:ascii="Times New Roman" w:hAnsi="Times New Roman"/>
          <w:sz w:val="24"/>
          <w:szCs w:val="24"/>
        </w:rPr>
      </w:pPr>
      <w:r w:rsidRPr="00A05698">
        <w:rPr>
          <w:rFonts w:ascii="Times New Roman" w:hAnsi="Times New Roman"/>
          <w:sz w:val="24"/>
          <w:szCs w:val="24"/>
        </w:rPr>
        <w:t xml:space="preserve">la stabilisation du contexte sécuritaire du pays par une réforme harmonisée des forces de sécurité et de défense ; </w:t>
      </w:r>
    </w:p>
    <w:p w:rsidR="00B805ED" w:rsidRPr="00A05698" w:rsidRDefault="00B805ED" w:rsidP="00B805ED">
      <w:pPr>
        <w:pStyle w:val="PargrafodaLista"/>
        <w:numPr>
          <w:ilvl w:val="0"/>
          <w:numId w:val="47"/>
        </w:numPr>
        <w:autoSpaceDE w:val="0"/>
        <w:autoSpaceDN w:val="0"/>
        <w:adjustRightInd w:val="0"/>
        <w:spacing w:line="240" w:lineRule="auto"/>
        <w:ind w:left="993" w:right="-283"/>
        <w:jc w:val="both"/>
        <w:rPr>
          <w:rFonts w:ascii="Times New Roman" w:hAnsi="Times New Roman"/>
          <w:sz w:val="24"/>
          <w:szCs w:val="24"/>
        </w:rPr>
      </w:pPr>
      <w:r w:rsidRPr="00A05698">
        <w:rPr>
          <w:rFonts w:ascii="Times New Roman" w:hAnsi="Times New Roman"/>
          <w:sz w:val="24"/>
          <w:szCs w:val="24"/>
        </w:rPr>
        <w:t>l’élimination des inégalités structurelles entre l’homme et la femme.</w:t>
      </w:r>
    </w:p>
    <w:p w:rsidR="00B805ED" w:rsidRPr="00083B97" w:rsidRDefault="00B805ED" w:rsidP="00B805ED">
      <w:pPr>
        <w:numPr>
          <w:ilvl w:val="0"/>
          <w:numId w:val="41"/>
        </w:numPr>
        <w:spacing w:after="200"/>
        <w:ind w:left="709" w:right="-283" w:hanging="425"/>
        <w:contextualSpacing/>
        <w:rPr>
          <w:b/>
          <w:lang w:bidi="fr-FR"/>
        </w:rPr>
      </w:pPr>
      <w:r w:rsidRPr="00A05698">
        <w:rPr>
          <w:b/>
          <w:lang w:bidi="fr-FR"/>
        </w:rPr>
        <w:t>Le Plan National de Développement Sanitaire (PNDS II)</w:t>
      </w:r>
      <w:r>
        <w:rPr>
          <w:b/>
          <w:lang w:bidi="fr-FR"/>
        </w:rPr>
        <w:t xml:space="preserve"> (</w:t>
      </w:r>
      <w:r w:rsidRPr="005B4FE5">
        <w:rPr>
          <w:b/>
          <w:lang w:val="pt-PT" w:bidi="fr-FR"/>
        </w:rPr>
        <w:t>O Plano Nacional de Desenvolvimento Sanitário (PNDS II)</w:t>
      </w:r>
      <w:r>
        <w:rPr>
          <w:b/>
          <w:lang w:val="pt-PT" w:bidi="fr-FR"/>
        </w:rPr>
        <w:t>, 2017)</w:t>
      </w:r>
    </w:p>
    <w:p w:rsidR="00B805ED" w:rsidRDefault="00B805ED" w:rsidP="0034616C">
      <w:pPr>
        <w:spacing w:before="120" w:after="120"/>
        <w:jc w:val="both"/>
        <w:rPr>
          <w:spacing w:val="-2"/>
        </w:rPr>
      </w:pPr>
      <w:r w:rsidRPr="00A05698">
        <w:rPr>
          <w:spacing w:val="-2"/>
        </w:rPr>
        <w:t>Le PNDS II constitue un cadre de référence pour les activités et actions de développement dans le domaine sanitaire durant la période 2008-2017 en Guinée Bissau. Ce document stratégique joue un rôle crucial dans l’orientation des mesures nécessaires pour la promotion de la santé de tous les guinéens. Il met l’accent sur la synergie d’action de tous les acteurs œuvrant pour la santé. Il oriente les activités des institutions ministérielles au niveau national et dans les régions, des partenaires de développement, de la société civile. Ceci contribue à la réduction de la pauvreté dans le secteur socioéconomique par l’amélioration de la santé de la population dans laquelle l’accès à l’eau potable reste un facteur déterminant.</w:t>
      </w:r>
    </w:p>
    <w:p w:rsidR="0034616C" w:rsidRPr="00A05698" w:rsidRDefault="0034616C" w:rsidP="0034616C">
      <w:pPr>
        <w:spacing w:before="120" w:after="120"/>
        <w:jc w:val="both"/>
        <w:rPr>
          <w:spacing w:val="-2"/>
        </w:rPr>
      </w:pPr>
    </w:p>
    <w:p w:rsidR="00B805ED" w:rsidRDefault="00B805ED" w:rsidP="00B805ED">
      <w:pPr>
        <w:pStyle w:val="PargrafodaLista"/>
        <w:numPr>
          <w:ilvl w:val="0"/>
          <w:numId w:val="41"/>
        </w:numPr>
        <w:ind w:left="709" w:right="-283" w:hanging="425"/>
        <w:rPr>
          <w:rFonts w:ascii="Times New Roman" w:hAnsi="Times New Roman"/>
          <w:b/>
          <w:sz w:val="24"/>
          <w:szCs w:val="24"/>
          <w:lang w:bidi="fr-FR"/>
        </w:rPr>
      </w:pPr>
      <w:r w:rsidRPr="00610FFB">
        <w:rPr>
          <w:rFonts w:ascii="Times New Roman" w:hAnsi="Times New Roman"/>
          <w:b/>
          <w:sz w:val="24"/>
          <w:szCs w:val="24"/>
          <w:lang w:bidi="fr-FR"/>
        </w:rPr>
        <w:t xml:space="preserve">La politique nationale de nutrition </w:t>
      </w:r>
      <w:r>
        <w:rPr>
          <w:rFonts w:ascii="Times New Roman" w:hAnsi="Times New Roman"/>
          <w:b/>
          <w:sz w:val="24"/>
          <w:szCs w:val="24"/>
          <w:lang w:bidi="fr-FR"/>
        </w:rPr>
        <w:t>(2015-2025)</w:t>
      </w:r>
    </w:p>
    <w:p w:rsidR="00B805ED" w:rsidRPr="003710E9" w:rsidRDefault="00F47E50" w:rsidP="00BA6C1F">
      <w:pPr>
        <w:spacing w:before="120" w:after="120"/>
        <w:jc w:val="both"/>
        <w:rPr>
          <w:spacing w:val="-2"/>
        </w:rPr>
      </w:pPr>
      <w:r>
        <w:rPr>
          <w:spacing w:val="-2"/>
        </w:rPr>
        <w:lastRenderedPageBreak/>
        <w:t>L</w:t>
      </w:r>
      <w:r w:rsidR="00B805ED" w:rsidRPr="003710E9">
        <w:rPr>
          <w:spacing w:val="-2"/>
        </w:rPr>
        <w:t xml:space="preserve">e Gouvernement de la Guinée-Bissau a adopté́ une politique multisectorielle de nutrition, visant à assurer un bon état nutritionnel à tous les habitants de la Guinée-Bissau, et en particulier aux personnes vulnérables, pour tirer le meilleur parti de leurs capacités physiques, intellectuelles et psychoaffectives afin de mener une vie saine, active et productive. Son but de garantir un capital humain productif, par une bonne nutrition de la population, pour contribuer plus efficacement au développement du pays. </w:t>
      </w:r>
    </w:p>
    <w:p w:rsidR="00B805ED" w:rsidRPr="00EA0577" w:rsidRDefault="00B805ED" w:rsidP="00BA6C1F">
      <w:pPr>
        <w:spacing w:before="120" w:after="120"/>
        <w:jc w:val="both"/>
        <w:rPr>
          <w:spacing w:val="-2"/>
        </w:rPr>
      </w:pPr>
      <w:r w:rsidRPr="00610FFB">
        <w:rPr>
          <w:spacing w:val="-2"/>
        </w:rPr>
        <w:t>L’objectif général de la politique nationale de nutrition est d’améliorer l’état nutritionnel de la population en Guinée-Bissau, en particulier des personnes vulnérables, en créant des synergies entre des interventions dire</w:t>
      </w:r>
      <w:r w:rsidRPr="00EC38EC">
        <w:rPr>
          <w:spacing w:val="-2"/>
        </w:rPr>
        <w:t xml:space="preserve">ctes de nutrition et celles d’autres secteurs sensibles à la nutrition. </w:t>
      </w:r>
    </w:p>
    <w:p w:rsidR="00B805ED" w:rsidRPr="00077086" w:rsidRDefault="00B805ED" w:rsidP="00BA6C1F">
      <w:pPr>
        <w:spacing w:before="120" w:after="120"/>
        <w:jc w:val="both"/>
        <w:rPr>
          <w:spacing w:val="-2"/>
        </w:rPr>
      </w:pPr>
      <w:r w:rsidRPr="00077086">
        <w:rPr>
          <w:spacing w:val="-2"/>
        </w:rPr>
        <w:t xml:space="preserve">Ses objectifs spécifiques à atteindre pour l’horizon 2025 visent notamment de réduire de 40 % le taux de retard de croissance et à moins de 5% le taux de malnutrition aiguë chez les enfants de moins de 5 ans, de réduire d'un tiers la prévalence de l'anémie chez les enfants de 0 à 23 mois, de réduire d’un tiers la prévalence du surpoids et de 50% la prévalence de l’anémie chez les femmes en âge de procréer, d’éliminer les troubles dus aux carences en vitamine A et en iode. </w:t>
      </w:r>
    </w:p>
    <w:p w:rsidR="00B805ED" w:rsidRPr="007000D2" w:rsidRDefault="00B805ED" w:rsidP="00B805ED">
      <w:pPr>
        <w:numPr>
          <w:ilvl w:val="0"/>
          <w:numId w:val="41"/>
        </w:numPr>
        <w:spacing w:after="200"/>
        <w:ind w:left="709" w:right="-283" w:hanging="425"/>
        <w:contextualSpacing/>
        <w:rPr>
          <w:b/>
          <w:lang w:bidi="fr-FR"/>
        </w:rPr>
      </w:pPr>
      <w:r w:rsidRPr="00A05698">
        <w:rPr>
          <w:b/>
          <w:lang w:bidi="fr-FR"/>
        </w:rPr>
        <w:t>L</w:t>
      </w:r>
      <w:r>
        <w:rPr>
          <w:b/>
          <w:lang w:bidi="fr-FR"/>
        </w:rPr>
        <w:t>e S</w:t>
      </w:r>
      <w:r w:rsidRPr="007000D2">
        <w:rPr>
          <w:b/>
          <w:lang w:bidi="fr-FR"/>
        </w:rPr>
        <w:t>ystème National des Aires Protégés (SNAP)</w:t>
      </w:r>
      <w:r>
        <w:rPr>
          <w:b/>
          <w:lang w:bidi="fr-FR"/>
        </w:rPr>
        <w:t xml:space="preserve"> (</w:t>
      </w:r>
      <w:r w:rsidRPr="00553612">
        <w:rPr>
          <w:b/>
          <w:lang w:val="pt-PT" w:bidi="fr-FR"/>
        </w:rPr>
        <w:t>Sistema Nacional de Áreas Protegidas (SNAP)</w:t>
      </w:r>
      <w:r>
        <w:rPr>
          <w:b/>
          <w:lang w:val="pt-PT" w:bidi="fr-FR"/>
        </w:rPr>
        <w:t>, 2017)</w:t>
      </w:r>
    </w:p>
    <w:p w:rsidR="00B805ED" w:rsidRDefault="00B805ED" w:rsidP="00BA6C1F">
      <w:pPr>
        <w:spacing w:before="120" w:after="120"/>
        <w:jc w:val="both"/>
        <w:rPr>
          <w:spacing w:val="-2"/>
        </w:rPr>
      </w:pPr>
      <w:r w:rsidRPr="00A05698">
        <w:rPr>
          <w:spacing w:val="-2"/>
        </w:rPr>
        <w:t xml:space="preserve">En Guinée-Bissau, </w:t>
      </w:r>
      <w:r>
        <w:rPr>
          <w:spacing w:val="-2"/>
        </w:rPr>
        <w:t>l</w:t>
      </w:r>
      <w:r w:rsidRPr="003867AF">
        <w:rPr>
          <w:spacing w:val="-2"/>
        </w:rPr>
        <w:t>e Système national d'aires protégées (SNAP) est géré par l'Institut pour la protection de l'</w:t>
      </w:r>
      <w:r>
        <w:rPr>
          <w:spacing w:val="-2"/>
        </w:rPr>
        <w:t>environnement</w:t>
      </w:r>
      <w:r w:rsidRPr="003867AF">
        <w:rPr>
          <w:spacing w:val="-2"/>
        </w:rPr>
        <w:t xml:space="preserve"> Biodiversité et Aires Protégées (IBAP), est composé de huit (8) parcs nationaux</w:t>
      </w:r>
      <w:r>
        <w:rPr>
          <w:spacing w:val="-2"/>
        </w:rPr>
        <w:t xml:space="preserve"> </w:t>
      </w:r>
      <w:r w:rsidRPr="003867AF">
        <w:rPr>
          <w:spacing w:val="-2"/>
        </w:rPr>
        <w:t>et parcs naturels (catégorie II2 de l'UICN), trois (3) corridors écologiques</w:t>
      </w:r>
      <w:r>
        <w:rPr>
          <w:spacing w:val="-2"/>
        </w:rPr>
        <w:t xml:space="preserve">, </w:t>
      </w:r>
      <w:r w:rsidRPr="003867AF">
        <w:rPr>
          <w:spacing w:val="-2"/>
        </w:rPr>
        <w:t>une (1) réserve de biosphère, quatre (4) sites Ramsar (dans le cadre de la Convention de</w:t>
      </w:r>
      <w:r>
        <w:rPr>
          <w:spacing w:val="-2"/>
        </w:rPr>
        <w:t xml:space="preserve"> </w:t>
      </w:r>
      <w:r w:rsidRPr="003867AF">
        <w:rPr>
          <w:spacing w:val="-2"/>
        </w:rPr>
        <w:t>Convention de Ramsar) et 104 forêts communautaires</w:t>
      </w:r>
      <w:r>
        <w:rPr>
          <w:spacing w:val="-2"/>
        </w:rPr>
        <w:t>.</w:t>
      </w:r>
    </w:p>
    <w:p w:rsidR="00B805ED" w:rsidRPr="00A05698" w:rsidRDefault="00B805ED" w:rsidP="00BA6C1F">
      <w:pPr>
        <w:spacing w:before="120" w:after="120"/>
        <w:jc w:val="both"/>
        <w:rPr>
          <w:spacing w:val="-2"/>
        </w:rPr>
      </w:pPr>
      <w:r>
        <w:rPr>
          <w:spacing w:val="-2"/>
        </w:rPr>
        <w:t xml:space="preserve"> Parmi ces parcs et corridors on peut citer </w:t>
      </w:r>
      <w:r w:rsidR="00955B8D">
        <w:rPr>
          <w:spacing w:val="-2"/>
        </w:rPr>
        <w:t>quelques-uns</w:t>
      </w:r>
      <w:r>
        <w:rPr>
          <w:spacing w:val="-2"/>
        </w:rPr>
        <w:t xml:space="preserve"> comme :</w:t>
      </w:r>
    </w:p>
    <w:p w:rsidR="00B805ED" w:rsidRPr="004D1BD0" w:rsidRDefault="00B805ED" w:rsidP="00B805ED">
      <w:pPr>
        <w:pStyle w:val="Listacommarcas2"/>
        <w:numPr>
          <w:ilvl w:val="0"/>
          <w:numId w:val="49"/>
        </w:numPr>
        <w:spacing w:line="240" w:lineRule="auto"/>
        <w:rPr>
          <w:rFonts w:ascii="Times New Roman" w:hAnsi="Times New Roman"/>
          <w:bCs/>
          <w:sz w:val="24"/>
          <w:lang w:val="fr-FR"/>
        </w:rPr>
      </w:pPr>
      <w:r w:rsidRPr="004D1BD0">
        <w:rPr>
          <w:rFonts w:ascii="Times New Roman" w:hAnsi="Times New Roman"/>
          <w:bCs/>
          <w:sz w:val="24"/>
          <w:lang w:val="fr-FR"/>
        </w:rPr>
        <w:t xml:space="preserve">le parc National d’Orango, situé au Sud de l´Archipel des Bijagos, </w:t>
      </w:r>
    </w:p>
    <w:p w:rsidR="00B805ED" w:rsidRPr="004D1BD0" w:rsidRDefault="00B805ED" w:rsidP="00B805ED">
      <w:pPr>
        <w:pStyle w:val="Listacommarcas2"/>
        <w:numPr>
          <w:ilvl w:val="0"/>
          <w:numId w:val="49"/>
        </w:numPr>
        <w:spacing w:line="240" w:lineRule="auto"/>
        <w:rPr>
          <w:rFonts w:ascii="Times New Roman" w:hAnsi="Times New Roman"/>
          <w:bCs/>
          <w:sz w:val="24"/>
          <w:lang w:val="fr-FR"/>
        </w:rPr>
      </w:pPr>
      <w:r w:rsidRPr="004D1BD0">
        <w:rPr>
          <w:rFonts w:ascii="Times New Roman" w:hAnsi="Times New Roman"/>
          <w:bCs/>
          <w:sz w:val="24"/>
          <w:lang w:val="fr-FR"/>
        </w:rPr>
        <w:t xml:space="preserve">le parc Naturel des « Tarrafes » do Rio Cacheu, situé au Nord–ouest du pays, </w:t>
      </w:r>
    </w:p>
    <w:p w:rsidR="00B805ED" w:rsidRPr="004D1BD0" w:rsidRDefault="00B805ED" w:rsidP="00B805ED">
      <w:pPr>
        <w:pStyle w:val="Listacommarcas2"/>
        <w:numPr>
          <w:ilvl w:val="0"/>
          <w:numId w:val="49"/>
        </w:numPr>
        <w:spacing w:line="240" w:lineRule="auto"/>
        <w:rPr>
          <w:rFonts w:ascii="Times New Roman" w:hAnsi="Times New Roman"/>
          <w:bCs/>
          <w:sz w:val="24"/>
          <w:lang w:val="fr-FR"/>
        </w:rPr>
      </w:pPr>
      <w:r w:rsidRPr="004D1BD0">
        <w:rPr>
          <w:rFonts w:ascii="Times New Roman" w:hAnsi="Times New Roman"/>
          <w:bCs/>
          <w:sz w:val="24"/>
          <w:lang w:val="fr-FR"/>
        </w:rPr>
        <w:t xml:space="preserve">le Parc Naturel des Lacs de Cufada, situé dans la partie sud du pays, </w:t>
      </w:r>
    </w:p>
    <w:p w:rsidR="00B805ED" w:rsidRPr="004D1BD0" w:rsidRDefault="00B805ED" w:rsidP="00B805ED">
      <w:pPr>
        <w:pStyle w:val="Listacommarcas2"/>
        <w:numPr>
          <w:ilvl w:val="0"/>
          <w:numId w:val="49"/>
        </w:numPr>
        <w:spacing w:line="240" w:lineRule="auto"/>
        <w:rPr>
          <w:rFonts w:ascii="Times New Roman" w:hAnsi="Times New Roman"/>
          <w:bCs/>
          <w:sz w:val="24"/>
          <w:lang w:val="fr-FR"/>
        </w:rPr>
      </w:pPr>
      <w:r w:rsidRPr="004D1BD0">
        <w:rPr>
          <w:rFonts w:ascii="Times New Roman" w:hAnsi="Times New Roman"/>
          <w:bCs/>
          <w:sz w:val="24"/>
          <w:lang w:val="fr-FR"/>
        </w:rPr>
        <w:t>le parc National João-Vieira Poilão situé au Sud-est de l’Archipel des Bijagos,</w:t>
      </w:r>
    </w:p>
    <w:p w:rsidR="00B805ED" w:rsidRPr="004D1BD0" w:rsidRDefault="00B805ED" w:rsidP="00B805ED">
      <w:pPr>
        <w:pStyle w:val="Listacommarcas2"/>
        <w:numPr>
          <w:ilvl w:val="0"/>
          <w:numId w:val="49"/>
        </w:numPr>
        <w:spacing w:line="240" w:lineRule="auto"/>
        <w:rPr>
          <w:rFonts w:ascii="Times New Roman" w:hAnsi="Times New Roman"/>
          <w:sz w:val="24"/>
          <w:lang w:val="fr-FR"/>
        </w:rPr>
      </w:pPr>
      <w:r w:rsidRPr="004D1BD0">
        <w:rPr>
          <w:rFonts w:ascii="Times New Roman" w:hAnsi="Times New Roman"/>
          <w:bCs/>
          <w:sz w:val="24"/>
          <w:lang w:val="fr-FR"/>
        </w:rPr>
        <w:t>l’aire Marine Protégée Communautaire</w:t>
      </w:r>
      <w:r w:rsidRPr="004D1BD0">
        <w:rPr>
          <w:rFonts w:ascii="Times New Roman" w:hAnsi="Times New Roman"/>
          <w:sz w:val="24"/>
          <w:lang w:val="fr-FR"/>
        </w:rPr>
        <w:t xml:space="preserve"> des Îles Formosa située au Nord de l´Archipel des Bijagós  </w:t>
      </w:r>
    </w:p>
    <w:p w:rsidR="00B805ED" w:rsidRDefault="00B805ED" w:rsidP="00B805ED">
      <w:pPr>
        <w:pStyle w:val="Listacommarcas2"/>
        <w:numPr>
          <w:ilvl w:val="0"/>
          <w:numId w:val="49"/>
        </w:numPr>
        <w:spacing w:line="240" w:lineRule="auto"/>
        <w:rPr>
          <w:rFonts w:ascii="Times New Roman" w:hAnsi="Times New Roman"/>
          <w:sz w:val="24"/>
          <w:lang w:val="fr-FR"/>
        </w:rPr>
      </w:pPr>
      <w:r w:rsidRPr="004D1BD0">
        <w:rPr>
          <w:rFonts w:ascii="Times New Roman" w:hAnsi="Times New Roman"/>
          <w:sz w:val="24"/>
          <w:lang w:val="fr-FR"/>
        </w:rPr>
        <w:t>le Parc National des Matas de Cantanhez situé au Sud-ouest du pays.</w:t>
      </w:r>
    </w:p>
    <w:p w:rsidR="00B805ED" w:rsidRPr="00BE5D14" w:rsidRDefault="00B805ED" w:rsidP="00B805ED">
      <w:pPr>
        <w:pStyle w:val="Listacommarcas2"/>
        <w:numPr>
          <w:ilvl w:val="0"/>
          <w:numId w:val="49"/>
        </w:numPr>
        <w:spacing w:line="240" w:lineRule="auto"/>
        <w:rPr>
          <w:rFonts w:ascii="Times New Roman" w:hAnsi="Times New Roman"/>
          <w:sz w:val="24"/>
          <w:lang w:val="fr-FR"/>
        </w:rPr>
      </w:pPr>
      <w:r w:rsidRPr="00BE5D14">
        <w:rPr>
          <w:rFonts w:ascii="Times New Roman" w:hAnsi="Times New Roman"/>
          <w:sz w:val="24"/>
          <w:lang w:val="fr-FR"/>
        </w:rPr>
        <w:t xml:space="preserve">Corredors écologiques </w:t>
      </w:r>
      <w:r w:rsidRPr="00100803">
        <w:rPr>
          <w:rFonts w:ascii="Times New Roman" w:hAnsi="Times New Roman"/>
          <w:sz w:val="24"/>
          <w:lang w:val="fr-FR"/>
        </w:rPr>
        <w:t>de Tchetche, Salifo-Xitole et Cuntabane-Quebo</w:t>
      </w:r>
      <w:r w:rsidRPr="00BE5D14">
        <w:rPr>
          <w:rFonts w:cs="Arial"/>
          <w:color w:val="000000"/>
          <w:sz w:val="22"/>
          <w:szCs w:val="22"/>
          <w:lang w:val="fr-FR" w:eastAsia="en-US" w:bidi="ar-SA"/>
        </w:rPr>
        <w:t xml:space="preserve"> </w:t>
      </w:r>
      <w:r w:rsidRPr="00BE5D14">
        <w:rPr>
          <w:rFonts w:ascii="Times New Roman" w:hAnsi="Times New Roman"/>
          <w:sz w:val="24"/>
          <w:lang w:val="fr-FR"/>
        </w:rPr>
        <w:t>(loi nº11/2017 – aires protégées_Complexe Dulombi-Boé-Tchetche).</w:t>
      </w:r>
    </w:p>
    <w:p w:rsidR="00B805ED" w:rsidRPr="00083B97" w:rsidRDefault="00B805ED" w:rsidP="00B805ED">
      <w:pPr>
        <w:spacing w:before="120" w:after="120"/>
        <w:jc w:val="both"/>
        <w:rPr>
          <w:i/>
          <w:spacing w:val="-2"/>
        </w:rPr>
      </w:pPr>
      <w:r w:rsidRPr="00083B97">
        <w:rPr>
          <w:i/>
          <w:spacing w:val="-2"/>
          <w:sz w:val="20"/>
          <w:szCs w:val="20"/>
        </w:rPr>
        <w:t>Source :IBAP</w:t>
      </w:r>
    </w:p>
    <w:p w:rsidR="00B805ED" w:rsidRPr="00A05698" w:rsidRDefault="00B805ED" w:rsidP="00B805ED">
      <w:pPr>
        <w:autoSpaceDE w:val="0"/>
        <w:autoSpaceDN w:val="0"/>
        <w:adjustRightInd w:val="0"/>
        <w:ind w:right="-283"/>
        <w:jc w:val="both"/>
      </w:pPr>
    </w:p>
    <w:p w:rsidR="00B805ED" w:rsidRPr="00A05698" w:rsidRDefault="00B805ED" w:rsidP="004F0DC1">
      <w:pPr>
        <w:pStyle w:val="PargrafodaLista"/>
        <w:numPr>
          <w:ilvl w:val="1"/>
          <w:numId w:val="99"/>
        </w:numPr>
        <w:spacing w:after="120" w:line="240" w:lineRule="auto"/>
        <w:outlineLvl w:val="1"/>
        <w:rPr>
          <w:rFonts w:ascii="Times New Roman" w:hAnsi="Times New Roman"/>
          <w:b/>
          <w:bCs/>
          <w:sz w:val="24"/>
          <w:szCs w:val="24"/>
        </w:rPr>
      </w:pPr>
      <w:bookmarkStart w:id="175" w:name="_Toc75432285"/>
      <w:r w:rsidRPr="00A05698">
        <w:rPr>
          <w:rFonts w:ascii="Times New Roman" w:hAnsi="Times New Roman"/>
          <w:b/>
          <w:bCs/>
          <w:sz w:val="24"/>
          <w:szCs w:val="24"/>
        </w:rPr>
        <w:t>CADRE JURIDIQUE</w:t>
      </w:r>
      <w:bookmarkEnd w:id="175"/>
    </w:p>
    <w:p w:rsidR="00B805ED" w:rsidRPr="00A05698" w:rsidRDefault="00B805ED" w:rsidP="00BA6C1F">
      <w:pPr>
        <w:spacing w:before="120" w:after="120"/>
        <w:jc w:val="both"/>
        <w:rPr>
          <w:spacing w:val="-2"/>
        </w:rPr>
      </w:pPr>
      <w:r w:rsidRPr="00A05698">
        <w:rPr>
          <w:spacing w:val="-2"/>
        </w:rPr>
        <w:t>Il est constitué d’un ensemble de textes nationaux et internationaux.</w:t>
      </w:r>
    </w:p>
    <w:p w:rsidR="00B805ED" w:rsidRPr="00A05698" w:rsidRDefault="00B805ED" w:rsidP="00B805ED">
      <w:pPr>
        <w:pStyle w:val="PargrafodaLista"/>
        <w:keepNext/>
        <w:spacing w:before="240" w:after="240" w:line="240" w:lineRule="auto"/>
        <w:ind w:left="450" w:right="-283" w:hanging="450"/>
        <w:rPr>
          <w:rFonts w:ascii="Times New Roman" w:hAnsi="Times New Roman"/>
          <w:b/>
          <w:bCs/>
          <w:color w:val="000000"/>
          <w:u w:val="single"/>
        </w:rPr>
      </w:pPr>
      <w:r w:rsidRPr="00A05698">
        <w:rPr>
          <w:rFonts w:ascii="Times New Roman" w:hAnsi="Times New Roman"/>
          <w:b/>
          <w:bCs/>
          <w:color w:val="000000"/>
          <w:u w:val="single"/>
        </w:rPr>
        <w:t>AU NIVEAU NATIONAL</w:t>
      </w:r>
    </w:p>
    <w:p w:rsidR="00B805ED" w:rsidRPr="00A05698" w:rsidRDefault="00BB7875" w:rsidP="00B805ED">
      <w:pPr>
        <w:pStyle w:val="Cabealho3"/>
        <w:numPr>
          <w:ilvl w:val="0"/>
          <w:numId w:val="0"/>
        </w:numPr>
        <w:spacing w:after="240"/>
        <w:ind w:left="708" w:right="-283"/>
        <w:rPr>
          <w:rFonts w:ascii="Times New Roman" w:hAnsi="Times New Roman"/>
          <w:b w:val="0"/>
          <w:bCs w:val="0"/>
          <w:sz w:val="24"/>
          <w:szCs w:val="24"/>
        </w:rPr>
      </w:pPr>
      <w:r>
        <w:rPr>
          <w:rFonts w:ascii="Times New Roman" w:hAnsi="Times New Roman"/>
          <w:sz w:val="24"/>
          <w:szCs w:val="24"/>
        </w:rPr>
        <w:t>3</w:t>
      </w:r>
      <w:r w:rsidR="00B805ED" w:rsidRPr="00A05698">
        <w:rPr>
          <w:rFonts w:ascii="Times New Roman" w:hAnsi="Times New Roman"/>
          <w:sz w:val="24"/>
          <w:szCs w:val="24"/>
        </w:rPr>
        <w:t xml:space="preserve">.2.1. Loi de base sur l’environnement </w:t>
      </w:r>
    </w:p>
    <w:p w:rsidR="00B805ED" w:rsidRPr="00A05698" w:rsidRDefault="00B805ED" w:rsidP="00B805ED">
      <w:pPr>
        <w:pStyle w:val="Listacommarcas3"/>
      </w:pPr>
      <w:r w:rsidRPr="00A05698">
        <w:t>Loi de base nº 1/2011 du 2 mars 2011 sur l’environnement</w:t>
      </w:r>
    </w:p>
    <w:p w:rsidR="00B805ED" w:rsidRPr="00A05698" w:rsidRDefault="00B805ED" w:rsidP="00BA6C1F">
      <w:pPr>
        <w:spacing w:before="120"/>
        <w:jc w:val="both"/>
        <w:rPr>
          <w:spacing w:val="-2"/>
        </w:rPr>
      </w:pPr>
      <w:r w:rsidRPr="00A05698">
        <w:rPr>
          <w:spacing w:val="-2"/>
        </w:rPr>
        <w:t>La Loi organique sur l’environnement est un instrument législatif qui dispose comme principe général en son article 2 que : « </w:t>
      </w:r>
      <w:r w:rsidRPr="004D1BD0">
        <w:rPr>
          <w:i/>
          <w:spacing w:val="-2"/>
        </w:rPr>
        <w:t xml:space="preserve">Toute personne a droit à un environnement humain écologiquement équilibré et a le devoir de le défendre, et il est de la responsabilité de l’Etat, par le biais d’organismes qualifiés et en faisant appel à l’initiative populaire et communautaire, </w:t>
      </w:r>
      <w:r w:rsidRPr="004D1BD0">
        <w:rPr>
          <w:i/>
          <w:spacing w:val="-2"/>
        </w:rPr>
        <w:lastRenderedPageBreak/>
        <w:t>d’œuvrer pour l’amélioration de la qualité de la vie, soit au niveau individuel, soit au niveau collectif </w:t>
      </w:r>
      <w:r w:rsidRPr="00A05698">
        <w:rPr>
          <w:spacing w:val="-2"/>
        </w:rPr>
        <w:t>».</w:t>
      </w:r>
    </w:p>
    <w:p w:rsidR="00B805ED" w:rsidRPr="00A05698" w:rsidRDefault="00B805ED" w:rsidP="00BA6C1F">
      <w:pPr>
        <w:jc w:val="both"/>
        <w:rPr>
          <w:spacing w:val="-2"/>
        </w:rPr>
      </w:pPr>
      <w:r w:rsidRPr="00A05698">
        <w:rPr>
          <w:spacing w:val="-2"/>
        </w:rPr>
        <w:br/>
      </w:r>
      <w:r w:rsidRPr="00A05698">
        <w:t>La politique de l’environnement cherche à optimiser et à garantir la continuité dans l’utilisation des ressources naturelles, qualitativement et quantitativement, comme principe fondamental pour un développement durable.</w:t>
      </w:r>
    </w:p>
    <w:p w:rsidR="00B805ED" w:rsidRPr="00A05698" w:rsidRDefault="00B805ED" w:rsidP="00B805ED">
      <w:pPr>
        <w:autoSpaceDE w:val="0"/>
        <w:autoSpaceDN w:val="0"/>
        <w:adjustRightInd w:val="0"/>
        <w:ind w:left="-284" w:right="-283"/>
        <w:jc w:val="both"/>
      </w:pPr>
    </w:p>
    <w:p w:rsidR="00B805ED" w:rsidRPr="00A05698" w:rsidRDefault="00B805ED" w:rsidP="00B805ED">
      <w:pPr>
        <w:pStyle w:val="Listacommarcas3"/>
      </w:pPr>
      <w:r w:rsidRPr="00A05698">
        <w:t>La Loi n°10/2010 du 24 septembre 2010 sur l’évaluation environnementale</w:t>
      </w:r>
    </w:p>
    <w:p w:rsidR="00B805ED" w:rsidRDefault="00B805ED" w:rsidP="00BA6C1F">
      <w:pPr>
        <w:spacing w:before="120"/>
        <w:jc w:val="both"/>
        <w:rPr>
          <w:spacing w:val="-2"/>
        </w:rPr>
      </w:pPr>
      <w:r w:rsidRPr="00A05698">
        <w:rPr>
          <w:spacing w:val="-2"/>
        </w:rPr>
        <w:t>La loi sur l’évaluation environnementale en son article 6 « intitulé instrument de classification des projets » définit en sa section 1, les outils d’évaluatio</w:t>
      </w:r>
      <w:r>
        <w:rPr>
          <w:spacing w:val="-2"/>
        </w:rPr>
        <w:t xml:space="preserve">n environnementale et prévoit </w:t>
      </w:r>
      <w:r w:rsidRPr="00A05698">
        <w:rPr>
          <w:spacing w:val="-2"/>
        </w:rPr>
        <w:t>dans le cadr</w:t>
      </w:r>
      <w:r>
        <w:rPr>
          <w:spacing w:val="-2"/>
        </w:rPr>
        <w:t>e de la réalisation d’un projet.</w:t>
      </w:r>
      <w:r w:rsidRPr="00A05698">
        <w:rPr>
          <w:spacing w:val="-2"/>
        </w:rPr>
        <w:t xml:space="preserve"> </w:t>
      </w:r>
    </w:p>
    <w:p w:rsidR="00B805ED" w:rsidRPr="00806206" w:rsidRDefault="00B805ED" w:rsidP="00BA6C1F">
      <w:pPr>
        <w:spacing w:before="120"/>
        <w:jc w:val="both"/>
        <w:rPr>
          <w:spacing w:val="-2"/>
        </w:rPr>
      </w:pPr>
      <w:r w:rsidRPr="00A05698">
        <w:t>L’article 7 de la même loi classe les projets par catégorie :</w:t>
      </w:r>
    </w:p>
    <w:p w:rsidR="00B805ED" w:rsidRPr="004D1BD0" w:rsidRDefault="00B805ED" w:rsidP="00B805ED">
      <w:pPr>
        <w:pStyle w:val="Listacommarcas2"/>
        <w:numPr>
          <w:ilvl w:val="0"/>
          <w:numId w:val="44"/>
        </w:numPr>
        <w:spacing w:line="240" w:lineRule="auto"/>
        <w:rPr>
          <w:rFonts w:ascii="Times New Roman" w:hAnsi="Times New Roman"/>
          <w:sz w:val="24"/>
          <w:lang w:val="fr-FR"/>
        </w:rPr>
      </w:pPr>
      <w:r w:rsidRPr="004D1BD0">
        <w:rPr>
          <w:rFonts w:ascii="Times New Roman" w:hAnsi="Times New Roman"/>
          <w:sz w:val="24"/>
          <w:lang w:val="fr-FR"/>
        </w:rPr>
        <w:t>projets de la catégorie A ;</w:t>
      </w:r>
    </w:p>
    <w:p w:rsidR="00B805ED" w:rsidRPr="004D1BD0" w:rsidRDefault="00B805ED" w:rsidP="00B805ED">
      <w:pPr>
        <w:pStyle w:val="Listacommarcas2"/>
        <w:numPr>
          <w:ilvl w:val="0"/>
          <w:numId w:val="44"/>
        </w:numPr>
        <w:spacing w:line="240" w:lineRule="auto"/>
        <w:rPr>
          <w:rFonts w:ascii="Times New Roman" w:hAnsi="Times New Roman"/>
          <w:sz w:val="24"/>
          <w:lang w:val="fr-FR"/>
        </w:rPr>
      </w:pPr>
      <w:r w:rsidRPr="004D1BD0">
        <w:rPr>
          <w:rFonts w:ascii="Times New Roman" w:hAnsi="Times New Roman"/>
          <w:sz w:val="24"/>
          <w:lang w:val="fr-FR"/>
        </w:rPr>
        <w:t>projets de la catégorie B ;</w:t>
      </w:r>
    </w:p>
    <w:p w:rsidR="00B805ED" w:rsidRPr="004D1BD0" w:rsidRDefault="00B805ED" w:rsidP="00B805ED">
      <w:pPr>
        <w:pStyle w:val="Listacommarcas2"/>
        <w:numPr>
          <w:ilvl w:val="0"/>
          <w:numId w:val="44"/>
        </w:numPr>
        <w:spacing w:line="240" w:lineRule="auto"/>
        <w:rPr>
          <w:rFonts w:ascii="Times New Roman" w:hAnsi="Times New Roman"/>
          <w:sz w:val="24"/>
          <w:lang w:val="fr-FR"/>
        </w:rPr>
      </w:pPr>
      <w:r w:rsidRPr="004D1BD0">
        <w:rPr>
          <w:rFonts w:ascii="Times New Roman" w:hAnsi="Times New Roman"/>
          <w:sz w:val="24"/>
          <w:lang w:val="fr-FR"/>
        </w:rPr>
        <w:t>projets de la catégorie C.</w:t>
      </w:r>
    </w:p>
    <w:p w:rsidR="00B805ED" w:rsidRPr="004D1BD0" w:rsidRDefault="00B805ED" w:rsidP="00B805ED">
      <w:pPr>
        <w:pStyle w:val="Listacommarcas2"/>
        <w:numPr>
          <w:ilvl w:val="0"/>
          <w:numId w:val="0"/>
        </w:numPr>
        <w:spacing w:line="240" w:lineRule="auto"/>
        <w:ind w:left="1068"/>
        <w:rPr>
          <w:rFonts w:ascii="Times New Roman" w:hAnsi="Times New Roman"/>
          <w:sz w:val="24"/>
          <w:lang w:val="fr-FR"/>
        </w:rPr>
      </w:pPr>
    </w:p>
    <w:p w:rsidR="00B805ED" w:rsidRPr="004D1BD0" w:rsidRDefault="00B805ED" w:rsidP="00B805ED">
      <w:pPr>
        <w:pStyle w:val="Listacommarcas2"/>
        <w:numPr>
          <w:ilvl w:val="0"/>
          <w:numId w:val="45"/>
        </w:numPr>
        <w:spacing w:line="240" w:lineRule="auto"/>
        <w:rPr>
          <w:rFonts w:ascii="Times New Roman" w:hAnsi="Times New Roman"/>
          <w:sz w:val="24"/>
          <w:lang w:val="fr-FR"/>
        </w:rPr>
      </w:pPr>
      <w:r w:rsidRPr="004D1BD0">
        <w:rPr>
          <w:rFonts w:ascii="Times New Roman" w:hAnsi="Times New Roman"/>
          <w:b/>
          <w:sz w:val="24"/>
          <w:lang w:val="fr-FR"/>
        </w:rPr>
        <w:t>La catégorie A</w:t>
      </w:r>
      <w:r w:rsidRPr="004D1BD0">
        <w:rPr>
          <w:rFonts w:ascii="Times New Roman" w:hAnsi="Times New Roman"/>
          <w:sz w:val="24"/>
          <w:lang w:val="fr-FR"/>
        </w:rPr>
        <w:t xml:space="preserve"> concerné les projets à risques élevés et pouvant avoir de multiples incidences négatives assez significatives sur l’environnement et la santé sociale, parfois avec des effets à grande échelle.</w:t>
      </w:r>
    </w:p>
    <w:p w:rsidR="00B805ED" w:rsidRPr="004D1BD0" w:rsidRDefault="00B805ED" w:rsidP="00B805ED">
      <w:pPr>
        <w:pStyle w:val="Listacommarcas2"/>
        <w:numPr>
          <w:ilvl w:val="0"/>
          <w:numId w:val="45"/>
        </w:numPr>
        <w:spacing w:line="240" w:lineRule="auto"/>
        <w:rPr>
          <w:rFonts w:ascii="Times New Roman" w:hAnsi="Times New Roman"/>
          <w:sz w:val="24"/>
          <w:lang w:val="fr-FR"/>
        </w:rPr>
      </w:pPr>
      <w:r w:rsidRPr="004D1BD0">
        <w:rPr>
          <w:rFonts w:ascii="Times New Roman" w:hAnsi="Times New Roman"/>
          <w:b/>
          <w:sz w:val="24"/>
          <w:lang w:val="fr-FR"/>
        </w:rPr>
        <w:t>La catégorie B</w:t>
      </w:r>
      <w:r w:rsidRPr="004D1BD0">
        <w:rPr>
          <w:rFonts w:ascii="Times New Roman" w:hAnsi="Times New Roman"/>
          <w:sz w:val="24"/>
          <w:lang w:val="fr-FR"/>
        </w:rPr>
        <w:t xml:space="preserve"> regroupe des projets susceptibles d’avoir, sur les populations et l’environnement, des incidences négatives moins graves que celles de la catégorie précédente et ce sont généralement des incidences de nature locale et de courte durée, avec des possibilités de prendre des mesures en vue de les atténuer. </w:t>
      </w:r>
    </w:p>
    <w:p w:rsidR="00B805ED" w:rsidRPr="004D1BD0" w:rsidRDefault="00B805ED" w:rsidP="00B805ED">
      <w:pPr>
        <w:pStyle w:val="Listacommarcas2"/>
        <w:numPr>
          <w:ilvl w:val="0"/>
          <w:numId w:val="45"/>
        </w:numPr>
        <w:spacing w:line="240" w:lineRule="auto"/>
        <w:rPr>
          <w:rFonts w:ascii="Times New Roman" w:hAnsi="Times New Roman"/>
          <w:sz w:val="24"/>
          <w:lang w:val="fr-FR"/>
        </w:rPr>
      </w:pPr>
      <w:r w:rsidRPr="004D1BD0">
        <w:rPr>
          <w:rFonts w:ascii="Times New Roman" w:hAnsi="Times New Roman"/>
          <w:b/>
          <w:sz w:val="24"/>
          <w:lang w:val="fr-FR"/>
        </w:rPr>
        <w:t>La catégorie C</w:t>
      </w:r>
      <w:r w:rsidRPr="004D1BD0">
        <w:rPr>
          <w:rFonts w:ascii="Times New Roman" w:hAnsi="Times New Roman"/>
          <w:sz w:val="24"/>
          <w:lang w:val="fr-FR"/>
        </w:rPr>
        <w:t xml:space="preserve"> représente les projets dont les incidences négatives sur l’environnement et sur la santé sont insignifiantes ou inexistantes.</w:t>
      </w:r>
    </w:p>
    <w:p w:rsidR="00B805ED" w:rsidRPr="00A05698" w:rsidRDefault="00B805ED" w:rsidP="007E562A">
      <w:pPr>
        <w:spacing w:before="120"/>
        <w:jc w:val="both"/>
        <w:rPr>
          <w:spacing w:val="-2"/>
        </w:rPr>
      </w:pPr>
      <w:r w:rsidRPr="00A05698">
        <w:rPr>
          <w:spacing w:val="-2"/>
        </w:rPr>
        <w:t>Après un examen préalable, aucune autre mesure relative à l’évaluation de l’environnement ne s’avère nécessaire pour les projets relevant de cette catégorie.</w:t>
      </w:r>
    </w:p>
    <w:p w:rsidR="00B805ED" w:rsidRPr="00A05698" w:rsidRDefault="00B805ED" w:rsidP="007E562A">
      <w:pPr>
        <w:spacing w:before="120"/>
        <w:jc w:val="both"/>
        <w:rPr>
          <w:spacing w:val="-2"/>
        </w:rPr>
      </w:pPr>
      <w:r w:rsidRPr="00A05698">
        <w:rPr>
          <w:spacing w:val="-2"/>
        </w:rPr>
        <w:t>Les annexes I, II et III de cette réglementation déterminent la liste nominative des projets, politiques, plans et programmes des secteurs d’activités concernés par l’évaluation environnementale en revanche, c’est la procédure administrative des Évaluations Environnementales qui spécifie le processus qui aboutit à la classification des projets selon les catégories A, B, et C.</w:t>
      </w:r>
    </w:p>
    <w:p w:rsidR="00B805ED" w:rsidRPr="00A05698" w:rsidRDefault="00B805ED" w:rsidP="007E562A">
      <w:pPr>
        <w:spacing w:before="120" w:after="120"/>
        <w:jc w:val="both"/>
        <w:rPr>
          <w:spacing w:val="-2"/>
        </w:rPr>
      </w:pPr>
      <w:r w:rsidRPr="00A05698">
        <w:rPr>
          <w:spacing w:val="-2"/>
        </w:rPr>
        <w:t>De plus, en application de la constitution, le Projet est tenu au respect de l’ensemble des règles juridiques applicables dans de sa mise en œuvre. Cette réglementation est listée dans le tableau ci- dessous :</w:t>
      </w:r>
    </w:p>
    <w:p w:rsidR="00B805ED" w:rsidRPr="00A05698" w:rsidRDefault="00B805ED" w:rsidP="00B805ED">
      <w:pPr>
        <w:pStyle w:val="Legenda"/>
      </w:pPr>
      <w:bookmarkStart w:id="176" w:name="_Toc75503438"/>
      <w:r w:rsidRPr="00A05698">
        <w:t xml:space="preserve">Tableau </w:t>
      </w:r>
      <w:r w:rsidR="004E1203">
        <w:fldChar w:fldCharType="begin"/>
      </w:r>
      <w:r w:rsidR="004E1203">
        <w:instrText xml:space="preserve"> SEQ Tableau \* ARABIC </w:instrText>
      </w:r>
      <w:r w:rsidR="004E1203">
        <w:fldChar w:fldCharType="separate"/>
      </w:r>
      <w:r w:rsidR="00BB7875">
        <w:rPr>
          <w:noProof/>
        </w:rPr>
        <w:t>4</w:t>
      </w:r>
      <w:r w:rsidR="004E1203">
        <w:rPr>
          <w:noProof/>
        </w:rPr>
        <w:fldChar w:fldCharType="end"/>
      </w:r>
      <w:r w:rsidRPr="00A05698">
        <w:t>: Les réglementations en terme environnemental et social en vigueur en Guinée Bissau</w:t>
      </w:r>
      <w:bookmarkEnd w:id="176"/>
    </w:p>
    <w:tbl>
      <w:tblPr>
        <w:tblStyle w:val="Tabelacomgrelha"/>
        <w:tblW w:w="9833" w:type="dxa"/>
        <w:jc w:val="center"/>
        <w:tblLook w:val="04A0" w:firstRow="1" w:lastRow="0" w:firstColumn="1" w:lastColumn="0" w:noHBand="0" w:noVBand="1"/>
      </w:tblPr>
      <w:tblGrid>
        <w:gridCol w:w="4407"/>
        <w:gridCol w:w="5426"/>
      </w:tblGrid>
      <w:tr w:rsidR="007E562A" w:rsidRPr="007E562A" w:rsidTr="007E562A">
        <w:trPr>
          <w:jc w:val="center"/>
        </w:trPr>
        <w:tc>
          <w:tcPr>
            <w:tcW w:w="4407" w:type="dxa"/>
            <w:vAlign w:val="center"/>
          </w:tcPr>
          <w:p w:rsidR="00B805ED" w:rsidRPr="007E562A" w:rsidRDefault="00B805ED" w:rsidP="008D4CD7">
            <w:pPr>
              <w:jc w:val="both"/>
              <w:rPr>
                <w:color w:val="000000"/>
              </w:rPr>
            </w:pPr>
            <w:r w:rsidRPr="007E562A">
              <w:rPr>
                <w:color w:val="000000"/>
              </w:rPr>
              <w:t>Loi N°1/2011 du 02 mars 2011 portant « principes</w:t>
            </w:r>
            <w:r w:rsidRPr="007E562A">
              <w:rPr>
                <w:color w:val="000000"/>
              </w:rPr>
              <w:br/>
              <w:t>fondamentaux relatifs à la définition de la politique</w:t>
            </w:r>
            <w:r w:rsidRPr="007E562A">
              <w:rPr>
                <w:color w:val="000000"/>
              </w:rPr>
              <w:br/>
              <w:t>nationale de la protection de l’environnement naturel et construit »</w:t>
            </w:r>
          </w:p>
        </w:tc>
        <w:tc>
          <w:tcPr>
            <w:tcW w:w="5426" w:type="dxa"/>
            <w:vAlign w:val="center"/>
          </w:tcPr>
          <w:p w:rsidR="00B805ED" w:rsidRPr="007E562A" w:rsidRDefault="00B805ED" w:rsidP="008D4CD7">
            <w:pPr>
              <w:jc w:val="both"/>
              <w:rPr>
                <w:color w:val="000000"/>
              </w:rPr>
            </w:pPr>
            <w:r w:rsidRPr="007E562A">
              <w:rPr>
                <w:color w:val="000000"/>
              </w:rPr>
              <w:t>Elle vise à favoriser la gestion durable des</w:t>
            </w:r>
            <w:r w:rsidRPr="007E562A">
              <w:rPr>
                <w:color w:val="000000"/>
              </w:rPr>
              <w:br/>
              <w:t>ressources naturelles, à prévenir les risques, à</w:t>
            </w:r>
            <w:r w:rsidRPr="007E562A">
              <w:rPr>
                <w:color w:val="000000"/>
              </w:rPr>
              <w:br/>
              <w:t>lutter contre les formes de pollutions et</w:t>
            </w:r>
            <w:r w:rsidRPr="007E562A">
              <w:rPr>
                <w:color w:val="000000"/>
              </w:rPr>
              <w:br/>
              <w:t>nuisances, et à améliorer la qualité de la vie</w:t>
            </w:r>
            <w:r w:rsidRPr="007E562A">
              <w:rPr>
                <w:color w:val="000000"/>
              </w:rPr>
              <w:br/>
              <w:t>des populations dans le respect de l’équilibre</w:t>
            </w:r>
            <w:r w:rsidRPr="007E562A">
              <w:rPr>
                <w:color w:val="000000"/>
              </w:rPr>
              <w:br/>
              <w:t>écologique</w:t>
            </w:r>
          </w:p>
        </w:tc>
      </w:tr>
      <w:tr w:rsidR="007E562A" w:rsidRPr="007E562A" w:rsidTr="007E562A">
        <w:trPr>
          <w:jc w:val="center"/>
        </w:trPr>
        <w:tc>
          <w:tcPr>
            <w:tcW w:w="4407" w:type="dxa"/>
            <w:vAlign w:val="center"/>
          </w:tcPr>
          <w:p w:rsidR="00B805ED" w:rsidRPr="007E562A" w:rsidRDefault="00B805ED" w:rsidP="008D4CD7">
            <w:pPr>
              <w:jc w:val="both"/>
              <w:rPr>
                <w:color w:val="000000"/>
              </w:rPr>
            </w:pPr>
            <w:r w:rsidRPr="007E562A">
              <w:rPr>
                <w:color w:val="000000"/>
              </w:rPr>
              <w:t>« Loi N°10/2010 du 24 septembre 2010 portant</w:t>
            </w:r>
            <w:r w:rsidRPr="007E562A">
              <w:rPr>
                <w:color w:val="000000"/>
              </w:rPr>
              <w:br/>
              <w:t>« principes fondamentaux relatifs à l’évaluation</w:t>
            </w:r>
            <w:r w:rsidRPr="007E562A">
              <w:rPr>
                <w:color w:val="000000"/>
              </w:rPr>
              <w:br/>
            </w:r>
            <w:r w:rsidRPr="007E562A">
              <w:rPr>
                <w:color w:val="000000"/>
              </w:rPr>
              <w:lastRenderedPageBreak/>
              <w:t xml:space="preserve">environnementale et sociale des projets, </w:t>
            </w:r>
            <w:r w:rsidRPr="007E562A">
              <w:rPr>
                <w:color w:val="000000"/>
              </w:rPr>
              <w:br/>
              <w:t>programmes plans et politiques du développement ».</w:t>
            </w:r>
          </w:p>
        </w:tc>
        <w:tc>
          <w:tcPr>
            <w:tcW w:w="5426" w:type="dxa"/>
            <w:vAlign w:val="center"/>
          </w:tcPr>
          <w:p w:rsidR="00B805ED" w:rsidRPr="007E562A" w:rsidRDefault="00B805ED" w:rsidP="008D4CD7">
            <w:pPr>
              <w:jc w:val="both"/>
              <w:rPr>
                <w:color w:val="000000"/>
              </w:rPr>
            </w:pPr>
            <w:r w:rsidRPr="007E562A">
              <w:rPr>
                <w:color w:val="000000"/>
              </w:rPr>
              <w:lastRenderedPageBreak/>
              <w:t>Elle vise à définir les procédures d’évaluation</w:t>
            </w:r>
            <w:r w:rsidRPr="007E562A">
              <w:rPr>
                <w:color w:val="000000"/>
              </w:rPr>
              <w:br/>
              <w:t xml:space="preserve">environnementale et sociale des projets, </w:t>
            </w:r>
            <w:r w:rsidRPr="007E562A">
              <w:rPr>
                <w:color w:val="000000"/>
              </w:rPr>
              <w:br/>
              <w:t>programmes, plans et politiques. Au terme de</w:t>
            </w:r>
            <w:r w:rsidRPr="007E562A">
              <w:rPr>
                <w:color w:val="000000"/>
              </w:rPr>
              <w:br/>
              <w:t>cette loi, les projets sont classés en ces trois</w:t>
            </w:r>
            <w:r w:rsidRPr="007E562A">
              <w:rPr>
                <w:color w:val="000000"/>
              </w:rPr>
              <w:br/>
            </w:r>
            <w:r w:rsidRPr="007E562A">
              <w:rPr>
                <w:color w:val="000000"/>
              </w:rPr>
              <w:lastRenderedPageBreak/>
              <w:t>(03) catégories A, B et C.</w:t>
            </w:r>
          </w:p>
        </w:tc>
      </w:tr>
      <w:tr w:rsidR="007E562A" w:rsidRPr="007E562A" w:rsidTr="007E562A">
        <w:trPr>
          <w:jc w:val="center"/>
        </w:trPr>
        <w:tc>
          <w:tcPr>
            <w:tcW w:w="4407" w:type="dxa"/>
            <w:vAlign w:val="center"/>
          </w:tcPr>
          <w:p w:rsidR="00B805ED" w:rsidRPr="007E562A" w:rsidRDefault="00B805ED" w:rsidP="008D4CD7">
            <w:pPr>
              <w:jc w:val="both"/>
              <w:rPr>
                <w:color w:val="000000"/>
              </w:rPr>
            </w:pPr>
            <w:r w:rsidRPr="007E562A">
              <w:rPr>
                <w:color w:val="000000"/>
              </w:rPr>
              <w:lastRenderedPageBreak/>
              <w:t>Décret n° 07/2017 du 16 Juin 2017 peut être</w:t>
            </w:r>
            <w:r w:rsidRPr="007E562A">
              <w:rPr>
                <w:color w:val="000000"/>
              </w:rPr>
              <w:br/>
              <w:t>considéré comme le texte qui encadre la nécessité</w:t>
            </w:r>
            <w:r w:rsidRPr="007E562A">
              <w:rPr>
                <w:color w:val="000000"/>
              </w:rPr>
              <w:br/>
              <w:t>d’effectuer une Etude d’Impact Environnemental et</w:t>
            </w:r>
            <w:r w:rsidRPr="007E562A">
              <w:rPr>
                <w:color w:val="000000"/>
              </w:rPr>
              <w:br/>
              <w:t>Social (EIES) pour s’assurer qu’un projet respecte</w:t>
            </w:r>
            <w:r w:rsidRPr="007E562A">
              <w:rPr>
                <w:color w:val="000000"/>
              </w:rPr>
              <w:br/>
              <w:t>des normes existantes en matière d’environnement</w:t>
            </w:r>
          </w:p>
        </w:tc>
        <w:tc>
          <w:tcPr>
            <w:tcW w:w="5426" w:type="dxa"/>
            <w:vAlign w:val="center"/>
          </w:tcPr>
          <w:p w:rsidR="00B805ED" w:rsidRPr="007E562A" w:rsidRDefault="00B805ED" w:rsidP="008D4CD7">
            <w:pPr>
              <w:jc w:val="both"/>
              <w:rPr>
                <w:color w:val="000000"/>
              </w:rPr>
            </w:pPr>
            <w:r w:rsidRPr="007E562A">
              <w:rPr>
                <w:color w:val="000000"/>
              </w:rPr>
              <w:t>L’EIES devra être effectuée par le promoteur</w:t>
            </w:r>
            <w:r w:rsidRPr="007E562A">
              <w:rPr>
                <w:color w:val="000000"/>
              </w:rPr>
              <w:br/>
              <w:t>et sous sa seule responsabilité. Les termes de</w:t>
            </w:r>
            <w:r w:rsidRPr="007E562A">
              <w:rPr>
                <w:color w:val="000000"/>
              </w:rPr>
              <w:br/>
              <w:t>référence seront établis par l’administration</w:t>
            </w:r>
            <w:r w:rsidRPr="007E562A">
              <w:rPr>
                <w:color w:val="000000"/>
              </w:rPr>
              <w:br/>
              <w:t>de tutelle du secteur d’activité concerné en</w:t>
            </w:r>
            <w:r w:rsidRPr="007E562A">
              <w:rPr>
                <w:color w:val="000000"/>
              </w:rPr>
              <w:br/>
              <w:t>liaison avec le promoteur du projet PUSA, sur la base</w:t>
            </w:r>
            <w:r w:rsidRPr="007E562A">
              <w:rPr>
                <w:color w:val="000000"/>
              </w:rPr>
              <w:br/>
              <w:t>de directives générales et sectorielles qui</w:t>
            </w:r>
            <w:r w:rsidRPr="007E562A">
              <w:rPr>
                <w:color w:val="000000"/>
              </w:rPr>
              <w:br/>
              <w:t>seront alors élaborées par l’autorité chargée</w:t>
            </w:r>
            <w:r w:rsidRPr="007E562A">
              <w:rPr>
                <w:color w:val="000000"/>
              </w:rPr>
              <w:br/>
              <w:t>de l’évaluation environnementale et sociale (AAAC).</w:t>
            </w:r>
          </w:p>
          <w:p w:rsidR="00B805ED" w:rsidRPr="007E562A" w:rsidRDefault="00B805ED" w:rsidP="008D4CD7">
            <w:pPr>
              <w:jc w:val="both"/>
              <w:rPr>
                <w:color w:val="000000"/>
              </w:rPr>
            </w:pPr>
            <w:r w:rsidRPr="007E562A">
              <w:rPr>
                <w:color w:val="000000"/>
              </w:rPr>
              <w:t>L’acceptabilité environnementale et sociale</w:t>
            </w:r>
            <w:r w:rsidRPr="007E562A">
              <w:rPr>
                <w:color w:val="000000"/>
              </w:rPr>
              <w:br/>
              <w:t>du projet PUSA sera prononcée par décision de</w:t>
            </w:r>
            <w:r w:rsidRPr="007E562A">
              <w:rPr>
                <w:color w:val="000000"/>
              </w:rPr>
              <w:br/>
              <w:t>l’autorité chargée de l’environnement sur</w:t>
            </w:r>
            <w:r w:rsidRPr="007E562A">
              <w:rPr>
                <w:color w:val="000000"/>
              </w:rPr>
              <w:br/>
              <w:t>l’avis du comité.</w:t>
            </w:r>
          </w:p>
        </w:tc>
      </w:tr>
      <w:tr w:rsidR="007E562A" w:rsidRPr="007E562A" w:rsidTr="007E562A">
        <w:trPr>
          <w:jc w:val="center"/>
        </w:trPr>
        <w:tc>
          <w:tcPr>
            <w:tcW w:w="4407" w:type="dxa"/>
            <w:vAlign w:val="center"/>
          </w:tcPr>
          <w:p w:rsidR="00B805ED" w:rsidRPr="007E562A" w:rsidRDefault="00B805ED" w:rsidP="008D4CD7">
            <w:pPr>
              <w:jc w:val="both"/>
              <w:rPr>
                <w:color w:val="000000"/>
              </w:rPr>
            </w:pPr>
            <w:r w:rsidRPr="007E562A">
              <w:rPr>
                <w:color w:val="000000"/>
              </w:rPr>
              <w:t>Décret n° 08/2017 du 16 Juin 2017 peut être</w:t>
            </w:r>
            <w:r w:rsidRPr="007E562A">
              <w:rPr>
                <w:color w:val="000000"/>
              </w:rPr>
              <w:br/>
              <w:t>considéré comme le texte qui encadre la nécessité</w:t>
            </w:r>
            <w:r w:rsidRPr="007E562A">
              <w:rPr>
                <w:color w:val="000000"/>
              </w:rPr>
              <w:br/>
              <w:t>d’avoir les licences et autorisations</w:t>
            </w:r>
            <w:r w:rsidRPr="007E562A">
              <w:rPr>
                <w:color w:val="000000"/>
              </w:rPr>
              <w:br/>
              <w:t>environnementales après les analyses des impacts et risques de la mise en œuvre d’une activité donnée.</w:t>
            </w:r>
          </w:p>
        </w:tc>
        <w:tc>
          <w:tcPr>
            <w:tcW w:w="5426" w:type="dxa"/>
            <w:vAlign w:val="center"/>
          </w:tcPr>
          <w:p w:rsidR="00B805ED" w:rsidRPr="007E562A" w:rsidRDefault="00B805ED" w:rsidP="008D4CD7">
            <w:pPr>
              <w:jc w:val="both"/>
              <w:rPr>
                <w:color w:val="000000"/>
              </w:rPr>
            </w:pPr>
            <w:r w:rsidRPr="007E562A">
              <w:rPr>
                <w:color w:val="000000"/>
              </w:rPr>
              <w:t>Il vise à définir la modalité d’avoir une</w:t>
            </w:r>
            <w:r w:rsidRPr="007E562A">
              <w:rPr>
                <w:color w:val="000000"/>
              </w:rPr>
              <w:br/>
              <w:t>licence et l’autorisation pour</w:t>
            </w:r>
            <w:r w:rsidRPr="007E562A">
              <w:rPr>
                <w:color w:val="000000"/>
              </w:rPr>
              <w:br/>
              <w:t>l’exécution d’une activité donnée.</w:t>
            </w:r>
          </w:p>
        </w:tc>
      </w:tr>
      <w:tr w:rsidR="007E562A" w:rsidRPr="007E562A" w:rsidTr="007E562A">
        <w:trPr>
          <w:jc w:val="center"/>
        </w:trPr>
        <w:tc>
          <w:tcPr>
            <w:tcW w:w="4407" w:type="dxa"/>
            <w:vAlign w:val="center"/>
          </w:tcPr>
          <w:p w:rsidR="00B805ED" w:rsidRPr="007E562A" w:rsidRDefault="00B805ED" w:rsidP="008D4CD7">
            <w:pPr>
              <w:jc w:val="both"/>
              <w:rPr>
                <w:color w:val="000000"/>
              </w:rPr>
            </w:pPr>
            <w:r w:rsidRPr="007E562A">
              <w:rPr>
                <w:color w:val="000000"/>
              </w:rPr>
              <w:t>Décret n° 05/2017 du 16 Juin 2017 peut être</w:t>
            </w:r>
            <w:r w:rsidRPr="007E562A">
              <w:rPr>
                <w:color w:val="000000"/>
              </w:rPr>
              <w:br/>
              <w:t>considéré comme le texte qui encadre la nécessité de tenir en compte la participation publique dans la planification, prise de décision et monitoring de la mise en œuvre des projets, programmes, plans et politiques de développement nationale.</w:t>
            </w:r>
          </w:p>
        </w:tc>
        <w:tc>
          <w:tcPr>
            <w:tcW w:w="5426" w:type="dxa"/>
            <w:vAlign w:val="center"/>
          </w:tcPr>
          <w:p w:rsidR="00B805ED" w:rsidRPr="007E562A" w:rsidRDefault="00B805ED" w:rsidP="008D4CD7">
            <w:pPr>
              <w:jc w:val="both"/>
              <w:rPr>
                <w:color w:val="000000"/>
              </w:rPr>
            </w:pPr>
            <w:r w:rsidRPr="007E562A">
              <w:rPr>
                <w:color w:val="000000"/>
              </w:rPr>
              <w:t>Ce décret vise à définir la modalité de la participation des tous les citoyens dans le processus de développement national.</w:t>
            </w:r>
          </w:p>
        </w:tc>
      </w:tr>
      <w:tr w:rsidR="007E562A" w:rsidRPr="007E562A" w:rsidTr="007E562A">
        <w:trPr>
          <w:jc w:val="center"/>
        </w:trPr>
        <w:tc>
          <w:tcPr>
            <w:tcW w:w="4407" w:type="dxa"/>
            <w:vAlign w:val="center"/>
          </w:tcPr>
          <w:p w:rsidR="00B805ED" w:rsidRPr="007E562A" w:rsidRDefault="00B805ED" w:rsidP="008D4CD7">
            <w:pPr>
              <w:jc w:val="both"/>
              <w:rPr>
                <w:color w:val="000000"/>
              </w:rPr>
            </w:pPr>
            <w:r w:rsidRPr="007E562A">
              <w:rPr>
                <w:color w:val="000000"/>
              </w:rPr>
              <w:t>Décret n° 09/2017 du 16 Juin 2017 peut être</w:t>
            </w:r>
            <w:r w:rsidRPr="007E562A">
              <w:rPr>
                <w:color w:val="000000"/>
              </w:rPr>
              <w:br/>
              <w:t>considéré comme le texte qui encadre la nécessité</w:t>
            </w:r>
            <w:r w:rsidRPr="007E562A">
              <w:rPr>
                <w:color w:val="000000"/>
              </w:rPr>
              <w:br/>
              <w:t>d’effectuer un Audit Environnemental pour les</w:t>
            </w:r>
            <w:r w:rsidR="009C0486">
              <w:rPr>
                <w:color w:val="000000"/>
              </w:rPr>
              <w:t xml:space="preserve"> </w:t>
            </w:r>
            <w:r w:rsidRPr="007E562A">
              <w:rPr>
                <w:color w:val="000000"/>
              </w:rPr>
              <w:t>projets, programmes plans et politiques.</w:t>
            </w:r>
          </w:p>
        </w:tc>
        <w:tc>
          <w:tcPr>
            <w:tcW w:w="5426" w:type="dxa"/>
            <w:vAlign w:val="center"/>
          </w:tcPr>
          <w:p w:rsidR="00B805ED" w:rsidRPr="007E562A" w:rsidRDefault="00B805ED" w:rsidP="008D4CD7">
            <w:pPr>
              <w:jc w:val="both"/>
              <w:rPr>
                <w:color w:val="000000"/>
              </w:rPr>
            </w:pPr>
            <w:r w:rsidRPr="007E562A">
              <w:rPr>
                <w:color w:val="000000"/>
              </w:rPr>
              <w:t>Vise à définir la procédure, les critères et types d’audit environnemental et social à mise en place pour s’assurer la conformité du projet, programmes, plans et politiques au longue de ses vies</w:t>
            </w:r>
          </w:p>
        </w:tc>
      </w:tr>
    </w:tbl>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.2.3. Autres dispositions réglementaires applicables dans la mise en œuvre de ce projet</w:t>
      </w:r>
    </w:p>
    <w:p w:rsidR="00B805ED" w:rsidRPr="00A05698" w:rsidRDefault="00B805ED" w:rsidP="00B805ED">
      <w:pPr>
        <w:pStyle w:val="Legenda"/>
        <w:jc w:val="center"/>
      </w:pPr>
      <w:bookmarkStart w:id="177" w:name="_Toc75503439"/>
      <w:r w:rsidRPr="00A05698">
        <w:t xml:space="preserve">Tableau </w:t>
      </w:r>
      <w:r w:rsidR="004E1203">
        <w:fldChar w:fldCharType="begin"/>
      </w:r>
      <w:r w:rsidR="004E1203">
        <w:instrText xml:space="preserve"> SEQ Tableau \* ARABIC </w:instrText>
      </w:r>
      <w:r w:rsidR="004E1203">
        <w:fldChar w:fldCharType="separate"/>
      </w:r>
      <w:r w:rsidR="00BB7875">
        <w:rPr>
          <w:noProof/>
        </w:rPr>
        <w:t>5</w:t>
      </w:r>
      <w:r w:rsidR="004E1203">
        <w:rPr>
          <w:noProof/>
        </w:rPr>
        <w:fldChar w:fldCharType="end"/>
      </w:r>
      <w:r w:rsidRPr="00A05698">
        <w:t>: Autres dispositions réglementaires applicables au projet</w:t>
      </w:r>
      <w:bookmarkEnd w:id="177"/>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2731"/>
        <w:gridCol w:w="1390"/>
        <w:gridCol w:w="4671"/>
      </w:tblGrid>
      <w:tr w:rsidR="00B805ED" w:rsidRPr="00171856" w:rsidTr="00846E17">
        <w:trPr>
          <w:tblHeader/>
        </w:trPr>
        <w:tc>
          <w:tcPr>
            <w:tcW w:w="1698" w:type="dxa"/>
            <w:shd w:val="clear" w:color="auto" w:fill="1F3864"/>
            <w:vAlign w:val="center"/>
          </w:tcPr>
          <w:p w:rsidR="00B805ED" w:rsidRPr="00171856" w:rsidRDefault="00B805ED" w:rsidP="008D4CD7">
            <w:pPr>
              <w:jc w:val="center"/>
              <w:rPr>
                <w:b/>
              </w:rPr>
            </w:pPr>
            <w:r w:rsidRPr="00171856">
              <w:rPr>
                <w:b/>
              </w:rPr>
              <w:t>Secteurs concernés</w:t>
            </w:r>
          </w:p>
        </w:tc>
        <w:tc>
          <w:tcPr>
            <w:tcW w:w="2731" w:type="dxa"/>
            <w:shd w:val="clear" w:color="auto" w:fill="1F3864"/>
            <w:vAlign w:val="center"/>
          </w:tcPr>
          <w:p w:rsidR="00B805ED" w:rsidRPr="00171856" w:rsidRDefault="00B805ED" w:rsidP="008D4CD7">
            <w:pPr>
              <w:jc w:val="center"/>
              <w:rPr>
                <w:b/>
              </w:rPr>
            </w:pPr>
            <w:r w:rsidRPr="00171856">
              <w:rPr>
                <w:b/>
              </w:rPr>
              <w:t>Bases légales</w:t>
            </w:r>
          </w:p>
        </w:tc>
        <w:tc>
          <w:tcPr>
            <w:tcW w:w="1390" w:type="dxa"/>
            <w:shd w:val="clear" w:color="auto" w:fill="1F3864"/>
            <w:vAlign w:val="center"/>
          </w:tcPr>
          <w:p w:rsidR="00B805ED" w:rsidRPr="00171856" w:rsidRDefault="00B805ED" w:rsidP="008D4CD7">
            <w:pPr>
              <w:jc w:val="center"/>
              <w:rPr>
                <w:b/>
              </w:rPr>
            </w:pPr>
            <w:r w:rsidRPr="00171856">
              <w:rPr>
                <w:b/>
              </w:rPr>
              <w:t>Références de l’article ou du texte</w:t>
            </w:r>
          </w:p>
        </w:tc>
        <w:tc>
          <w:tcPr>
            <w:tcW w:w="4671" w:type="dxa"/>
            <w:shd w:val="clear" w:color="auto" w:fill="1F3864"/>
            <w:vAlign w:val="center"/>
          </w:tcPr>
          <w:p w:rsidR="00B805ED" w:rsidRPr="00171856" w:rsidRDefault="00B805ED" w:rsidP="008D4CD7">
            <w:pPr>
              <w:ind w:right="32"/>
              <w:jc w:val="center"/>
              <w:rPr>
                <w:b/>
              </w:rPr>
            </w:pPr>
            <w:r w:rsidRPr="00171856">
              <w:rPr>
                <w:b/>
              </w:rPr>
              <w:t>Contenu pertinent en rapport avec le projet</w:t>
            </w:r>
          </w:p>
        </w:tc>
      </w:tr>
      <w:tr w:rsidR="00B805ED" w:rsidRPr="00171856" w:rsidTr="008D4CD7">
        <w:tc>
          <w:tcPr>
            <w:tcW w:w="1698" w:type="dxa"/>
            <w:shd w:val="clear" w:color="auto" w:fill="auto"/>
            <w:vAlign w:val="center"/>
          </w:tcPr>
          <w:p w:rsidR="00B805ED" w:rsidRPr="00171856" w:rsidRDefault="00B805ED" w:rsidP="008D4CD7">
            <w:pPr>
              <w:jc w:val="center"/>
              <w:rPr>
                <w:b/>
              </w:rPr>
            </w:pPr>
            <w:r w:rsidRPr="00171856">
              <w:rPr>
                <w:b/>
              </w:rPr>
              <w:t>EAU</w:t>
            </w:r>
          </w:p>
        </w:tc>
        <w:tc>
          <w:tcPr>
            <w:tcW w:w="2731" w:type="dxa"/>
            <w:shd w:val="clear" w:color="auto" w:fill="auto"/>
            <w:vAlign w:val="center"/>
          </w:tcPr>
          <w:p w:rsidR="00B805ED" w:rsidRPr="00171856" w:rsidRDefault="00B805ED" w:rsidP="008D4CD7">
            <w:pPr>
              <w:jc w:val="center"/>
              <w:rPr>
                <w:b/>
                <w:i/>
                <w:lang w:bidi="fr-FR"/>
              </w:rPr>
            </w:pPr>
            <w:r w:rsidRPr="00171856">
              <w:rPr>
                <w:b/>
                <w:i/>
                <w:lang w:bidi="fr-FR"/>
              </w:rPr>
              <w:t xml:space="preserve">Décret-loi n°5-A 1992 portant le régime juridique général de toutes les activités relatives à la gestion de </w:t>
            </w:r>
            <w:r w:rsidRPr="00171856">
              <w:rPr>
                <w:b/>
                <w:i/>
                <w:lang w:bidi="fr-FR"/>
              </w:rPr>
              <w:lastRenderedPageBreak/>
              <w:t>l’eau</w:t>
            </w:r>
          </w:p>
          <w:p w:rsidR="00B805ED" w:rsidRPr="00171856" w:rsidRDefault="00B805ED" w:rsidP="008D4CD7">
            <w:pPr>
              <w:jc w:val="center"/>
              <w:rPr>
                <w:b/>
                <w:i/>
              </w:rPr>
            </w:pPr>
          </w:p>
        </w:tc>
        <w:tc>
          <w:tcPr>
            <w:tcW w:w="1390" w:type="dxa"/>
            <w:shd w:val="clear" w:color="auto" w:fill="auto"/>
            <w:vAlign w:val="center"/>
          </w:tcPr>
          <w:p w:rsidR="00B805ED" w:rsidRPr="00171856" w:rsidRDefault="00B805ED" w:rsidP="008D4CD7">
            <w:pPr>
              <w:jc w:val="center"/>
              <w:rPr>
                <w:b/>
              </w:rPr>
            </w:pPr>
            <w:r w:rsidRPr="00171856">
              <w:rPr>
                <w:b/>
              </w:rPr>
              <w:lastRenderedPageBreak/>
              <w:t>-</w:t>
            </w:r>
          </w:p>
        </w:tc>
        <w:tc>
          <w:tcPr>
            <w:tcW w:w="4671" w:type="dxa"/>
            <w:shd w:val="clear" w:color="auto" w:fill="auto"/>
            <w:vAlign w:val="center"/>
          </w:tcPr>
          <w:p w:rsidR="00B805ED" w:rsidRPr="00171856" w:rsidRDefault="00B805ED" w:rsidP="008D4CD7">
            <w:pPr>
              <w:jc w:val="both"/>
              <w:rPr>
                <w:color w:val="000000"/>
              </w:rPr>
            </w:pPr>
            <w:r w:rsidRPr="00171856">
              <w:rPr>
                <w:color w:val="000000"/>
              </w:rPr>
              <w:t xml:space="preserve">Cette réglementation a donné les dispositions de base pour  i) définir le régime juridique général de toutes les activités relatives à la gestion des ressources hydriques ; ii) définir le cadre institutionnel et normatif d’exécution </w:t>
            </w:r>
            <w:r w:rsidRPr="00171856">
              <w:rPr>
                <w:color w:val="000000"/>
              </w:rPr>
              <w:lastRenderedPageBreak/>
              <w:t xml:space="preserve">de la politique générale de gestion de l’eau au bénéfice de toute la population et dans l’intérêt économique et sociale du pays ; iii) assurer l’exécution de la politique de gestion des ressources hydriques de la Guinée Bissau quelle que soit la forme dans laquelle elles se présentent ; iv) assurer l’inventaire pour une utilisation profitable et une fiscalisation rationnelle des ressources hydriques et leur administration ;vi) assurer la protection qualitative de l’eau contre la pollution, le gaspillage et la surexploitation. </w:t>
            </w:r>
            <w:r w:rsidRPr="00171856">
              <w:t>Cette réglementation fait obligation entre autres, à régulariser toute utilisation de l’eau à des fins domestique, agricole, industrielle, hydroélectriques, etc.</w:t>
            </w:r>
          </w:p>
        </w:tc>
      </w:tr>
      <w:tr w:rsidR="00B805ED" w:rsidRPr="00171856" w:rsidTr="008D4CD7">
        <w:trPr>
          <w:trHeight w:val="398"/>
        </w:trPr>
        <w:tc>
          <w:tcPr>
            <w:tcW w:w="1698" w:type="dxa"/>
            <w:vMerge w:val="restart"/>
            <w:vAlign w:val="center"/>
          </w:tcPr>
          <w:p w:rsidR="00B805ED" w:rsidRPr="00171856" w:rsidRDefault="00B805ED" w:rsidP="008D4CD7">
            <w:pPr>
              <w:jc w:val="center"/>
              <w:rPr>
                <w:b/>
              </w:rPr>
            </w:pPr>
            <w:r w:rsidRPr="00171856">
              <w:rPr>
                <w:b/>
                <w:bCs/>
                <w:color w:val="000000"/>
              </w:rPr>
              <w:lastRenderedPageBreak/>
              <w:t>Forêts</w:t>
            </w:r>
          </w:p>
        </w:tc>
        <w:tc>
          <w:tcPr>
            <w:tcW w:w="2731" w:type="dxa"/>
            <w:vAlign w:val="center"/>
          </w:tcPr>
          <w:p w:rsidR="00B805ED" w:rsidRPr="00171856" w:rsidRDefault="00B805ED" w:rsidP="008D4CD7">
            <w:pPr>
              <w:rPr>
                <w:b/>
                <w:i/>
              </w:rPr>
            </w:pPr>
            <w:r w:rsidRPr="00171856">
              <w:rPr>
                <w:b/>
                <w:bCs/>
                <w:i/>
                <w:color w:val="000000"/>
              </w:rPr>
              <w:t>Décret 14/2011 du 22 février portant sur préservation de la forêt</w:t>
            </w:r>
          </w:p>
        </w:tc>
        <w:tc>
          <w:tcPr>
            <w:tcW w:w="1390" w:type="dxa"/>
            <w:vAlign w:val="center"/>
          </w:tcPr>
          <w:p w:rsidR="00B805ED" w:rsidRPr="00171856" w:rsidRDefault="00B805ED" w:rsidP="008D4CD7">
            <w:pPr>
              <w:jc w:val="center"/>
            </w:pPr>
            <w:r w:rsidRPr="00171856">
              <w:rPr>
                <w:color w:val="000000"/>
              </w:rPr>
              <w:t>Article 2 alinéa 3</w:t>
            </w:r>
          </w:p>
        </w:tc>
        <w:tc>
          <w:tcPr>
            <w:tcW w:w="4671" w:type="dxa"/>
            <w:vAlign w:val="center"/>
          </w:tcPr>
          <w:p w:rsidR="00B805ED" w:rsidRPr="00171856" w:rsidRDefault="00B805ED" w:rsidP="008D4CD7">
            <w:pPr>
              <w:ind w:right="32"/>
              <w:jc w:val="both"/>
              <w:rPr>
                <w:color w:val="000000"/>
              </w:rPr>
            </w:pPr>
            <w:r w:rsidRPr="00171856">
              <w:rPr>
                <w:color w:val="000000"/>
              </w:rPr>
              <w:t>Elle définit qu’une forêt est une formation naturelle ou un système artificiel de formations composées des mangroves, palmeraies, forêts galeries et les autres types de formation végétale comme les forêts subhumides, denses, moyennement denses, subtropicales en régénérescence et les savanes arborées et herbacées. Le projet, qui dans sa mise en œuvre avec les aides ou les financements apporter aux agriculteurs pourrait amener à abattre des arbres pour étendre leur espace cultivable, ce projet PUSA devra tout mettre en œuvre pour préserver autant que possible les formations végétales conformément à cette réglementation</w:t>
            </w:r>
          </w:p>
        </w:tc>
      </w:tr>
      <w:tr w:rsidR="00B805ED" w:rsidRPr="00171856" w:rsidTr="008D4CD7">
        <w:tc>
          <w:tcPr>
            <w:tcW w:w="1698" w:type="dxa"/>
            <w:vMerge/>
            <w:vAlign w:val="center"/>
          </w:tcPr>
          <w:p w:rsidR="00B805ED" w:rsidRPr="00171856" w:rsidRDefault="00B805ED" w:rsidP="008D4CD7">
            <w:pPr>
              <w:jc w:val="center"/>
              <w:rPr>
                <w:b/>
                <w:bCs/>
                <w:color w:val="000000"/>
              </w:rPr>
            </w:pPr>
          </w:p>
        </w:tc>
        <w:tc>
          <w:tcPr>
            <w:tcW w:w="2731" w:type="dxa"/>
            <w:vAlign w:val="center"/>
          </w:tcPr>
          <w:p w:rsidR="00B805ED" w:rsidRPr="00171856" w:rsidRDefault="00B805ED" w:rsidP="008D4CD7">
            <w:pPr>
              <w:jc w:val="center"/>
              <w:rPr>
                <w:b/>
                <w:i/>
                <w:color w:val="000000"/>
              </w:rPr>
            </w:pPr>
            <w:r w:rsidRPr="00171856">
              <w:rPr>
                <w:b/>
                <w:i/>
                <w:color w:val="000000"/>
              </w:rPr>
              <w:t xml:space="preserve">Loi n° 5-A / 2011, 1er mars, loi cadre des Aires Protégées </w:t>
            </w:r>
          </w:p>
          <w:p w:rsidR="00B805ED" w:rsidRPr="00171856" w:rsidRDefault="00B805ED" w:rsidP="008D4CD7">
            <w:pPr>
              <w:jc w:val="center"/>
              <w:rPr>
                <w:b/>
                <w:bCs/>
                <w:i/>
                <w:color w:val="000000"/>
              </w:rPr>
            </w:pPr>
          </w:p>
        </w:tc>
        <w:tc>
          <w:tcPr>
            <w:tcW w:w="1390" w:type="dxa"/>
            <w:vAlign w:val="center"/>
          </w:tcPr>
          <w:p w:rsidR="00B805ED" w:rsidRPr="00171856" w:rsidRDefault="00B805ED" w:rsidP="008D4CD7">
            <w:pPr>
              <w:jc w:val="center"/>
              <w:rPr>
                <w:color w:val="000000"/>
              </w:rPr>
            </w:pPr>
            <w:r w:rsidRPr="00171856">
              <w:rPr>
                <w:color w:val="000000"/>
              </w:rPr>
              <w:t>-</w:t>
            </w:r>
          </w:p>
        </w:tc>
        <w:tc>
          <w:tcPr>
            <w:tcW w:w="4671" w:type="dxa"/>
            <w:vAlign w:val="center"/>
          </w:tcPr>
          <w:p w:rsidR="00B805ED" w:rsidRPr="00171856" w:rsidRDefault="00B805ED" w:rsidP="008D4CD7">
            <w:pPr>
              <w:ind w:right="32"/>
              <w:jc w:val="both"/>
              <w:rPr>
                <w:color w:val="000000"/>
              </w:rPr>
            </w:pPr>
            <w:r w:rsidRPr="00171856">
              <w:rPr>
                <w:color w:val="000000"/>
              </w:rPr>
              <w:t>Il établit les règles de l’interdiction</w:t>
            </w:r>
            <w:r w:rsidRPr="00171856">
              <w:rPr>
                <w:color w:val="000000"/>
              </w:rPr>
              <w:br/>
              <w:t>absolue des déboisements ou</w:t>
            </w:r>
            <w:r w:rsidRPr="00171856">
              <w:rPr>
                <w:color w:val="000000"/>
              </w:rPr>
              <w:br/>
              <w:t>débroussaillement, comme des feux de</w:t>
            </w:r>
            <w:r w:rsidRPr="00171856">
              <w:rPr>
                <w:color w:val="000000"/>
              </w:rPr>
              <w:br/>
              <w:t>brousse, taillis ou de bois dans la</w:t>
            </w:r>
            <w:r w:rsidRPr="00171856">
              <w:rPr>
                <w:color w:val="000000"/>
              </w:rPr>
              <w:br/>
              <w:t>concession ou dans tous les terrains</w:t>
            </w:r>
            <w:r w:rsidRPr="00171856">
              <w:rPr>
                <w:color w:val="000000"/>
              </w:rPr>
              <w:br/>
              <w:t>formant le domaine dénommé « Parcs</w:t>
            </w:r>
            <w:r w:rsidRPr="00171856">
              <w:rPr>
                <w:color w:val="000000"/>
              </w:rPr>
              <w:br/>
              <w:t>Nationaux, Naturelles. Le projet consiste à financier les producteurs agricoles contre les effets négatives de la Covid 19 et devra tout mettre en œuvre pour préserver autant que possible les formations végétales et protéger la biodiversité</w:t>
            </w:r>
          </w:p>
        </w:tc>
      </w:tr>
      <w:tr w:rsidR="00B805ED" w:rsidRPr="00171856" w:rsidTr="008D4CD7">
        <w:tc>
          <w:tcPr>
            <w:tcW w:w="1698" w:type="dxa"/>
            <w:vMerge/>
            <w:vAlign w:val="center"/>
          </w:tcPr>
          <w:p w:rsidR="00B805ED" w:rsidRPr="00171856" w:rsidRDefault="00B805ED" w:rsidP="008D4CD7">
            <w:pPr>
              <w:jc w:val="center"/>
              <w:rPr>
                <w:b/>
                <w:bCs/>
                <w:color w:val="000000"/>
              </w:rPr>
            </w:pPr>
          </w:p>
        </w:tc>
        <w:tc>
          <w:tcPr>
            <w:tcW w:w="2731" w:type="dxa"/>
            <w:vAlign w:val="center"/>
          </w:tcPr>
          <w:p w:rsidR="00B805ED" w:rsidRPr="00171856" w:rsidRDefault="00B805ED" w:rsidP="008D4CD7">
            <w:pPr>
              <w:jc w:val="center"/>
              <w:rPr>
                <w:b/>
                <w:i/>
                <w:color w:val="000000"/>
              </w:rPr>
            </w:pPr>
            <w:r w:rsidRPr="00171856">
              <w:rPr>
                <w:b/>
                <w:i/>
                <w:color w:val="000000"/>
              </w:rPr>
              <w:t xml:space="preserve">Décret-loi nº 11/2017 portant classification des corridor écologiques </w:t>
            </w:r>
          </w:p>
        </w:tc>
        <w:tc>
          <w:tcPr>
            <w:tcW w:w="1390" w:type="dxa"/>
            <w:vAlign w:val="center"/>
          </w:tcPr>
          <w:p w:rsidR="00B805ED" w:rsidRPr="00171856" w:rsidRDefault="00B805ED" w:rsidP="008D4CD7">
            <w:pPr>
              <w:jc w:val="center"/>
              <w:rPr>
                <w:color w:val="000000"/>
              </w:rPr>
            </w:pPr>
            <w:r w:rsidRPr="00171856">
              <w:rPr>
                <w:color w:val="000000"/>
              </w:rPr>
              <w:t>-</w:t>
            </w:r>
          </w:p>
        </w:tc>
        <w:tc>
          <w:tcPr>
            <w:tcW w:w="4671" w:type="dxa"/>
            <w:vAlign w:val="center"/>
          </w:tcPr>
          <w:p w:rsidR="00B805ED" w:rsidRPr="00171856" w:rsidRDefault="00B805ED" w:rsidP="008D4CD7">
            <w:pPr>
              <w:ind w:right="32"/>
              <w:jc w:val="both"/>
              <w:rPr>
                <w:color w:val="000000"/>
              </w:rPr>
            </w:pPr>
            <w:r w:rsidRPr="00171856">
              <w:rPr>
                <w:color w:val="000000"/>
              </w:rPr>
              <w:t xml:space="preserve">Le Gouvernement de la Guinée-Bissau a en effet procédé à la classification de nouvelles aires protégées notamment le Complexe </w:t>
            </w:r>
            <w:r w:rsidRPr="00171856">
              <w:rPr>
                <w:color w:val="000000"/>
              </w:rPr>
              <w:lastRenderedPageBreak/>
              <w:t>Dulombi-Boe-Tchétché, composé de deux parcs nationaux et trois corridors écologiques en plus des parcs existants (les mangroves du Rio Cacheu (540 km2) ; les îles d’Orango de l’archipel des Bijagos (680 km2 ) ; les lagunes de Cufada (990 km2 ) ; le massif forestier de Cantanhés (650). Cet decret-loi permet d’accroître sensiblement la superficie des forêts protégées dans le monde et celle des forêts gérées de façon durable et accroître la proportion des produits forestiers provenant de forêts en gestion durable</w:t>
            </w:r>
          </w:p>
        </w:tc>
      </w:tr>
      <w:tr w:rsidR="00B805ED" w:rsidRPr="00171856" w:rsidTr="008D4CD7">
        <w:tc>
          <w:tcPr>
            <w:tcW w:w="1698" w:type="dxa"/>
            <w:vMerge/>
            <w:vAlign w:val="center"/>
          </w:tcPr>
          <w:p w:rsidR="00B805ED" w:rsidRPr="00171856" w:rsidRDefault="00B805ED" w:rsidP="008D4CD7">
            <w:pPr>
              <w:jc w:val="center"/>
              <w:rPr>
                <w:b/>
                <w:bCs/>
                <w:color w:val="000000"/>
              </w:rPr>
            </w:pPr>
          </w:p>
        </w:tc>
        <w:tc>
          <w:tcPr>
            <w:tcW w:w="2731" w:type="dxa"/>
            <w:vAlign w:val="center"/>
          </w:tcPr>
          <w:p w:rsidR="00B805ED" w:rsidRPr="00171856" w:rsidRDefault="00B805ED" w:rsidP="008D4CD7">
            <w:pPr>
              <w:jc w:val="center"/>
              <w:rPr>
                <w:b/>
                <w:bCs/>
                <w:i/>
                <w:color w:val="000000"/>
              </w:rPr>
            </w:pPr>
            <w:r w:rsidRPr="00171856">
              <w:rPr>
                <w:b/>
                <w:i/>
                <w:color w:val="000000"/>
              </w:rPr>
              <w:t>Loi nº 05/2011 du 22 février 2011 portant loi</w:t>
            </w:r>
            <w:r w:rsidRPr="00171856">
              <w:rPr>
                <w:b/>
                <w:i/>
                <w:color w:val="000000"/>
              </w:rPr>
              <w:br/>
              <w:t>forestière pour encadrer la coupe et le reboisement.</w:t>
            </w:r>
          </w:p>
        </w:tc>
        <w:tc>
          <w:tcPr>
            <w:tcW w:w="1390" w:type="dxa"/>
            <w:vAlign w:val="center"/>
          </w:tcPr>
          <w:p w:rsidR="00B805ED" w:rsidRPr="00171856" w:rsidRDefault="00B805ED" w:rsidP="008D4CD7">
            <w:pPr>
              <w:jc w:val="center"/>
              <w:rPr>
                <w:color w:val="000000"/>
              </w:rPr>
            </w:pPr>
            <w:r w:rsidRPr="00171856">
              <w:rPr>
                <w:color w:val="000000"/>
              </w:rPr>
              <w:t>-</w:t>
            </w:r>
          </w:p>
        </w:tc>
        <w:tc>
          <w:tcPr>
            <w:tcW w:w="4671" w:type="dxa"/>
            <w:vAlign w:val="center"/>
          </w:tcPr>
          <w:p w:rsidR="00B805ED" w:rsidRPr="00171856" w:rsidRDefault="00B805ED" w:rsidP="008D4CD7">
            <w:pPr>
              <w:ind w:right="32"/>
              <w:jc w:val="both"/>
              <w:rPr>
                <w:color w:val="000000"/>
              </w:rPr>
            </w:pPr>
            <w:r w:rsidRPr="00171856">
              <w:rPr>
                <w:color w:val="000000"/>
              </w:rPr>
              <w:t>La loi précise que :</w:t>
            </w:r>
            <w:r w:rsidRPr="00171856">
              <w:rPr>
                <w:color w:val="000000"/>
              </w:rPr>
              <w:br/>
              <w:t>« tout déboisement doit être compensé par un</w:t>
            </w:r>
            <w:r w:rsidRPr="00171856">
              <w:rPr>
                <w:color w:val="000000"/>
              </w:rPr>
              <w:br/>
              <w:t>reboisement équivalent en qualité et en</w:t>
            </w:r>
            <w:r w:rsidRPr="00171856">
              <w:rPr>
                <w:color w:val="000000"/>
              </w:rPr>
              <w:br/>
              <w:t>superficie au couvert forestier initial (…) et</w:t>
            </w:r>
            <w:r w:rsidRPr="00171856">
              <w:rPr>
                <w:color w:val="000000"/>
              </w:rPr>
              <w:br/>
              <w:t>exige l’obtention d’une autorisation et/ou</w:t>
            </w:r>
            <w:r w:rsidRPr="00171856">
              <w:rPr>
                <w:color w:val="000000"/>
              </w:rPr>
              <w:br/>
              <w:t>licence environnementale comme les</w:t>
            </w:r>
            <w:r w:rsidRPr="00171856">
              <w:rPr>
                <w:color w:val="000000"/>
              </w:rPr>
              <w:br/>
              <w:t>conditions de base pour avoir le permis de</w:t>
            </w:r>
            <w:r w:rsidRPr="00171856">
              <w:rPr>
                <w:color w:val="000000"/>
              </w:rPr>
              <w:br/>
              <w:t>déboisement pour une superficie supérieure à</w:t>
            </w:r>
            <w:r w:rsidRPr="00171856">
              <w:rPr>
                <w:color w:val="000000"/>
              </w:rPr>
              <w:br/>
              <w:t>05 ha ».</w:t>
            </w:r>
          </w:p>
        </w:tc>
      </w:tr>
      <w:tr w:rsidR="00B805ED" w:rsidRPr="00171856" w:rsidTr="008D4CD7">
        <w:tc>
          <w:tcPr>
            <w:tcW w:w="1698" w:type="dxa"/>
            <w:vMerge w:val="restart"/>
            <w:vAlign w:val="center"/>
          </w:tcPr>
          <w:p w:rsidR="00B805ED" w:rsidRPr="00171856" w:rsidRDefault="00B805ED" w:rsidP="008D4CD7">
            <w:pPr>
              <w:jc w:val="center"/>
              <w:rPr>
                <w:b/>
                <w:bCs/>
                <w:color w:val="000000"/>
              </w:rPr>
            </w:pPr>
            <w:r w:rsidRPr="00171856">
              <w:rPr>
                <w:b/>
                <w:bCs/>
                <w:color w:val="000000"/>
              </w:rPr>
              <w:t>Foncier</w:t>
            </w:r>
          </w:p>
        </w:tc>
        <w:tc>
          <w:tcPr>
            <w:tcW w:w="2731" w:type="dxa"/>
            <w:vMerge w:val="restart"/>
            <w:vAlign w:val="center"/>
          </w:tcPr>
          <w:p w:rsidR="00B805ED" w:rsidRPr="00171856" w:rsidRDefault="00B805ED" w:rsidP="008D4CD7">
            <w:pPr>
              <w:jc w:val="center"/>
              <w:rPr>
                <w:b/>
                <w:bCs/>
                <w:i/>
                <w:color w:val="000000"/>
              </w:rPr>
            </w:pPr>
            <w:r w:rsidRPr="00171856">
              <w:rPr>
                <w:b/>
                <w:i/>
                <w:color w:val="000000"/>
              </w:rPr>
              <w:t>loi n°2/98 du 23 avril portant sur le foncier</w:t>
            </w:r>
          </w:p>
        </w:tc>
        <w:tc>
          <w:tcPr>
            <w:tcW w:w="1390" w:type="dxa"/>
            <w:vAlign w:val="center"/>
          </w:tcPr>
          <w:p w:rsidR="00B805ED" w:rsidRPr="00171856" w:rsidRDefault="00B805ED" w:rsidP="008D4CD7">
            <w:pPr>
              <w:jc w:val="center"/>
              <w:rPr>
                <w:color w:val="000000"/>
              </w:rPr>
            </w:pPr>
            <w:r w:rsidRPr="00171856">
              <w:rPr>
                <w:color w:val="000000"/>
              </w:rPr>
              <w:t>Article 2</w:t>
            </w:r>
          </w:p>
        </w:tc>
        <w:tc>
          <w:tcPr>
            <w:tcW w:w="4671" w:type="dxa"/>
            <w:vAlign w:val="center"/>
          </w:tcPr>
          <w:p w:rsidR="00B805ED" w:rsidRPr="00171856" w:rsidRDefault="00B805ED" w:rsidP="008D4CD7">
            <w:pPr>
              <w:ind w:right="32"/>
              <w:jc w:val="both"/>
              <w:rPr>
                <w:color w:val="000000"/>
              </w:rPr>
            </w:pPr>
            <w:r w:rsidRPr="00171856">
              <w:rPr>
                <w:color w:val="000000"/>
              </w:rPr>
              <w:t>Elle stipule que dans la République de Guinée Bissau, le foncier est la propriété de l’Etat et patrimoine commun de toute de la population.</w:t>
            </w:r>
          </w:p>
        </w:tc>
      </w:tr>
      <w:tr w:rsidR="00B805ED" w:rsidRPr="00171856" w:rsidTr="008D4CD7">
        <w:tc>
          <w:tcPr>
            <w:tcW w:w="1698" w:type="dxa"/>
            <w:vMerge/>
            <w:vAlign w:val="center"/>
          </w:tcPr>
          <w:p w:rsidR="00B805ED" w:rsidRPr="00171856" w:rsidRDefault="00B805ED" w:rsidP="008D4CD7">
            <w:pPr>
              <w:jc w:val="center"/>
              <w:rPr>
                <w:b/>
                <w:bCs/>
                <w:color w:val="000000"/>
              </w:rPr>
            </w:pPr>
          </w:p>
        </w:tc>
        <w:tc>
          <w:tcPr>
            <w:tcW w:w="2731" w:type="dxa"/>
            <w:vMerge/>
            <w:vAlign w:val="center"/>
          </w:tcPr>
          <w:p w:rsidR="00B805ED" w:rsidRPr="00171856" w:rsidRDefault="00B805ED" w:rsidP="008D4CD7">
            <w:pPr>
              <w:jc w:val="center"/>
              <w:rPr>
                <w:b/>
                <w:i/>
                <w:color w:val="000000"/>
              </w:rPr>
            </w:pPr>
          </w:p>
        </w:tc>
        <w:tc>
          <w:tcPr>
            <w:tcW w:w="1390" w:type="dxa"/>
            <w:vAlign w:val="center"/>
          </w:tcPr>
          <w:p w:rsidR="00B805ED" w:rsidRPr="00171856" w:rsidRDefault="00B805ED" w:rsidP="008D4CD7">
            <w:pPr>
              <w:jc w:val="center"/>
              <w:rPr>
                <w:color w:val="000000"/>
              </w:rPr>
            </w:pPr>
            <w:r w:rsidRPr="00171856">
              <w:rPr>
                <w:color w:val="000000"/>
              </w:rPr>
              <w:t>Article 4</w:t>
            </w:r>
          </w:p>
        </w:tc>
        <w:tc>
          <w:tcPr>
            <w:tcW w:w="4671" w:type="dxa"/>
            <w:vAlign w:val="center"/>
          </w:tcPr>
          <w:p w:rsidR="00B805ED" w:rsidRPr="00171856" w:rsidRDefault="00B805ED" w:rsidP="008D4CD7">
            <w:pPr>
              <w:ind w:right="32"/>
              <w:jc w:val="both"/>
              <w:rPr>
                <w:color w:val="000000"/>
              </w:rPr>
            </w:pPr>
            <w:r w:rsidRPr="00171856">
              <w:rPr>
                <w:color w:val="000000"/>
              </w:rPr>
              <w:t>Elle stipule que la communauté locale exerce le pouvoir de gestion des terres en accord avec le régime coutumier sur la superficie située dans leur limite territoriale historique c’est-à-dire celle habitée ou utilisée à des fins agricoles telles que l’agriculture, l’élevage. Ce pouvoir s’exerce également sur les ressources hydriques et maritimes, les forêts sacrées ou destinées à autres fins socioculturelles et économiques.</w:t>
            </w:r>
          </w:p>
        </w:tc>
      </w:tr>
      <w:tr w:rsidR="00B805ED" w:rsidRPr="00171856" w:rsidTr="008D4CD7">
        <w:tc>
          <w:tcPr>
            <w:tcW w:w="1698" w:type="dxa"/>
            <w:vMerge/>
            <w:vAlign w:val="center"/>
          </w:tcPr>
          <w:p w:rsidR="00B805ED" w:rsidRPr="00171856" w:rsidRDefault="00B805ED" w:rsidP="008D4CD7">
            <w:pPr>
              <w:jc w:val="center"/>
              <w:rPr>
                <w:b/>
                <w:bCs/>
                <w:color w:val="000000"/>
              </w:rPr>
            </w:pPr>
          </w:p>
        </w:tc>
        <w:tc>
          <w:tcPr>
            <w:tcW w:w="2731" w:type="dxa"/>
            <w:vAlign w:val="center"/>
          </w:tcPr>
          <w:p w:rsidR="00B805ED" w:rsidRPr="00171856" w:rsidRDefault="00B805ED" w:rsidP="008D4CD7">
            <w:pPr>
              <w:jc w:val="center"/>
              <w:rPr>
                <w:b/>
                <w:i/>
                <w:color w:val="000000"/>
              </w:rPr>
            </w:pPr>
            <w:r w:rsidRPr="00171856">
              <w:rPr>
                <w:b/>
                <w:i/>
                <w:color w:val="000000"/>
              </w:rPr>
              <w:t>Décret nº 5/98 du 28 avril 1998 sur les</w:t>
            </w:r>
            <w:r w:rsidRPr="00171856">
              <w:rPr>
                <w:b/>
                <w:i/>
                <w:color w:val="000000"/>
              </w:rPr>
              <w:br/>
              <w:t>concessions et l’administration des terres ; régime</w:t>
            </w:r>
            <w:r w:rsidRPr="00171856">
              <w:rPr>
                <w:b/>
                <w:i/>
                <w:color w:val="000000"/>
              </w:rPr>
              <w:br/>
              <w:t>foncier et immobilier et régime des suretés.</w:t>
            </w:r>
          </w:p>
        </w:tc>
        <w:tc>
          <w:tcPr>
            <w:tcW w:w="1390" w:type="dxa"/>
            <w:vAlign w:val="center"/>
          </w:tcPr>
          <w:p w:rsidR="00B805ED" w:rsidRPr="00171856" w:rsidRDefault="00B805ED" w:rsidP="008D4CD7">
            <w:pPr>
              <w:jc w:val="center"/>
              <w:rPr>
                <w:color w:val="000000"/>
              </w:rPr>
            </w:pPr>
            <w:r w:rsidRPr="00171856">
              <w:rPr>
                <w:color w:val="000000"/>
              </w:rPr>
              <w:t>-</w:t>
            </w:r>
          </w:p>
        </w:tc>
        <w:tc>
          <w:tcPr>
            <w:tcW w:w="4671" w:type="dxa"/>
            <w:vAlign w:val="center"/>
          </w:tcPr>
          <w:p w:rsidR="00B805ED" w:rsidRPr="00171856" w:rsidRDefault="00B805ED" w:rsidP="008D4CD7">
            <w:pPr>
              <w:ind w:right="32"/>
              <w:jc w:val="both"/>
              <w:rPr>
                <w:color w:val="000000"/>
              </w:rPr>
            </w:pPr>
            <w:r w:rsidRPr="00171856">
              <w:rPr>
                <w:color w:val="000000"/>
              </w:rPr>
              <w:t>Toute procédure d’expropriation devra</w:t>
            </w:r>
            <w:r w:rsidRPr="00171856">
              <w:rPr>
                <w:color w:val="000000"/>
              </w:rPr>
              <w:br/>
              <w:t>être conforme aux procédures établies</w:t>
            </w:r>
            <w:r w:rsidRPr="00171856">
              <w:rPr>
                <w:color w:val="000000"/>
              </w:rPr>
              <w:br/>
              <w:t xml:space="preserve">par la réglementation. </w:t>
            </w:r>
          </w:p>
        </w:tc>
      </w:tr>
      <w:tr w:rsidR="00B805ED" w:rsidRPr="00171856" w:rsidTr="008D4CD7">
        <w:tc>
          <w:tcPr>
            <w:tcW w:w="1698" w:type="dxa"/>
            <w:vMerge/>
            <w:vAlign w:val="center"/>
          </w:tcPr>
          <w:p w:rsidR="00B805ED" w:rsidRPr="00171856" w:rsidRDefault="00B805ED" w:rsidP="008D4CD7">
            <w:pPr>
              <w:jc w:val="center"/>
              <w:rPr>
                <w:b/>
                <w:bCs/>
                <w:color w:val="000000"/>
              </w:rPr>
            </w:pPr>
          </w:p>
        </w:tc>
        <w:tc>
          <w:tcPr>
            <w:tcW w:w="2731" w:type="dxa"/>
            <w:vAlign w:val="center"/>
          </w:tcPr>
          <w:p w:rsidR="00B805ED" w:rsidRPr="00171856" w:rsidRDefault="00B805ED" w:rsidP="008D4CD7">
            <w:pPr>
              <w:jc w:val="center"/>
              <w:rPr>
                <w:b/>
                <w:i/>
                <w:color w:val="000000"/>
              </w:rPr>
            </w:pPr>
            <w:r w:rsidRPr="00171856">
              <w:rPr>
                <w:b/>
                <w:i/>
                <w:color w:val="000000"/>
              </w:rPr>
              <w:t>Loi nº 10/2010 de 24 septembre 2010, qui</w:t>
            </w:r>
            <w:r w:rsidRPr="00171856">
              <w:rPr>
                <w:b/>
                <w:i/>
                <w:color w:val="000000"/>
              </w:rPr>
              <w:br/>
              <w:t>amène dans l’un de ses articles, le régime général</w:t>
            </w:r>
            <w:r w:rsidRPr="00171856">
              <w:rPr>
                <w:b/>
                <w:i/>
                <w:color w:val="000000"/>
              </w:rPr>
              <w:br/>
            </w:r>
            <w:r w:rsidRPr="00171856">
              <w:rPr>
                <w:b/>
                <w:i/>
                <w:color w:val="000000"/>
              </w:rPr>
              <w:lastRenderedPageBreak/>
              <w:t>pour minimiser les pertes des biens économiques</w:t>
            </w:r>
          </w:p>
        </w:tc>
        <w:tc>
          <w:tcPr>
            <w:tcW w:w="1390" w:type="dxa"/>
            <w:vAlign w:val="center"/>
          </w:tcPr>
          <w:p w:rsidR="00B805ED" w:rsidRPr="00171856" w:rsidRDefault="00B805ED" w:rsidP="008D4CD7">
            <w:pPr>
              <w:jc w:val="center"/>
              <w:rPr>
                <w:color w:val="000000"/>
              </w:rPr>
            </w:pPr>
            <w:r w:rsidRPr="00171856">
              <w:rPr>
                <w:color w:val="000000"/>
              </w:rPr>
              <w:lastRenderedPageBreak/>
              <w:t>-</w:t>
            </w:r>
          </w:p>
        </w:tc>
        <w:tc>
          <w:tcPr>
            <w:tcW w:w="4671" w:type="dxa"/>
            <w:vAlign w:val="center"/>
          </w:tcPr>
          <w:p w:rsidR="00B805ED" w:rsidRPr="00171856" w:rsidRDefault="00B805ED" w:rsidP="008D4CD7">
            <w:pPr>
              <w:ind w:right="32"/>
              <w:jc w:val="both"/>
              <w:rPr>
                <w:color w:val="000000"/>
              </w:rPr>
            </w:pPr>
            <w:r w:rsidRPr="00171856">
              <w:rPr>
                <w:color w:val="000000"/>
              </w:rPr>
              <w:t>L’évaluation des impenses est réalisée</w:t>
            </w:r>
            <w:r w:rsidRPr="00171856">
              <w:rPr>
                <w:color w:val="000000"/>
              </w:rPr>
              <w:br/>
              <w:t>par une commission d’évaluation des</w:t>
            </w:r>
            <w:r w:rsidRPr="00171856">
              <w:rPr>
                <w:color w:val="000000"/>
              </w:rPr>
              <w:br/>
              <w:t>impenses en vue de l’évaluation</w:t>
            </w:r>
            <w:r w:rsidRPr="00171856">
              <w:rPr>
                <w:color w:val="000000"/>
              </w:rPr>
              <w:br/>
              <w:t>des indemnités à verser à l’occupant en cas</w:t>
            </w:r>
            <w:r w:rsidRPr="00171856">
              <w:rPr>
                <w:color w:val="000000"/>
              </w:rPr>
              <w:br/>
              <w:t xml:space="preserve">de reprise de terrain. </w:t>
            </w:r>
          </w:p>
        </w:tc>
      </w:tr>
      <w:tr w:rsidR="00BD1EE4" w:rsidRPr="00171856" w:rsidTr="008D4CD7">
        <w:tc>
          <w:tcPr>
            <w:tcW w:w="1698" w:type="dxa"/>
            <w:vAlign w:val="center"/>
          </w:tcPr>
          <w:p w:rsidR="00BD1EE4" w:rsidRPr="00171856" w:rsidRDefault="00BD1EE4" w:rsidP="008D4CD7">
            <w:pPr>
              <w:jc w:val="center"/>
              <w:rPr>
                <w:b/>
                <w:bCs/>
                <w:color w:val="000000"/>
              </w:rPr>
            </w:pPr>
            <w:r w:rsidRPr="00171856">
              <w:rPr>
                <w:b/>
                <w:bCs/>
                <w:color w:val="000000"/>
              </w:rPr>
              <w:lastRenderedPageBreak/>
              <w:t>Patrimoine culturel</w:t>
            </w:r>
          </w:p>
        </w:tc>
        <w:tc>
          <w:tcPr>
            <w:tcW w:w="2731" w:type="dxa"/>
            <w:vAlign w:val="center"/>
          </w:tcPr>
          <w:p w:rsidR="00BD1EE4" w:rsidRPr="00171856" w:rsidRDefault="00BD1EE4" w:rsidP="008D4CD7">
            <w:pPr>
              <w:jc w:val="center"/>
              <w:rPr>
                <w:b/>
                <w:i/>
                <w:color w:val="000000"/>
              </w:rPr>
            </w:pPr>
            <w:r w:rsidRPr="00171856">
              <w:rPr>
                <w:b/>
                <w:i/>
                <w:color w:val="000000"/>
              </w:rPr>
              <w:t>CONSTITUTION DU 16 MAI 1984</w:t>
            </w:r>
          </w:p>
        </w:tc>
        <w:tc>
          <w:tcPr>
            <w:tcW w:w="1390" w:type="dxa"/>
            <w:vAlign w:val="center"/>
          </w:tcPr>
          <w:p w:rsidR="00BD1EE4" w:rsidRPr="00171856" w:rsidRDefault="00BD1EE4" w:rsidP="008D4CD7">
            <w:pPr>
              <w:jc w:val="center"/>
              <w:rPr>
                <w:color w:val="000000"/>
              </w:rPr>
            </w:pPr>
            <w:r w:rsidRPr="00171856">
              <w:rPr>
                <w:color w:val="000000"/>
              </w:rPr>
              <w:t>Article 17</w:t>
            </w:r>
          </w:p>
        </w:tc>
        <w:tc>
          <w:tcPr>
            <w:tcW w:w="4671" w:type="dxa"/>
            <w:vAlign w:val="center"/>
          </w:tcPr>
          <w:p w:rsidR="00BD1EE4" w:rsidRPr="00171856" w:rsidRDefault="00BD1EE4" w:rsidP="008D4CD7">
            <w:pPr>
              <w:ind w:right="32"/>
              <w:jc w:val="both"/>
              <w:rPr>
                <w:color w:val="000000"/>
              </w:rPr>
            </w:pPr>
            <w:r w:rsidRPr="00171856">
              <w:rPr>
                <w:color w:val="000000"/>
              </w:rPr>
              <w:t>L'État préserve et défend le patrimoine culturel du peuple, dont la valorisation doit servir au progrès et à la sauvegarde de la dignité humaine</w:t>
            </w:r>
          </w:p>
        </w:tc>
      </w:tr>
    </w:tbl>
    <w:p w:rsidR="00B805ED" w:rsidRDefault="00B805ED" w:rsidP="00846E17">
      <w:pPr>
        <w:pStyle w:val="NormalWeb"/>
        <w:shd w:val="clear" w:color="auto" w:fill="FFFFFF"/>
        <w:jc w:val="both"/>
      </w:pPr>
    </w:p>
    <w:p w:rsidR="00B805ED" w:rsidRDefault="00B805ED" w:rsidP="00846E17">
      <w:pPr>
        <w:pStyle w:val="NormalWeb"/>
        <w:shd w:val="clear" w:color="auto" w:fill="FFFFFF"/>
        <w:jc w:val="both"/>
      </w:pPr>
      <w:r w:rsidRPr="005D58A0">
        <w:t xml:space="preserve">Ainsi, il est </w:t>
      </w:r>
      <w:r w:rsidRPr="00063BEB">
        <w:t>très</w:t>
      </w:r>
      <w:r w:rsidRPr="00681EC7">
        <w:t xml:space="preserve"> important de prendre en compte dans le cas du projet </w:t>
      </w:r>
      <w:r>
        <w:t xml:space="preserve">PUSA </w:t>
      </w:r>
      <w:r w:rsidRPr="00681EC7">
        <w:t>les lois suivantes :</w:t>
      </w:r>
    </w:p>
    <w:p w:rsidR="00B805ED" w:rsidRPr="00681EC7" w:rsidRDefault="00B805ED" w:rsidP="00B805ED">
      <w:pPr>
        <w:pStyle w:val="NormalWeb"/>
        <w:shd w:val="clear" w:color="auto" w:fill="FFFFFF"/>
      </w:pPr>
    </w:p>
    <w:p w:rsidR="00B805ED" w:rsidRPr="00EC413D" w:rsidRDefault="00B805ED" w:rsidP="00B805ED">
      <w:pPr>
        <w:pStyle w:val="NormalWeb"/>
        <w:numPr>
          <w:ilvl w:val="0"/>
          <w:numId w:val="153"/>
        </w:numPr>
        <w:shd w:val="clear" w:color="auto" w:fill="FFFFFF"/>
        <w:rPr>
          <w:rFonts w:eastAsia="Times New Roman"/>
          <w:b/>
          <w:lang w:eastAsia="es-ES_tradnl"/>
        </w:rPr>
      </w:pPr>
      <w:r w:rsidRPr="00EC413D">
        <w:rPr>
          <w:b/>
        </w:rPr>
        <w:t xml:space="preserve">La loi contre la violence domestique </w:t>
      </w:r>
      <w:r w:rsidRPr="00EC413D">
        <w:rPr>
          <w:rFonts w:eastAsia="Times New Roman"/>
          <w:b/>
          <w:lang w:eastAsia="es-ES_tradnl"/>
        </w:rPr>
        <w:t xml:space="preserve">6/2014, du 4 février </w:t>
      </w:r>
    </w:p>
    <w:p w:rsidR="00B805ED" w:rsidRPr="00EC413D" w:rsidRDefault="00B805ED" w:rsidP="00B805ED">
      <w:pPr>
        <w:pStyle w:val="NormalWeb"/>
        <w:numPr>
          <w:ilvl w:val="0"/>
          <w:numId w:val="153"/>
        </w:numPr>
        <w:shd w:val="clear" w:color="auto" w:fill="FFFFFF"/>
        <w:rPr>
          <w:rFonts w:eastAsia="Times New Roman"/>
          <w:b/>
          <w:lang w:eastAsia="es-ES_tradnl"/>
        </w:rPr>
      </w:pPr>
      <w:r w:rsidRPr="00EC413D">
        <w:rPr>
          <w:rFonts w:eastAsia="Times New Roman"/>
          <w:b/>
          <w:lang w:eastAsia="es-ES_tradnl"/>
        </w:rPr>
        <w:t>La loi de parité 2018 du 3, décembre 2018</w:t>
      </w:r>
    </w:p>
    <w:p w:rsidR="00B805ED" w:rsidRPr="00EC413D" w:rsidRDefault="00B805ED" w:rsidP="00B805ED">
      <w:pPr>
        <w:pStyle w:val="PargrafodaLista"/>
        <w:keepNext/>
        <w:numPr>
          <w:ilvl w:val="0"/>
          <w:numId w:val="153"/>
        </w:numPr>
        <w:spacing w:after="0" w:line="240" w:lineRule="auto"/>
        <w:ind w:right="-283"/>
        <w:rPr>
          <w:rFonts w:ascii="Times New Roman" w:hAnsi="Times New Roman"/>
          <w:b/>
          <w:bCs/>
          <w:color w:val="000000"/>
          <w:sz w:val="24"/>
          <w:szCs w:val="24"/>
          <w:u w:val="single"/>
        </w:rPr>
      </w:pPr>
      <w:r w:rsidRPr="00EC413D">
        <w:rPr>
          <w:rFonts w:ascii="Times New Roman" w:eastAsia="Times New Roman" w:hAnsi="Times New Roman"/>
          <w:b/>
          <w:sz w:val="24"/>
          <w:szCs w:val="24"/>
          <w:lang w:eastAsia="es-ES_tradnl"/>
        </w:rPr>
        <w:t>Le code pénale 4/93 31 d’octobre 1993 et les articles relatifs à l’abus sexuel, viol et l’exploitation sexuelle</w:t>
      </w:r>
    </w:p>
    <w:p w:rsidR="00B805ED" w:rsidRDefault="00B805ED" w:rsidP="00B805ED">
      <w:pPr>
        <w:pStyle w:val="PargrafodaLista"/>
        <w:keepNext/>
        <w:spacing w:before="240" w:after="240" w:line="240" w:lineRule="auto"/>
        <w:ind w:left="450" w:right="-283" w:hanging="450"/>
        <w:rPr>
          <w:rFonts w:ascii="Times New Roman" w:hAnsi="Times New Roman"/>
          <w:b/>
          <w:bCs/>
          <w:color w:val="000000"/>
          <w:u w:val="single"/>
        </w:rPr>
      </w:pPr>
    </w:p>
    <w:p w:rsidR="00B805ED" w:rsidRPr="00A05698" w:rsidRDefault="00B805ED" w:rsidP="00B805ED">
      <w:pPr>
        <w:pStyle w:val="PargrafodaLista"/>
        <w:keepNext/>
        <w:spacing w:before="240" w:after="240" w:line="240" w:lineRule="auto"/>
        <w:ind w:left="450" w:right="-283" w:hanging="450"/>
        <w:rPr>
          <w:rFonts w:ascii="Times New Roman" w:hAnsi="Times New Roman"/>
          <w:b/>
          <w:bCs/>
          <w:color w:val="000000"/>
          <w:u w:val="single"/>
        </w:rPr>
      </w:pPr>
      <w:r w:rsidRPr="00A05698">
        <w:rPr>
          <w:rFonts w:ascii="Times New Roman" w:hAnsi="Times New Roman"/>
          <w:b/>
          <w:bCs/>
          <w:color w:val="000000"/>
          <w:u w:val="single"/>
        </w:rPr>
        <w:t>AU NIVEAU INTERNATIONAL</w:t>
      </w:r>
    </w:p>
    <w:p w:rsidR="00B008ED" w:rsidRPr="00171856" w:rsidRDefault="00BB7875" w:rsidP="00171856">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.2.4. Les textes et accords internationaux pertinents</w:t>
      </w:r>
    </w:p>
    <w:p w:rsidR="00B805ED" w:rsidRPr="00A05698" w:rsidRDefault="00B805ED" w:rsidP="00B805ED">
      <w:pPr>
        <w:pStyle w:val="Legenda"/>
        <w:jc w:val="center"/>
      </w:pPr>
      <w:bookmarkStart w:id="178" w:name="_Toc75503440"/>
      <w:r w:rsidRPr="00A05698">
        <w:t xml:space="preserve">Tableau </w:t>
      </w:r>
      <w:r w:rsidR="004E1203">
        <w:fldChar w:fldCharType="begin"/>
      </w:r>
      <w:r w:rsidR="004E1203">
        <w:instrText xml:space="preserve"> SEQ Tableau \* ARABIC </w:instrText>
      </w:r>
      <w:r w:rsidR="004E1203">
        <w:fldChar w:fldCharType="separate"/>
      </w:r>
      <w:r w:rsidR="00485BA4">
        <w:rPr>
          <w:noProof/>
        </w:rPr>
        <w:t>6</w:t>
      </w:r>
      <w:r w:rsidR="004E1203">
        <w:rPr>
          <w:noProof/>
        </w:rPr>
        <w:fldChar w:fldCharType="end"/>
      </w:r>
      <w:r w:rsidRPr="00A05698">
        <w:t>: Pertinence des conventions et accords ratifiés par rapport au projet</w:t>
      </w:r>
      <w:bookmarkEnd w:id="178"/>
      <w:r w:rsidRPr="00A05698">
        <w:t xml:space="preserve">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3"/>
        <w:gridCol w:w="3477"/>
        <w:gridCol w:w="3510"/>
      </w:tblGrid>
      <w:tr w:rsidR="00B805ED" w:rsidRPr="00171856" w:rsidTr="00B008ED">
        <w:trPr>
          <w:trHeight w:val="513"/>
          <w:tblHeader/>
        </w:trPr>
        <w:tc>
          <w:tcPr>
            <w:tcW w:w="3503" w:type="dxa"/>
            <w:shd w:val="clear" w:color="auto" w:fill="9CC2E5"/>
            <w:vAlign w:val="center"/>
          </w:tcPr>
          <w:p w:rsidR="00B805ED" w:rsidRPr="00171856" w:rsidRDefault="00B805ED" w:rsidP="008D4CD7">
            <w:pPr>
              <w:ind w:left="30" w:right="-283"/>
              <w:jc w:val="center"/>
              <w:rPr>
                <w:b/>
                <w:color w:val="000000"/>
              </w:rPr>
            </w:pPr>
            <w:r w:rsidRPr="00171856">
              <w:rPr>
                <w:b/>
                <w:color w:val="000000"/>
              </w:rPr>
              <w:t>Titres</w:t>
            </w:r>
          </w:p>
        </w:tc>
        <w:tc>
          <w:tcPr>
            <w:tcW w:w="3477" w:type="dxa"/>
            <w:shd w:val="clear" w:color="auto" w:fill="9CC2E5"/>
            <w:vAlign w:val="center"/>
          </w:tcPr>
          <w:p w:rsidR="00B805ED" w:rsidRPr="00171856" w:rsidRDefault="00B805ED" w:rsidP="008D4CD7">
            <w:pPr>
              <w:ind w:right="-283"/>
              <w:jc w:val="center"/>
              <w:rPr>
                <w:b/>
                <w:color w:val="000000"/>
              </w:rPr>
            </w:pPr>
            <w:r w:rsidRPr="00171856">
              <w:rPr>
                <w:b/>
                <w:color w:val="000000"/>
              </w:rPr>
              <w:t>Domaine réglementé</w:t>
            </w:r>
          </w:p>
        </w:tc>
        <w:tc>
          <w:tcPr>
            <w:tcW w:w="3510" w:type="dxa"/>
            <w:shd w:val="clear" w:color="auto" w:fill="9CC2E5"/>
            <w:vAlign w:val="center"/>
          </w:tcPr>
          <w:p w:rsidR="00B805ED" w:rsidRPr="00171856" w:rsidRDefault="00B805ED" w:rsidP="008D4CD7">
            <w:pPr>
              <w:ind w:right="-283"/>
              <w:jc w:val="center"/>
              <w:rPr>
                <w:b/>
                <w:color w:val="000000"/>
              </w:rPr>
            </w:pPr>
            <w:r w:rsidRPr="00171856">
              <w:rPr>
                <w:b/>
                <w:color w:val="000000"/>
              </w:rPr>
              <w:t>Justification et pertinence</w:t>
            </w:r>
          </w:p>
          <w:p w:rsidR="00B805ED" w:rsidRPr="00171856" w:rsidRDefault="00B805ED" w:rsidP="008D4CD7">
            <w:pPr>
              <w:ind w:right="-283"/>
              <w:jc w:val="center"/>
              <w:rPr>
                <w:b/>
                <w:color w:val="000000"/>
              </w:rPr>
            </w:pPr>
            <w:r w:rsidRPr="00171856">
              <w:rPr>
                <w:b/>
                <w:color w:val="000000"/>
              </w:rPr>
              <w:t>par rapport au projet</w:t>
            </w:r>
          </w:p>
        </w:tc>
      </w:tr>
      <w:tr w:rsidR="00B805ED" w:rsidRPr="00171856" w:rsidTr="008D4CD7">
        <w:trPr>
          <w:trHeight w:val="187"/>
        </w:trPr>
        <w:tc>
          <w:tcPr>
            <w:tcW w:w="3503" w:type="dxa"/>
            <w:vAlign w:val="center"/>
          </w:tcPr>
          <w:p w:rsidR="00B805ED" w:rsidRPr="00171856" w:rsidRDefault="00B805ED" w:rsidP="008D4CD7">
            <w:pPr>
              <w:ind w:right="129"/>
              <w:jc w:val="center"/>
              <w:rPr>
                <w:b/>
                <w:color w:val="000000"/>
              </w:rPr>
            </w:pPr>
            <w:r w:rsidRPr="00171856">
              <w:rPr>
                <w:b/>
                <w:color w:val="000000"/>
              </w:rPr>
              <w:t>Convention sur la diversité biologique signé le 12 juin 1992 et ratifié le 4 octobre 1995</w:t>
            </w:r>
          </w:p>
        </w:tc>
        <w:tc>
          <w:tcPr>
            <w:tcW w:w="3477" w:type="dxa"/>
            <w:vAlign w:val="center"/>
          </w:tcPr>
          <w:p w:rsidR="00B805ED" w:rsidRPr="00171856" w:rsidRDefault="00B805ED" w:rsidP="008D4CD7">
            <w:pPr>
              <w:ind w:right="-283"/>
              <w:jc w:val="both"/>
              <w:rPr>
                <w:color w:val="000000"/>
              </w:rPr>
            </w:pPr>
            <w:r w:rsidRPr="00171856">
              <w:rPr>
                <w:color w:val="000000"/>
              </w:rPr>
              <w:t>Ressources biologiques</w:t>
            </w:r>
          </w:p>
        </w:tc>
        <w:tc>
          <w:tcPr>
            <w:tcW w:w="3510" w:type="dxa"/>
            <w:vMerge w:val="restart"/>
            <w:vAlign w:val="center"/>
          </w:tcPr>
          <w:p w:rsidR="00B805ED" w:rsidRPr="00171856" w:rsidRDefault="00B805ED" w:rsidP="008D4CD7">
            <w:pPr>
              <w:jc w:val="both"/>
              <w:rPr>
                <w:color w:val="000000"/>
              </w:rPr>
            </w:pPr>
            <w:r w:rsidRPr="00171856">
              <w:rPr>
                <w:color w:val="000000"/>
              </w:rPr>
              <w:t xml:space="preserve">Existence de sites à forte concentration biologique </w:t>
            </w:r>
            <w:r w:rsidRPr="00171856">
              <w:rPr>
                <w:b/>
                <w:color w:val="000000"/>
              </w:rPr>
              <w:t>(</w:t>
            </w:r>
            <w:r w:rsidRPr="00171856">
              <w:rPr>
                <w:color w:val="000000"/>
              </w:rPr>
              <w:t>Forêts reliques sèches et dense avec des essences, végétation dominée par des cultures de rentes dans les zones d’intervention du projet dans le pays.</w:t>
            </w:r>
          </w:p>
        </w:tc>
      </w:tr>
      <w:tr w:rsidR="00B805ED" w:rsidRPr="00171856" w:rsidTr="008D4CD7">
        <w:trPr>
          <w:trHeight w:val="1386"/>
        </w:trPr>
        <w:tc>
          <w:tcPr>
            <w:tcW w:w="3503" w:type="dxa"/>
            <w:vAlign w:val="center"/>
          </w:tcPr>
          <w:p w:rsidR="00B805ED" w:rsidRPr="00171856" w:rsidRDefault="00B805ED" w:rsidP="008D4CD7">
            <w:pPr>
              <w:ind w:right="129"/>
              <w:jc w:val="center"/>
              <w:rPr>
                <w:b/>
                <w:color w:val="000000"/>
              </w:rPr>
            </w:pPr>
            <w:r w:rsidRPr="00171856">
              <w:rPr>
                <w:b/>
                <w:color w:val="000000"/>
              </w:rPr>
              <w:t>Stratégies et plans d'action nationaux pour la biodiversité (SPANB)</w:t>
            </w:r>
          </w:p>
          <w:p w:rsidR="00B805ED" w:rsidRPr="00171856" w:rsidRDefault="00B805ED" w:rsidP="008D4CD7">
            <w:pPr>
              <w:ind w:right="129"/>
              <w:jc w:val="center"/>
              <w:rPr>
                <w:b/>
                <w:color w:val="000000"/>
              </w:rPr>
            </w:pPr>
            <w:r w:rsidRPr="00171856">
              <w:rPr>
                <w:b/>
                <w:color w:val="000000"/>
              </w:rPr>
              <w:t>Egypte, 17-29 novembre 2018</w:t>
            </w:r>
          </w:p>
          <w:p w:rsidR="00B805ED" w:rsidRPr="00171856" w:rsidRDefault="00B805ED" w:rsidP="008D4CD7">
            <w:pPr>
              <w:ind w:right="129"/>
              <w:rPr>
                <w:color w:val="000000"/>
              </w:rPr>
            </w:pPr>
          </w:p>
          <w:p w:rsidR="00B805ED" w:rsidRPr="00171856" w:rsidRDefault="00B805ED" w:rsidP="008D4CD7">
            <w:pPr>
              <w:ind w:right="129"/>
              <w:jc w:val="center"/>
              <w:rPr>
                <w:b/>
                <w:color w:val="000000"/>
              </w:rPr>
            </w:pPr>
          </w:p>
        </w:tc>
        <w:tc>
          <w:tcPr>
            <w:tcW w:w="3477" w:type="dxa"/>
            <w:vAlign w:val="center"/>
          </w:tcPr>
          <w:p w:rsidR="00B805ED" w:rsidRPr="00171856" w:rsidRDefault="00B805ED" w:rsidP="008D4CD7">
            <w:pPr>
              <w:ind w:right="31"/>
              <w:jc w:val="both"/>
              <w:rPr>
                <w:color w:val="000000"/>
              </w:rPr>
            </w:pPr>
            <w:r w:rsidRPr="00171856">
              <w:rPr>
                <w:color w:val="000000"/>
              </w:rPr>
              <w:t>Elles visent à prendre en compte une approche écosystémique, à mettre en évidence l'importance de la biodiversité et des services écosystémiques pour l'identité nationale, la durabilité et le développement, à évaluer les menaces qui pèsent sur la biodiversité et à établir des objectifs de mise en œuvre. </w:t>
            </w:r>
          </w:p>
        </w:tc>
        <w:tc>
          <w:tcPr>
            <w:tcW w:w="3510" w:type="dxa"/>
            <w:vMerge/>
            <w:vAlign w:val="center"/>
          </w:tcPr>
          <w:p w:rsidR="00B805ED" w:rsidRPr="00171856" w:rsidRDefault="00B805ED" w:rsidP="008D4CD7">
            <w:pPr>
              <w:jc w:val="both"/>
              <w:rPr>
                <w:color w:val="000000"/>
              </w:rPr>
            </w:pPr>
          </w:p>
        </w:tc>
      </w:tr>
      <w:tr w:rsidR="00B805ED" w:rsidRPr="00171856" w:rsidTr="008D4CD7">
        <w:trPr>
          <w:trHeight w:val="756"/>
        </w:trPr>
        <w:tc>
          <w:tcPr>
            <w:tcW w:w="3503" w:type="dxa"/>
            <w:vAlign w:val="center"/>
          </w:tcPr>
          <w:p w:rsidR="00B805ED" w:rsidRPr="00171856" w:rsidRDefault="00B805ED" w:rsidP="008D4CD7">
            <w:pPr>
              <w:ind w:right="129"/>
              <w:jc w:val="center"/>
              <w:rPr>
                <w:b/>
                <w:color w:val="000000"/>
              </w:rPr>
            </w:pPr>
            <w:r w:rsidRPr="00171856">
              <w:rPr>
                <w:b/>
                <w:color w:val="000000"/>
              </w:rPr>
              <w:t>Convention africaine pour la protection des ressources naturelles adopté le 15 septembre 1968 à Alger</w:t>
            </w:r>
          </w:p>
        </w:tc>
        <w:tc>
          <w:tcPr>
            <w:tcW w:w="3477" w:type="dxa"/>
            <w:vAlign w:val="center"/>
          </w:tcPr>
          <w:p w:rsidR="00B805ED" w:rsidRPr="00171856" w:rsidRDefault="00B805ED" w:rsidP="008D4CD7">
            <w:pPr>
              <w:ind w:right="-283"/>
              <w:jc w:val="both"/>
              <w:rPr>
                <w:color w:val="000000"/>
              </w:rPr>
            </w:pPr>
            <w:r w:rsidRPr="00171856">
              <w:rPr>
                <w:color w:val="000000"/>
              </w:rPr>
              <w:t>Ressources naturelles africaines</w:t>
            </w:r>
          </w:p>
        </w:tc>
        <w:tc>
          <w:tcPr>
            <w:tcW w:w="3510" w:type="dxa"/>
          </w:tcPr>
          <w:p w:rsidR="00B805ED" w:rsidRPr="00171856" w:rsidRDefault="00B805ED" w:rsidP="008D4CD7">
            <w:pPr>
              <w:jc w:val="both"/>
            </w:pPr>
            <w:r w:rsidRPr="00171856">
              <w:t>Les activités du projet ne seront pas une source de dégradation des ressources naturelles (cours d’eau, forets classée, etc…). Ainsi, cette convention doit être respectée par le projet PUSA.</w:t>
            </w:r>
          </w:p>
        </w:tc>
      </w:tr>
      <w:tr w:rsidR="00B805ED" w:rsidRPr="00171856" w:rsidTr="008D4CD7">
        <w:trPr>
          <w:trHeight w:val="648"/>
        </w:trPr>
        <w:tc>
          <w:tcPr>
            <w:tcW w:w="3503" w:type="dxa"/>
            <w:vAlign w:val="center"/>
          </w:tcPr>
          <w:p w:rsidR="00B805ED" w:rsidRPr="00171856" w:rsidRDefault="00B805ED" w:rsidP="008D4CD7">
            <w:pPr>
              <w:ind w:right="129"/>
              <w:jc w:val="center"/>
              <w:rPr>
                <w:b/>
                <w:color w:val="000000"/>
              </w:rPr>
            </w:pPr>
            <w:r w:rsidRPr="00171856">
              <w:rPr>
                <w:b/>
                <w:color w:val="000000"/>
              </w:rPr>
              <w:t>Convention sur la conservation des espèces migratoires de</w:t>
            </w:r>
            <w:r w:rsidRPr="00171856">
              <w:rPr>
                <w:b/>
                <w:color w:val="000000"/>
              </w:rPr>
              <w:br/>
              <w:t>la faune sauvage ratifié le 1 octobre 1987</w:t>
            </w:r>
          </w:p>
        </w:tc>
        <w:tc>
          <w:tcPr>
            <w:tcW w:w="3477" w:type="dxa"/>
            <w:vAlign w:val="center"/>
          </w:tcPr>
          <w:p w:rsidR="00B805ED" w:rsidRPr="00171856" w:rsidRDefault="00B805ED" w:rsidP="008D4CD7">
            <w:pPr>
              <w:ind w:right="-283"/>
              <w:rPr>
                <w:color w:val="000000"/>
              </w:rPr>
            </w:pPr>
            <w:r w:rsidRPr="00171856">
              <w:rPr>
                <w:color w:val="000000"/>
              </w:rPr>
              <w:t>Gestion des espèces migratoires</w:t>
            </w:r>
          </w:p>
        </w:tc>
        <w:tc>
          <w:tcPr>
            <w:tcW w:w="3510" w:type="dxa"/>
          </w:tcPr>
          <w:p w:rsidR="00B805ED" w:rsidRPr="00171856" w:rsidRDefault="00B805ED" w:rsidP="008D4CD7">
            <w:pPr>
              <w:jc w:val="both"/>
              <w:rPr>
                <w:color w:val="000000"/>
              </w:rPr>
            </w:pPr>
            <w:r w:rsidRPr="00171856">
              <w:rPr>
                <w:color w:val="000000"/>
              </w:rPr>
              <w:t xml:space="preserve">Dans le pays, il existe des zones écologiques comme SURU qui est concernée par ces deux conventions. Ainsi, durant les activités, le respect de la </w:t>
            </w:r>
            <w:r w:rsidRPr="00171856">
              <w:rPr>
                <w:color w:val="000000"/>
              </w:rPr>
              <w:lastRenderedPageBreak/>
              <w:t xml:space="preserve">règlementation doit être appliqué. </w:t>
            </w:r>
          </w:p>
        </w:tc>
      </w:tr>
      <w:tr w:rsidR="00B805ED" w:rsidRPr="00171856" w:rsidTr="008D4CD7">
        <w:trPr>
          <w:trHeight w:val="423"/>
        </w:trPr>
        <w:tc>
          <w:tcPr>
            <w:tcW w:w="3503" w:type="dxa"/>
            <w:vAlign w:val="center"/>
          </w:tcPr>
          <w:p w:rsidR="00B805ED" w:rsidRPr="00171856" w:rsidRDefault="00B805ED" w:rsidP="008D4CD7">
            <w:pPr>
              <w:ind w:left="32"/>
              <w:jc w:val="center"/>
              <w:rPr>
                <w:b/>
                <w:color w:val="000000"/>
              </w:rPr>
            </w:pPr>
            <w:r w:rsidRPr="00171856">
              <w:rPr>
                <w:rFonts w:eastAsia="Calibri"/>
                <w:b/>
              </w:rPr>
              <w:lastRenderedPageBreak/>
              <w:t>Convention des nations unies sur la lutte contre la désertification. Adoptée à Paris le 17 juin 1994</w:t>
            </w:r>
          </w:p>
        </w:tc>
        <w:tc>
          <w:tcPr>
            <w:tcW w:w="3477" w:type="dxa"/>
            <w:vAlign w:val="center"/>
          </w:tcPr>
          <w:p w:rsidR="00B805ED" w:rsidRPr="00171856" w:rsidRDefault="00B805ED" w:rsidP="008D4CD7">
            <w:pPr>
              <w:jc w:val="both"/>
              <w:rPr>
                <w:color w:val="000000"/>
              </w:rPr>
            </w:pPr>
            <w:r w:rsidRPr="00171856">
              <w:rPr>
                <w:rFonts w:eastAsia="Calibri"/>
              </w:rPr>
              <w:t>Cette convention, 3</w:t>
            </w:r>
            <w:r w:rsidRPr="00171856">
              <w:rPr>
                <w:rFonts w:eastAsia="Calibri"/>
                <w:vertAlign w:val="superscript"/>
              </w:rPr>
              <w:t>ème</w:t>
            </w:r>
            <w:r w:rsidRPr="00171856">
              <w:rPr>
                <w:rFonts w:eastAsia="Calibri"/>
              </w:rPr>
              <w:t xml:space="preserve"> issue du Sommet de Rio désigne l’Afrique comme zone prioritaire vu qu’elle est très touchée par la sécheresse et la désertification. Elle exhorte les pays signataires à réduire la dégradation des terres, limiter l’arrachage des arbres et restaurer les terres désertifiées après utilisation</w:t>
            </w:r>
          </w:p>
        </w:tc>
        <w:tc>
          <w:tcPr>
            <w:tcW w:w="3510" w:type="dxa"/>
          </w:tcPr>
          <w:p w:rsidR="00B805ED" w:rsidRPr="00171856" w:rsidRDefault="00B805ED" w:rsidP="008D4CD7">
            <w:pPr>
              <w:jc w:val="both"/>
              <w:rPr>
                <w:color w:val="000000"/>
              </w:rPr>
            </w:pPr>
            <w:r w:rsidRPr="00171856">
              <w:rPr>
                <w:color w:val="000000"/>
              </w:rPr>
              <w:t>Ainsi, le projet PUSA doit mettre en place des actions de sensibilisation pour les producteurs et agriculteurs pour le respect de cette convention.</w:t>
            </w:r>
          </w:p>
        </w:tc>
      </w:tr>
      <w:tr w:rsidR="00B805ED" w:rsidRPr="00171856" w:rsidTr="008D4CD7">
        <w:trPr>
          <w:trHeight w:val="423"/>
        </w:trPr>
        <w:tc>
          <w:tcPr>
            <w:tcW w:w="3503" w:type="dxa"/>
            <w:vAlign w:val="center"/>
          </w:tcPr>
          <w:p w:rsidR="00B805ED" w:rsidRPr="00171856" w:rsidRDefault="00B805ED" w:rsidP="008D4CD7">
            <w:pPr>
              <w:ind w:left="32"/>
              <w:jc w:val="center"/>
              <w:rPr>
                <w:b/>
                <w:color w:val="000000"/>
              </w:rPr>
            </w:pPr>
            <w:r w:rsidRPr="00171856">
              <w:rPr>
                <w:rFonts w:eastAsia="Calibri"/>
                <w:b/>
                <w:bCs/>
              </w:rPr>
              <w:t>Convention cadre des Nations Unies sur les changements climatiques (CNUCC) ratifié le 28 décembre 1994</w:t>
            </w:r>
          </w:p>
        </w:tc>
        <w:tc>
          <w:tcPr>
            <w:tcW w:w="3477" w:type="dxa"/>
            <w:vAlign w:val="center"/>
          </w:tcPr>
          <w:p w:rsidR="00B805ED" w:rsidRPr="00171856" w:rsidRDefault="00B805ED" w:rsidP="008D4CD7">
            <w:pPr>
              <w:rPr>
                <w:rFonts w:eastAsia="Calibri"/>
                <w:bCs/>
              </w:rPr>
            </w:pPr>
            <w:r w:rsidRPr="00171856">
              <w:rPr>
                <w:rFonts w:eastAsia="Calibri"/>
                <w:bCs/>
              </w:rPr>
              <w:t>Gestion et adaptation aux changements climatiques.</w:t>
            </w:r>
          </w:p>
          <w:p w:rsidR="00B805ED" w:rsidRPr="00171856" w:rsidRDefault="00B805ED" w:rsidP="008D4CD7">
            <w:pPr>
              <w:jc w:val="both"/>
              <w:rPr>
                <w:color w:val="000000"/>
              </w:rPr>
            </w:pPr>
            <w:r w:rsidRPr="00171856">
              <w:rPr>
                <w:rFonts w:eastAsia="Calibri"/>
                <w:bCs/>
              </w:rPr>
              <w:t>Stabiliser les concentrations de gaz à effet de serre pour éviter toute perturbation dangereuse du système climatique et pour que les écosystèmes puissent s’adapter naturellement aux changements climatiques.</w:t>
            </w:r>
          </w:p>
        </w:tc>
        <w:tc>
          <w:tcPr>
            <w:tcW w:w="3510" w:type="dxa"/>
            <w:vAlign w:val="center"/>
          </w:tcPr>
          <w:p w:rsidR="00B805ED" w:rsidRPr="00171856" w:rsidRDefault="00B805ED" w:rsidP="008D4CD7">
            <w:pPr>
              <w:jc w:val="both"/>
              <w:rPr>
                <w:color w:val="000000"/>
              </w:rPr>
            </w:pPr>
            <w:r w:rsidRPr="00171856">
              <w:rPr>
                <w:rFonts w:eastAsia="Calibri"/>
                <w:bCs/>
              </w:rPr>
              <w:t>Existence de pollution par les gaz à effet de serre (émissions de CO</w:t>
            </w:r>
            <w:r w:rsidRPr="00171856">
              <w:rPr>
                <w:rFonts w:eastAsia="Calibri"/>
                <w:bCs/>
                <w:vertAlign w:val="subscript"/>
              </w:rPr>
              <w:t>2</w:t>
            </w:r>
            <w:r w:rsidRPr="00171856">
              <w:rPr>
                <w:rFonts w:eastAsia="Calibri"/>
                <w:bCs/>
              </w:rPr>
              <w:t xml:space="preserve"> et de No, </w:t>
            </w:r>
            <w:r w:rsidRPr="00171856">
              <w:rPr>
                <w:lang w:val="fr-MA"/>
              </w:rPr>
              <w:t>CH</w:t>
            </w:r>
            <w:r w:rsidRPr="00171856">
              <w:rPr>
                <w:rFonts w:ascii="Calibri" w:eastAsia="Calibri" w:hAnsi="Calibri" w:cs="Calibri"/>
                <w:lang w:val="fr-MA"/>
              </w:rPr>
              <w:t>₄</w:t>
            </w:r>
            <w:r w:rsidRPr="00171856">
              <w:rPr>
                <w:lang w:val="fr-MA"/>
              </w:rPr>
              <w:t>, N</w:t>
            </w:r>
            <w:r w:rsidRPr="00171856">
              <w:rPr>
                <w:rFonts w:ascii="Calibri" w:eastAsia="Calibri" w:hAnsi="Calibri" w:cs="Calibri"/>
                <w:lang w:val="fr-MA"/>
              </w:rPr>
              <w:t>₂</w:t>
            </w:r>
            <w:r w:rsidRPr="00171856">
              <w:rPr>
                <w:lang w:val="fr-MA"/>
              </w:rPr>
              <w:t>O, et CO</w:t>
            </w:r>
            <w:r w:rsidRPr="00171856">
              <w:rPr>
                <w:rFonts w:ascii="Calibri" w:eastAsia="Calibri" w:hAnsi="Calibri" w:cs="Calibri"/>
                <w:lang w:val="fr-MA"/>
              </w:rPr>
              <w:t>₂</w:t>
            </w:r>
            <w:r w:rsidRPr="00171856">
              <w:rPr>
                <w:lang w:val="fr-MA"/>
              </w:rPr>
              <w:t xml:space="preserve">, </w:t>
            </w:r>
            <w:r w:rsidRPr="00171856">
              <w:rPr>
                <w:rFonts w:eastAsia="Calibri"/>
                <w:bCs/>
              </w:rPr>
              <w:t>notamment) liées aux activités des engins et camions.</w:t>
            </w:r>
            <w:r w:rsidRPr="00171856">
              <w:t xml:space="preserve"> Mais également des activités agricoles, comme l’utilisation des engrais, la gestion du bétail, etc. </w:t>
            </w:r>
          </w:p>
        </w:tc>
      </w:tr>
      <w:tr w:rsidR="00B805ED" w:rsidRPr="00171856" w:rsidTr="008D4CD7">
        <w:trPr>
          <w:trHeight w:val="423"/>
        </w:trPr>
        <w:tc>
          <w:tcPr>
            <w:tcW w:w="3503" w:type="dxa"/>
            <w:vAlign w:val="center"/>
          </w:tcPr>
          <w:p w:rsidR="00B805ED" w:rsidRPr="00171856" w:rsidRDefault="00B805ED" w:rsidP="008D4CD7">
            <w:pPr>
              <w:ind w:left="32"/>
              <w:jc w:val="center"/>
              <w:rPr>
                <w:b/>
                <w:color w:val="000000"/>
              </w:rPr>
            </w:pPr>
            <w:r w:rsidRPr="00171856">
              <w:rPr>
                <w:rFonts w:eastAsia="Calibri"/>
                <w:b/>
              </w:rPr>
              <w:t>La convention de RAMSAR du 2 février 1971 relative aux zones humides d’importance internationale et son protocole du 3 décembre 1982 ont été ratifiés le 15 mai 1985</w:t>
            </w:r>
          </w:p>
        </w:tc>
        <w:tc>
          <w:tcPr>
            <w:tcW w:w="3477" w:type="dxa"/>
            <w:vAlign w:val="center"/>
          </w:tcPr>
          <w:p w:rsidR="00B805ED" w:rsidRPr="00171856" w:rsidRDefault="00B805ED" w:rsidP="008D4CD7">
            <w:pPr>
              <w:jc w:val="both"/>
              <w:rPr>
                <w:color w:val="000000"/>
              </w:rPr>
            </w:pPr>
            <w:r w:rsidRPr="00171856">
              <w:rPr>
                <w:rFonts w:eastAsia="Calibri"/>
                <w:bCs/>
              </w:rPr>
              <w:t xml:space="preserve">Cette convention est </w:t>
            </w:r>
            <w:r w:rsidRPr="00171856">
              <w:t>relative aux zones humides d’importance internationale.</w:t>
            </w:r>
          </w:p>
        </w:tc>
        <w:tc>
          <w:tcPr>
            <w:tcW w:w="3510" w:type="dxa"/>
            <w:vAlign w:val="center"/>
          </w:tcPr>
          <w:p w:rsidR="00B805ED" w:rsidRPr="00171856" w:rsidRDefault="00B805ED" w:rsidP="008D4CD7">
            <w:pPr>
              <w:jc w:val="both"/>
              <w:rPr>
                <w:color w:val="000000"/>
              </w:rPr>
            </w:pPr>
            <w:r w:rsidRPr="00171856">
              <w:rPr>
                <w:rFonts w:eastAsia="Calibri"/>
              </w:rPr>
              <w:t>Le projet PUSA pourrait intervenir dans des zones agricoles très humides ou dans des zones humides. Ainsi, le projet devra sensibiliser l’ensemble des acteurs pour le respect cette convention.</w:t>
            </w:r>
          </w:p>
        </w:tc>
      </w:tr>
      <w:tr w:rsidR="00B805ED" w:rsidRPr="00171856" w:rsidTr="008D4CD7">
        <w:trPr>
          <w:trHeight w:val="423"/>
        </w:trPr>
        <w:tc>
          <w:tcPr>
            <w:tcW w:w="3503" w:type="dxa"/>
            <w:vAlign w:val="center"/>
          </w:tcPr>
          <w:p w:rsidR="00B805ED" w:rsidRPr="00171856" w:rsidRDefault="00B805ED" w:rsidP="008D4CD7">
            <w:pPr>
              <w:ind w:left="32"/>
              <w:jc w:val="center"/>
              <w:rPr>
                <w:rFonts w:eastAsia="Calibri"/>
                <w:b/>
              </w:rPr>
            </w:pPr>
            <w:r w:rsidRPr="00171856">
              <w:rPr>
                <w:rFonts w:eastAsia="Calibri"/>
                <w:b/>
              </w:rPr>
              <w:t>CEDAW Développé en 1979 à New York, ratifié par Guinée-Bissau en 1985 par la résolution nº 14/85</w:t>
            </w:r>
          </w:p>
        </w:tc>
        <w:tc>
          <w:tcPr>
            <w:tcW w:w="3477" w:type="dxa"/>
            <w:vAlign w:val="center"/>
          </w:tcPr>
          <w:p w:rsidR="00B805ED" w:rsidRPr="00171856" w:rsidRDefault="00B805ED" w:rsidP="008D4CD7">
            <w:pPr>
              <w:jc w:val="both"/>
              <w:rPr>
                <w:rFonts w:eastAsia="Calibri"/>
                <w:bCs/>
              </w:rPr>
            </w:pPr>
            <w:r w:rsidRPr="00171856">
              <w:rPr>
                <w:lang w:eastAsia="en-GB"/>
              </w:rPr>
              <w:t>Convention sur l'élimination de toutes les formes de discrimination à l’égard des femmes</w:t>
            </w:r>
          </w:p>
        </w:tc>
        <w:tc>
          <w:tcPr>
            <w:tcW w:w="3510" w:type="dxa"/>
            <w:vAlign w:val="center"/>
          </w:tcPr>
          <w:p w:rsidR="00B805ED" w:rsidRPr="00171856" w:rsidRDefault="00B805ED" w:rsidP="008D4CD7">
            <w:pPr>
              <w:jc w:val="both"/>
              <w:rPr>
                <w:rFonts w:eastAsia="Calibri"/>
              </w:rPr>
            </w:pPr>
            <w:r w:rsidRPr="00171856">
              <w:rPr>
                <w:rFonts w:eastAsia="Calibri"/>
              </w:rPr>
              <w:t>Les activités du projet PUSA pourrait induire à des risques de discrimination envers les femmes si des dispositions ne seront pas prise en avance.</w:t>
            </w:r>
          </w:p>
        </w:tc>
      </w:tr>
      <w:tr w:rsidR="00B805ED" w:rsidRPr="00171856" w:rsidTr="008D4CD7">
        <w:trPr>
          <w:trHeight w:val="423"/>
        </w:trPr>
        <w:tc>
          <w:tcPr>
            <w:tcW w:w="3503" w:type="dxa"/>
            <w:vAlign w:val="center"/>
          </w:tcPr>
          <w:p w:rsidR="00B805ED" w:rsidRPr="00171856" w:rsidRDefault="00B805ED" w:rsidP="008D4CD7">
            <w:pPr>
              <w:rPr>
                <w:rFonts w:eastAsia="Calibri"/>
              </w:rPr>
            </w:pPr>
            <w:r w:rsidRPr="00171856">
              <w:rPr>
                <w:rFonts w:eastAsia="Calibri"/>
                <w:b/>
              </w:rPr>
              <w:t>L'Accord de Paris et les CDN,</w:t>
            </w:r>
            <w:r w:rsidRPr="00171856">
              <w:rPr>
                <w:rFonts w:eastAsia="Calibri"/>
              </w:rPr>
              <w:t xml:space="preserve"> </w:t>
            </w:r>
            <w:r w:rsidRPr="00171856">
              <w:rPr>
                <w:rFonts w:eastAsia="Calibri"/>
                <w:b/>
              </w:rPr>
              <w:t>entré en vigueur le 4 novembre 2016.</w:t>
            </w:r>
          </w:p>
          <w:p w:rsidR="00B805ED" w:rsidRPr="00171856" w:rsidRDefault="00B805ED" w:rsidP="008D4CD7">
            <w:pPr>
              <w:ind w:left="32"/>
              <w:jc w:val="center"/>
              <w:rPr>
                <w:rFonts w:eastAsia="Calibri"/>
                <w:b/>
              </w:rPr>
            </w:pPr>
          </w:p>
          <w:p w:rsidR="00B805ED" w:rsidRPr="00171856" w:rsidRDefault="00B805ED" w:rsidP="008D4CD7">
            <w:pPr>
              <w:ind w:left="32"/>
              <w:jc w:val="center"/>
              <w:rPr>
                <w:rFonts w:eastAsia="Calibri"/>
                <w:b/>
              </w:rPr>
            </w:pPr>
          </w:p>
        </w:tc>
        <w:tc>
          <w:tcPr>
            <w:tcW w:w="3477" w:type="dxa"/>
            <w:vAlign w:val="center"/>
          </w:tcPr>
          <w:p w:rsidR="00B805ED" w:rsidRPr="00171856" w:rsidRDefault="00B805ED" w:rsidP="008D4CD7">
            <w:pPr>
              <w:jc w:val="both"/>
              <w:rPr>
                <w:lang w:eastAsia="en-GB"/>
              </w:rPr>
            </w:pPr>
            <w:r w:rsidRPr="00171856">
              <w:rPr>
                <w:lang w:eastAsia="en-GB"/>
              </w:rPr>
              <w:t>Il permettra de renforcer la réponse mondiale à la menace du changement climatique en maintenant l'augmentation de la température mondiale à un niveau bien inférieur à 2 degrés Celsius par rapport aux niveaux préindustriels et de poursuivre les efforts pour limiter encore davantage l'augmentation de la température à 1,5 degré Celsius.</w:t>
            </w:r>
          </w:p>
        </w:tc>
        <w:tc>
          <w:tcPr>
            <w:tcW w:w="3510" w:type="dxa"/>
            <w:vAlign w:val="center"/>
          </w:tcPr>
          <w:p w:rsidR="00B805ED" w:rsidRPr="00171856" w:rsidRDefault="00B805ED" w:rsidP="008D4CD7">
            <w:pPr>
              <w:jc w:val="both"/>
              <w:rPr>
                <w:rFonts w:eastAsia="Calibri"/>
              </w:rPr>
            </w:pPr>
            <w:r w:rsidRPr="00171856">
              <w:rPr>
                <w:rFonts w:eastAsia="Calibri"/>
                <w:bCs/>
              </w:rPr>
              <w:t>Existence de pollution par les gaz à effet de serre (émissions de CO</w:t>
            </w:r>
            <w:r w:rsidRPr="00171856">
              <w:rPr>
                <w:rFonts w:eastAsia="Calibri"/>
                <w:bCs/>
                <w:vertAlign w:val="subscript"/>
              </w:rPr>
              <w:t>2</w:t>
            </w:r>
            <w:r w:rsidRPr="00171856">
              <w:rPr>
                <w:rFonts w:eastAsia="Calibri"/>
                <w:bCs/>
              </w:rPr>
              <w:t xml:space="preserve"> et de No, </w:t>
            </w:r>
            <w:r w:rsidRPr="00171856">
              <w:rPr>
                <w:lang w:val="fr-MA"/>
              </w:rPr>
              <w:t>CH</w:t>
            </w:r>
            <w:r w:rsidRPr="00171856">
              <w:rPr>
                <w:rFonts w:ascii="Calibri" w:eastAsia="Calibri" w:hAnsi="Calibri" w:cs="Calibri"/>
                <w:lang w:val="fr-MA"/>
              </w:rPr>
              <w:t>₄</w:t>
            </w:r>
            <w:r w:rsidRPr="00171856">
              <w:rPr>
                <w:lang w:val="fr-MA"/>
              </w:rPr>
              <w:t>, N</w:t>
            </w:r>
            <w:r w:rsidRPr="00171856">
              <w:rPr>
                <w:rFonts w:ascii="Calibri" w:eastAsia="Calibri" w:hAnsi="Calibri" w:cs="Calibri"/>
                <w:lang w:val="fr-MA"/>
              </w:rPr>
              <w:t>₂</w:t>
            </w:r>
            <w:r w:rsidRPr="00171856">
              <w:rPr>
                <w:lang w:val="fr-MA"/>
              </w:rPr>
              <w:t>O, et CO</w:t>
            </w:r>
            <w:r w:rsidRPr="00171856">
              <w:rPr>
                <w:rFonts w:ascii="Calibri" w:eastAsia="Calibri" w:hAnsi="Calibri" w:cs="Calibri"/>
                <w:lang w:val="fr-MA"/>
              </w:rPr>
              <w:t>₂</w:t>
            </w:r>
            <w:r w:rsidRPr="00171856">
              <w:rPr>
                <w:lang w:val="fr-MA"/>
              </w:rPr>
              <w:t xml:space="preserve">,) </w:t>
            </w:r>
            <w:r w:rsidRPr="00171856">
              <w:rPr>
                <w:rFonts w:eastAsia="Calibri"/>
                <w:bCs/>
              </w:rPr>
              <w:t>notamment liées aux activités des engins et camions durant la mise en œuvre du PUSA.</w:t>
            </w:r>
          </w:p>
        </w:tc>
      </w:tr>
      <w:tr w:rsidR="00BD1EE4" w:rsidRPr="00171856" w:rsidTr="008D4CD7">
        <w:trPr>
          <w:trHeight w:val="423"/>
        </w:trPr>
        <w:tc>
          <w:tcPr>
            <w:tcW w:w="3503" w:type="dxa"/>
            <w:vAlign w:val="center"/>
          </w:tcPr>
          <w:p w:rsidR="00BD1EE4" w:rsidRPr="00171856" w:rsidRDefault="00BD1EE4" w:rsidP="00345951">
            <w:pPr>
              <w:jc w:val="center"/>
              <w:rPr>
                <w:rFonts w:eastAsia="Calibri"/>
                <w:b/>
              </w:rPr>
            </w:pPr>
            <w:r w:rsidRPr="00171856">
              <w:rPr>
                <w:rFonts w:eastAsia="Times New Roman"/>
                <w:b/>
                <w:color w:val="000000"/>
              </w:rPr>
              <w:t>Convention de protection du patrimoine mondial et</w:t>
            </w:r>
            <w:r w:rsidRPr="00171856">
              <w:rPr>
                <w:rFonts w:eastAsia="Times New Roman"/>
                <w:b/>
                <w:color w:val="000000"/>
              </w:rPr>
              <w:br/>
              <w:t>culture 25 avril 2016</w:t>
            </w:r>
          </w:p>
        </w:tc>
        <w:tc>
          <w:tcPr>
            <w:tcW w:w="3477" w:type="dxa"/>
            <w:vAlign w:val="center"/>
          </w:tcPr>
          <w:p w:rsidR="00BD1EE4" w:rsidRPr="00171856" w:rsidRDefault="00024F6F" w:rsidP="00BD1EE4">
            <w:pPr>
              <w:jc w:val="both"/>
              <w:rPr>
                <w:lang w:eastAsia="en-GB"/>
              </w:rPr>
            </w:pPr>
            <w:r w:rsidRPr="00171856">
              <w:rPr>
                <w:color w:val="000000"/>
              </w:rPr>
              <w:t>Gestion à la protection et au respect des patrimoine culturel dans le pays</w:t>
            </w:r>
          </w:p>
        </w:tc>
        <w:tc>
          <w:tcPr>
            <w:tcW w:w="3510" w:type="dxa"/>
            <w:vAlign w:val="center"/>
          </w:tcPr>
          <w:p w:rsidR="00BD1EE4" w:rsidRPr="00171856" w:rsidRDefault="00024F6F" w:rsidP="00BD1EE4">
            <w:pPr>
              <w:jc w:val="both"/>
              <w:rPr>
                <w:rFonts w:eastAsia="Calibri"/>
                <w:bCs/>
              </w:rPr>
            </w:pPr>
            <w:r w:rsidRPr="00171856">
              <w:rPr>
                <w:rFonts w:eastAsia="Calibri"/>
                <w:bCs/>
              </w:rPr>
              <w:t xml:space="preserve">S’il existe, dans le site des patrimoines, avec ouvertures des routes d’accès ou des </w:t>
            </w:r>
            <w:r w:rsidRPr="00171856">
              <w:rPr>
                <w:rFonts w:eastAsia="Calibri"/>
                <w:bCs/>
              </w:rPr>
              <w:lastRenderedPageBreak/>
              <w:t>emplacements des infrastructures prévus, des risques de destruction ou de dégradation pourrait être noter si des dispositions ne seront pas mise en œuvre</w:t>
            </w:r>
          </w:p>
        </w:tc>
      </w:tr>
    </w:tbl>
    <w:p w:rsidR="00B805ED" w:rsidRPr="00A05698" w:rsidRDefault="00B805ED" w:rsidP="00B805ED"/>
    <w:p w:rsidR="00B805ED" w:rsidRPr="00A05698" w:rsidRDefault="00B805ED" w:rsidP="004F0DC1">
      <w:pPr>
        <w:pStyle w:val="PargrafodaLista"/>
        <w:numPr>
          <w:ilvl w:val="1"/>
          <w:numId w:val="99"/>
        </w:numPr>
        <w:spacing w:after="120" w:line="240" w:lineRule="auto"/>
        <w:outlineLvl w:val="1"/>
        <w:rPr>
          <w:rFonts w:ascii="Times New Roman" w:hAnsi="Times New Roman"/>
          <w:b/>
          <w:bCs/>
          <w:sz w:val="24"/>
          <w:szCs w:val="24"/>
        </w:rPr>
      </w:pPr>
      <w:bookmarkStart w:id="179" w:name="_Toc75432286"/>
      <w:r w:rsidRPr="00A05698">
        <w:rPr>
          <w:rFonts w:ascii="Times New Roman" w:hAnsi="Times New Roman"/>
          <w:b/>
          <w:bCs/>
          <w:sz w:val="24"/>
          <w:szCs w:val="24"/>
        </w:rPr>
        <w:t>CADRE INSTITUTIONNEL</w:t>
      </w:r>
      <w:bookmarkEnd w:id="179"/>
    </w:p>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.3.1. Cadre institutionnel du secteur de l’agriculture</w:t>
      </w:r>
    </w:p>
    <w:p w:rsidR="00B805ED" w:rsidRPr="00A05698" w:rsidRDefault="00B805ED" w:rsidP="00B805ED">
      <w:pPr>
        <w:pStyle w:val="Cabealho6"/>
        <w:numPr>
          <w:ilvl w:val="0"/>
          <w:numId w:val="103"/>
        </w:numPr>
        <w:spacing w:line="240" w:lineRule="auto"/>
        <w:rPr>
          <w:rFonts w:ascii="Times New Roman" w:hAnsi="Times New Roman"/>
          <w:b/>
          <w:i w:val="0"/>
          <w:sz w:val="24"/>
          <w:szCs w:val="24"/>
          <w:lang w:eastAsia="en-US"/>
        </w:rPr>
      </w:pPr>
      <w:r w:rsidRPr="00A05698">
        <w:rPr>
          <w:rFonts w:ascii="Times New Roman" w:hAnsi="Times New Roman"/>
          <w:b/>
          <w:i w:val="0"/>
          <w:sz w:val="24"/>
          <w:szCs w:val="24"/>
          <w:lang w:eastAsia="en-US"/>
        </w:rPr>
        <w:t xml:space="preserve">Ministère de l’Agriculture </w:t>
      </w:r>
    </w:p>
    <w:p w:rsidR="00B805ED" w:rsidRPr="00A05698" w:rsidRDefault="00B805ED" w:rsidP="00B008ED">
      <w:pPr>
        <w:spacing w:before="120"/>
        <w:jc w:val="both"/>
        <w:rPr>
          <w:spacing w:val="-2"/>
        </w:rPr>
      </w:pPr>
      <w:r w:rsidRPr="00A05698">
        <w:rPr>
          <w:spacing w:val="-2"/>
        </w:rPr>
        <w:t xml:space="preserve">Le Ministère de l’Agriculture et du Développement Rural (MADR) a pour mission, en conformité avec les orientations du Gouvernement, de créer des conditions favorables au développement de l’agriculture en vue de garantir la sécurité alimentaire en quantité et en qualité. De plus, son but est d’augmenter et de diversifier les exportations agricoles, d’assurer la gestion rationnelle et la préservation des ressources agro-sylvo-pastorales ainsi que d’améliorer les conditions de vie des populations rurales grâce à l’élaboration et à la mise en œuvre de politiques adéquates. </w:t>
      </w:r>
    </w:p>
    <w:p w:rsidR="00B805ED" w:rsidRPr="00A05698" w:rsidRDefault="00B805ED" w:rsidP="00B008ED">
      <w:pPr>
        <w:spacing w:before="120"/>
        <w:jc w:val="both"/>
        <w:rPr>
          <w:spacing w:val="-2"/>
        </w:rPr>
      </w:pPr>
      <w:r w:rsidRPr="00A05698">
        <w:rPr>
          <w:spacing w:val="-2"/>
        </w:rPr>
        <w:t xml:space="preserve">Le MADR comprend le Cabinet du Ministre, le Secrétariat général, les services centraux (Direction générale de l’agriculture (DGA), Direction générale de la forêt (DGF), Direction générale de la protection des végétaux (DGPV), etc.), l’Institut de recherche (INPA), et les services décentralisés au niveau des huit régions du pays et du secteur autonome de Bissau. Le MADR a la responsabilité de l’élaboration de la politique du développement agricole et rural et de sa mise en application. La Lettre de politique de développement agricole (LPDA) a précisé les nouvelles missions du ministère. </w:t>
      </w:r>
    </w:p>
    <w:p w:rsidR="00B805ED" w:rsidRPr="00A05698" w:rsidRDefault="00B805ED" w:rsidP="00B008ED">
      <w:pPr>
        <w:spacing w:before="120"/>
        <w:jc w:val="both"/>
        <w:rPr>
          <w:spacing w:val="-2"/>
        </w:rPr>
      </w:pPr>
      <w:r w:rsidRPr="00A05698">
        <w:rPr>
          <w:spacing w:val="-2"/>
        </w:rPr>
        <w:t xml:space="preserve">Dans le cadre du projet PUSA, la DGA, la DGF, l’INPA et l’ANCA sont plus concernés par sa mise en œuvre. </w:t>
      </w:r>
    </w:p>
    <w:p w:rsidR="00B805ED" w:rsidRPr="00A05698" w:rsidRDefault="00B805ED" w:rsidP="00B805ED">
      <w:pPr>
        <w:pStyle w:val="Cabealho6"/>
        <w:numPr>
          <w:ilvl w:val="0"/>
          <w:numId w:val="103"/>
        </w:numPr>
        <w:spacing w:line="240" w:lineRule="auto"/>
        <w:rPr>
          <w:rFonts w:ascii="Times New Roman" w:hAnsi="Times New Roman"/>
          <w:b/>
          <w:i w:val="0"/>
          <w:sz w:val="24"/>
          <w:szCs w:val="24"/>
          <w:lang w:eastAsia="en-US"/>
        </w:rPr>
      </w:pPr>
      <w:r w:rsidRPr="00A05698">
        <w:rPr>
          <w:rFonts w:ascii="Times New Roman" w:hAnsi="Times New Roman"/>
          <w:b/>
          <w:i w:val="0"/>
          <w:sz w:val="24"/>
          <w:szCs w:val="24"/>
          <w:lang w:eastAsia="en-US"/>
        </w:rPr>
        <w:t xml:space="preserve">Le Comité National de Gestion des Pesticides (CNGP) Guinée Bissau </w:t>
      </w:r>
    </w:p>
    <w:p w:rsidR="00B805ED" w:rsidRPr="00A05698" w:rsidRDefault="00B805ED" w:rsidP="00B008ED">
      <w:pPr>
        <w:spacing w:before="120"/>
        <w:jc w:val="both"/>
        <w:rPr>
          <w:spacing w:val="-2"/>
        </w:rPr>
      </w:pPr>
      <w:r>
        <w:rPr>
          <w:spacing w:val="-2"/>
        </w:rPr>
        <w:t>L</w:t>
      </w:r>
      <w:r w:rsidRPr="00A05698">
        <w:rPr>
          <w:spacing w:val="-2"/>
        </w:rPr>
        <w:t xml:space="preserve">e CNGP assure : la mise en œuvre et le suivi du respect les procédures et normes de contrôle de qualité des pesticides ; le contrôle post homologation des pesticides ; le contrôle de conformité des pesticides ; le contrôle de la distribution et de l’utilisation des pesticides ; le contrôle des Limites Maximales de Résidus (LMR) des produits d’importation destinés à la consommation locale ; le contrôle des professionnels de la filière des pesticides ; la tenue du registre des opérateurs de la filière ; la tenue et l’actualisation des pesticides homologués ; la dénonciation des pesticides non homologués entrés dans le pays ; la formation des agents phytosanitaires et des opérateurs de la filière ; le suivi en matière de toxico-vigilance ; le suivi des essais de pré-vulgarisation ; le suivi de la mise en œuvre des conventions internationales relatives aux pesticides. </w:t>
      </w:r>
    </w:p>
    <w:p w:rsidR="00B805ED" w:rsidRPr="00A05698" w:rsidRDefault="00B805ED" w:rsidP="00B008ED">
      <w:pPr>
        <w:spacing w:before="120"/>
        <w:jc w:val="both"/>
        <w:rPr>
          <w:spacing w:val="-2"/>
        </w:rPr>
      </w:pPr>
      <w:r w:rsidRPr="00A05698">
        <w:rPr>
          <w:spacing w:val="-2"/>
        </w:rPr>
        <w:t xml:space="preserve">Plusieurs structures interviennent au sein de ce comité (l’environnement, la santé, les organisations d’agriculteurs, la douane). Toutefois, ce comité n’est pas encore mis en place car la loi </w:t>
      </w:r>
      <w:r w:rsidRPr="000B3F5B">
        <w:rPr>
          <w:b/>
          <w:spacing w:val="-2"/>
        </w:rPr>
        <w:t xml:space="preserve">N° 7/2000 </w:t>
      </w:r>
      <w:r>
        <w:rPr>
          <w:b/>
          <w:spacing w:val="-2"/>
        </w:rPr>
        <w:t>du</w:t>
      </w:r>
      <w:r w:rsidRPr="000B3F5B">
        <w:rPr>
          <w:b/>
          <w:spacing w:val="-2"/>
        </w:rPr>
        <w:t xml:space="preserve"> 24 A</w:t>
      </w:r>
      <w:r>
        <w:rPr>
          <w:b/>
          <w:spacing w:val="-2"/>
        </w:rPr>
        <w:t>out</w:t>
      </w:r>
      <w:r w:rsidRPr="000B3F5B">
        <w:rPr>
          <w:spacing w:val="-2"/>
        </w:rPr>
        <w:t xml:space="preserve"> </w:t>
      </w:r>
      <w:r w:rsidRPr="00A05698">
        <w:rPr>
          <w:spacing w:val="-2"/>
        </w:rPr>
        <w:t xml:space="preserve">qui a été votée depuis 2000 ne comporte pas encore un décret d’application. Ainsi, le rôle et les missions dévolues à ce comité sont actuellement en partie pris en charge par les services de la direction de la protection des végétaux. </w:t>
      </w:r>
    </w:p>
    <w:p w:rsidR="00B805ED" w:rsidRPr="00A05698" w:rsidRDefault="00B805ED" w:rsidP="00B805ED">
      <w:pPr>
        <w:pStyle w:val="Cabealho6"/>
        <w:numPr>
          <w:ilvl w:val="0"/>
          <w:numId w:val="103"/>
        </w:numPr>
        <w:spacing w:line="240" w:lineRule="auto"/>
        <w:rPr>
          <w:rFonts w:ascii="Times New Roman" w:hAnsi="Times New Roman"/>
          <w:b/>
          <w:i w:val="0"/>
          <w:sz w:val="24"/>
          <w:szCs w:val="24"/>
          <w:lang w:eastAsia="en-US"/>
        </w:rPr>
      </w:pPr>
      <w:r w:rsidRPr="00A05698">
        <w:rPr>
          <w:rFonts w:ascii="Times New Roman" w:hAnsi="Times New Roman"/>
          <w:b/>
          <w:i w:val="0"/>
          <w:sz w:val="24"/>
          <w:szCs w:val="24"/>
          <w:lang w:eastAsia="en-US"/>
        </w:rPr>
        <w:lastRenderedPageBreak/>
        <w:t xml:space="preserve">Ministère de la Femme, Famille et Protection Sociale </w:t>
      </w:r>
    </w:p>
    <w:p w:rsidR="00B805ED" w:rsidRPr="00A05698" w:rsidRDefault="00B805ED" w:rsidP="00B94FE2">
      <w:pPr>
        <w:spacing w:before="120"/>
        <w:jc w:val="both"/>
        <w:rPr>
          <w:spacing w:val="-2"/>
        </w:rPr>
      </w:pPr>
      <w:r w:rsidRPr="00A05698">
        <w:rPr>
          <w:spacing w:val="-2"/>
        </w:rPr>
        <w:t xml:space="preserve">Le Ministère de la Promotion Féminine et des Affaires Sociales (MASPF) a établi un Plan Cadre « Femmes et Développement » qui prévoit l’introduction d’équipements de petite transformation, une facilité d’accès aux facteurs de production (intrants, terre, crédit) et un appui à la commercialisation. Un des objectifs majeurs du Plan Cadre est d’alléger les tâches des femmes, de diminuer le temps de travail et d’augmenter leurs revenus. Un accent particulier est mis sur le fait que les actions en faveur des femmes préservent les équilibres familiaux et villageois. </w:t>
      </w:r>
    </w:p>
    <w:p w:rsidR="00B805ED" w:rsidRPr="00A05698" w:rsidRDefault="00B805ED" w:rsidP="00B94FE2">
      <w:pPr>
        <w:spacing w:before="120"/>
        <w:jc w:val="both"/>
        <w:rPr>
          <w:spacing w:val="-2"/>
        </w:rPr>
      </w:pPr>
      <w:r w:rsidRPr="00A05698">
        <w:rPr>
          <w:spacing w:val="-2"/>
        </w:rPr>
        <w:t xml:space="preserve">Ce plan cadre a été repris par l’Institut National des Femmes et des Enfants, afin de l’améliorer et de définir une stratégie et une politique pour assurer un meilleur cadre de vie aux femmes et aux enfants. </w:t>
      </w:r>
    </w:p>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.3.2. Cadre institutionnelle de gestion environnementale du projet</w:t>
      </w:r>
    </w:p>
    <w:p w:rsidR="00B805ED" w:rsidRDefault="00B805ED" w:rsidP="00B94FE2">
      <w:pPr>
        <w:spacing w:before="120"/>
        <w:jc w:val="both"/>
        <w:rPr>
          <w:spacing w:val="-2"/>
        </w:rPr>
      </w:pPr>
      <w:r w:rsidRPr="00A05698">
        <w:rPr>
          <w:spacing w:val="-2"/>
        </w:rPr>
        <w:t>En Guinée Bissau, la gestion environnementale relève de l’autorité du Secrétariat d’Etat à l’environnement à travers la Direction Générale de l’Environnement. L’Autorité Compétente d’Evaluation Environnementale rattachée directement au SEE, assure la mise en œuvre de la procédure d’Evaluation environnementale dans le pays.</w:t>
      </w:r>
    </w:p>
    <w:p w:rsidR="00B050A2" w:rsidRPr="00A05698" w:rsidRDefault="00B050A2" w:rsidP="00B050A2">
      <w:pPr>
        <w:jc w:val="both"/>
        <w:rPr>
          <w:spacing w:val="-2"/>
        </w:rPr>
      </w:pPr>
    </w:p>
    <w:p w:rsidR="00B050A2" w:rsidRPr="00B050A2" w:rsidRDefault="00B050A2" w:rsidP="00B050A2">
      <w:pPr>
        <w:pStyle w:val="PargrafodaLista"/>
        <w:numPr>
          <w:ilvl w:val="0"/>
          <w:numId w:val="41"/>
        </w:numPr>
        <w:spacing w:after="120" w:line="240" w:lineRule="auto"/>
        <w:ind w:left="709" w:right="-283" w:hanging="425"/>
        <w:rPr>
          <w:rFonts w:ascii="Times New Roman" w:hAnsi="Times New Roman"/>
          <w:b/>
          <w:sz w:val="24"/>
          <w:szCs w:val="24"/>
          <w:lang w:bidi="fr-FR"/>
        </w:rPr>
      </w:pPr>
      <w:r w:rsidRPr="00B050A2">
        <w:rPr>
          <w:rFonts w:ascii="Times New Roman" w:hAnsi="Times New Roman"/>
          <w:b/>
          <w:sz w:val="24"/>
          <w:szCs w:val="24"/>
          <w:lang w:bidi="fr-FR"/>
        </w:rPr>
        <w:t xml:space="preserve">Ministère de l'Environnement et de la Biodiversité </w:t>
      </w:r>
    </w:p>
    <w:p w:rsidR="00B805ED" w:rsidRPr="00A05698" w:rsidRDefault="00B805ED" w:rsidP="001E3C09">
      <w:pPr>
        <w:spacing w:before="120" w:after="120"/>
        <w:jc w:val="both"/>
        <w:rPr>
          <w:spacing w:val="-2"/>
        </w:rPr>
      </w:pPr>
      <w:r w:rsidRPr="00A05698">
        <w:rPr>
          <w:spacing w:val="-2"/>
        </w:rPr>
        <w:t xml:space="preserve">La </w:t>
      </w:r>
      <w:r w:rsidR="00B050A2" w:rsidRPr="00B050A2">
        <w:rPr>
          <w:bCs/>
          <w:spacing w:val="-2"/>
          <w:lang w:bidi="fr-FR"/>
        </w:rPr>
        <w:t>Ministère de l'Environnement et de la Biodiversité</w:t>
      </w:r>
      <w:r w:rsidR="00B050A2" w:rsidRPr="00B050A2">
        <w:rPr>
          <w:spacing w:val="-2"/>
        </w:rPr>
        <w:t xml:space="preserve"> </w:t>
      </w:r>
      <w:r w:rsidRPr="00A05698">
        <w:rPr>
          <w:spacing w:val="-2"/>
        </w:rPr>
        <w:t xml:space="preserve">a pour mission l’élaboration, la coordination et l’application de la politique et de l’action environnementale et de Développement Durable au niveau national. En effet, </w:t>
      </w:r>
      <w:r w:rsidR="00B050A2">
        <w:rPr>
          <w:spacing w:val="-2"/>
        </w:rPr>
        <w:t>elle</w:t>
      </w:r>
      <w:r w:rsidRPr="00A05698">
        <w:rPr>
          <w:spacing w:val="-2"/>
        </w:rPr>
        <w:t xml:space="preserve"> mise sur une gestion participative en impliquant tous les acteurs, notamment les collectivités locales. Elle est aussi appuyée dans sa mission par plusieurs structures techniques dont la Direction Générale de l’Environnement (DGE). </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Institut de Biodiversité et des Aires Protégées (IBAP) :</w:t>
      </w:r>
    </w:p>
    <w:p w:rsidR="00B805ED" w:rsidRPr="00A05698" w:rsidRDefault="00B805ED" w:rsidP="00A66A76">
      <w:pPr>
        <w:spacing w:before="120" w:after="120"/>
        <w:jc w:val="both"/>
        <w:rPr>
          <w:spacing w:val="-2"/>
        </w:rPr>
      </w:pPr>
      <w:r w:rsidRPr="00A05698">
        <w:rPr>
          <w:spacing w:val="-2"/>
        </w:rPr>
        <w:t xml:space="preserve">L’IBAP est responsable de la gestion des </w:t>
      </w:r>
      <w:r>
        <w:t xml:space="preserve">aires protégées </w:t>
      </w:r>
      <w:r w:rsidRPr="00A05698">
        <w:rPr>
          <w:spacing w:val="-2"/>
        </w:rPr>
        <w:t>et du suivi des principales valeurs de la biodiversité (espèces, et habitats menacés) en Guinée-Bissau. L’IBAP a une autonomie administrative et financière pouvant assurer une continuité et une stabilité vis-à-vis de sa capacité de mener à bien les activités qui lui sont confiées. Il sera renforcé avec la mise en place d’une Fondation de la Biodiversité qui va garantir un financement durable du réseau des aires protégées et des activités liées à la conservation de la biodiversité.</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La Direction Générale de l’environnement (DGE)</w:t>
      </w:r>
    </w:p>
    <w:p w:rsidR="00B805ED" w:rsidRPr="00A05698" w:rsidRDefault="00B805ED" w:rsidP="00A66A76">
      <w:pPr>
        <w:spacing w:before="120" w:after="120"/>
        <w:jc w:val="both"/>
        <w:rPr>
          <w:spacing w:val="-2"/>
        </w:rPr>
      </w:pPr>
      <w:r w:rsidRPr="00A05698">
        <w:rPr>
          <w:spacing w:val="-2"/>
        </w:rPr>
        <w:t>La DGE est l’institution chargée de la mise en œuvre et du suivi de la politique environnementale et de développement durable. Elle a pour mission l’élaboration des éléments de la politique nationale en matière d’environnement et de développement durable. Elle doit également participer au suivi de la mise en œuvre des PGES</w:t>
      </w:r>
      <w:r>
        <w:rPr>
          <w:spacing w:val="-2"/>
        </w:rPr>
        <w:t xml:space="preserve">, et </w:t>
      </w:r>
      <w:r w:rsidRPr="0079471A">
        <w:rPr>
          <w:spacing w:val="-2"/>
        </w:rPr>
        <w:t>conformément toutes les mesures indiquées dans le plan d'engagement environnemental et social du projet</w:t>
      </w:r>
      <w:r>
        <w:rPr>
          <w:spacing w:val="-2"/>
        </w:rPr>
        <w:t>)</w:t>
      </w:r>
      <w:r w:rsidRPr="00A05698">
        <w:rPr>
          <w:spacing w:val="-2"/>
        </w:rPr>
        <w:t xml:space="preserve">, des plans, politiques et programmes. </w:t>
      </w: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 xml:space="preserve">Autorité d’Evaluation Environnementale Compétente (AAAC) </w:t>
      </w:r>
    </w:p>
    <w:p w:rsidR="00B805ED" w:rsidRPr="00A05698" w:rsidRDefault="00B805ED" w:rsidP="00A66A76">
      <w:pPr>
        <w:spacing w:before="120" w:after="120"/>
        <w:jc w:val="both"/>
        <w:rPr>
          <w:spacing w:val="-2"/>
        </w:rPr>
      </w:pPr>
      <w:r w:rsidRPr="00A05698">
        <w:rPr>
          <w:spacing w:val="-2"/>
        </w:rPr>
        <w:t>L’Autorité d’Evaluation Environnementale Compétente (AAAC) est rattachée au Secrétariat d’Etat à l’Environnement</w:t>
      </w:r>
      <w:r>
        <w:rPr>
          <w:spacing w:val="-2"/>
        </w:rPr>
        <w:t xml:space="preserve"> et aussi </w:t>
      </w:r>
      <w:r w:rsidRPr="00A66A76">
        <w:rPr>
          <w:spacing w:val="-2"/>
        </w:rPr>
        <w:t>de la responsabilité de de donner des licences environnementales (Décret n° 08/2017 du 16 Juin 2017)</w:t>
      </w:r>
      <w:r w:rsidRPr="003D6EB1">
        <w:rPr>
          <w:spacing w:val="-2"/>
        </w:rPr>
        <w:t>.</w:t>
      </w:r>
      <w:r w:rsidRPr="00A05698">
        <w:rPr>
          <w:spacing w:val="-2"/>
        </w:rPr>
        <w:t xml:space="preserve"> Elle est chargée de la coordination et du suivi de toute la procédure d’Evaluation Environnementale en Guinée Bissau. L’AAAC dispose de compétences humaines réduites dans le domaine des Evaluations et Etudes </w:t>
      </w:r>
      <w:r w:rsidRPr="00A05698">
        <w:rPr>
          <w:spacing w:val="-2"/>
        </w:rPr>
        <w:lastRenderedPageBreak/>
        <w:t>d’Impacts sur l’Environnement même si elle s’appuie sur des institutions sectorielles pour mener à bien sa mission. En effet, elle ne dispose pas de points focaux au niveau régional telle que le prévoit les textes juridiques.</w:t>
      </w:r>
      <w:r w:rsidRPr="00A05698" w:rsidDel="00A83F7C">
        <w:rPr>
          <w:spacing w:val="-2"/>
        </w:rPr>
        <w:t xml:space="preserve"> </w:t>
      </w:r>
    </w:p>
    <w:p w:rsidR="00B805ED" w:rsidRPr="00A05698" w:rsidRDefault="00B805ED" w:rsidP="00A66A76">
      <w:pPr>
        <w:spacing w:before="120" w:after="120"/>
        <w:jc w:val="both"/>
        <w:rPr>
          <w:spacing w:val="-2"/>
        </w:rPr>
      </w:pPr>
      <w:r w:rsidRPr="00A05698">
        <w:rPr>
          <w:spacing w:val="-2"/>
        </w:rPr>
        <w:t xml:space="preserve">Ces Points Focaux devraient </w:t>
      </w:r>
      <w:r>
        <w:rPr>
          <w:spacing w:val="-2"/>
        </w:rPr>
        <w:t xml:space="preserve">être </w:t>
      </w:r>
      <w:r w:rsidRPr="00A05698">
        <w:rPr>
          <w:spacing w:val="-2"/>
        </w:rPr>
        <w:t>représenter (puisqu’ils ne sont pas encore mis en place) leurs ministères respectifs lors des séances d’examen et de validation des EIES</w:t>
      </w:r>
      <w:r w:rsidR="00CB2810">
        <w:rPr>
          <w:spacing w:val="-2"/>
        </w:rPr>
        <w:t xml:space="preserve"> et A</w:t>
      </w:r>
      <w:r w:rsidR="00D7161E">
        <w:rPr>
          <w:spacing w:val="-2"/>
        </w:rPr>
        <w:t>EI</w:t>
      </w:r>
      <w:r w:rsidRPr="00A05698">
        <w:rPr>
          <w:spacing w:val="-2"/>
        </w:rPr>
        <w:t>. Ils animent au sein de leurs départements respectifs la fonction environnementale et veillent à l’intégration des préoccupations environnementales et sociales dans leurs programmes et projets sectoriels.</w:t>
      </w:r>
    </w:p>
    <w:p w:rsidR="00B805ED" w:rsidRPr="00A05698" w:rsidRDefault="00BB7875" w:rsidP="00B805ED">
      <w:pPr>
        <w:pStyle w:val="Cabealho3"/>
        <w:numPr>
          <w:ilvl w:val="0"/>
          <w:numId w:val="0"/>
        </w:numPr>
        <w:spacing w:after="240"/>
        <w:ind w:left="708" w:right="-283"/>
        <w:rPr>
          <w:rFonts w:ascii="Times New Roman" w:hAnsi="Times New Roman"/>
          <w:sz w:val="24"/>
          <w:szCs w:val="24"/>
        </w:rPr>
      </w:pPr>
      <w:r>
        <w:rPr>
          <w:rFonts w:ascii="Times New Roman" w:hAnsi="Times New Roman"/>
          <w:sz w:val="24"/>
          <w:szCs w:val="24"/>
        </w:rPr>
        <w:t>3</w:t>
      </w:r>
      <w:r w:rsidR="00B805ED" w:rsidRPr="00A05698">
        <w:rPr>
          <w:rFonts w:ascii="Times New Roman" w:hAnsi="Times New Roman"/>
          <w:sz w:val="24"/>
          <w:szCs w:val="24"/>
        </w:rPr>
        <w:t>.3.3</w:t>
      </w:r>
      <w:r w:rsidR="00B805ED" w:rsidRPr="00A05698">
        <w:rPr>
          <w:rFonts w:ascii="Times New Roman" w:hAnsi="Times New Roman"/>
          <w:sz w:val="24"/>
          <w:szCs w:val="24"/>
        </w:rPr>
        <w:tab/>
        <w:t xml:space="preserve">Les acteurs non gouvernementaux </w:t>
      </w:r>
    </w:p>
    <w:p w:rsidR="00B805ED" w:rsidRPr="00A05698" w:rsidRDefault="00B805ED" w:rsidP="00A66A76">
      <w:pPr>
        <w:spacing w:before="120"/>
        <w:jc w:val="both"/>
        <w:rPr>
          <w:spacing w:val="-2"/>
        </w:rPr>
      </w:pPr>
      <w:r w:rsidRPr="00A05698">
        <w:rPr>
          <w:spacing w:val="-2"/>
        </w:rPr>
        <w:t xml:space="preserve">Il existe de nombreuses associations locales, culturelles ou par groupe d’âge, mais les groupements de producteurs sont encore peu nombreux et relativement peu organisés. La plupart des associations et groupements ont été créés sur la base des activités ponctuelles et en tant que préalable aux appuis proposés. </w:t>
      </w:r>
    </w:p>
    <w:p w:rsidR="00A66A76" w:rsidRDefault="00B805ED" w:rsidP="00A66A76">
      <w:pPr>
        <w:spacing w:before="120"/>
        <w:jc w:val="both"/>
        <w:rPr>
          <w:spacing w:val="-2"/>
        </w:rPr>
      </w:pPr>
      <w:r w:rsidRPr="00A05698">
        <w:rPr>
          <w:spacing w:val="-2"/>
        </w:rPr>
        <w:t>Les principales contraintes qui limitent leur développement sont : (i) la législation mal adaptée aux conditions actuelles de production et de commercialisation des produits agricoles ; (ii) la difficulté à</w:t>
      </w:r>
      <w:r w:rsidRPr="00A66A76">
        <w:rPr>
          <w:spacing w:val="-2"/>
        </w:rPr>
        <w:t xml:space="preserve"> obtenir une reconnaissance légale ; (iii) l’insuffisance de formation des responsables, particulièrement en ce qui concerne la gestion et l’animation ; et (iv) le manque d’accès aux informations techniques et sur les marchés. </w:t>
      </w:r>
    </w:p>
    <w:p w:rsidR="00A66A76" w:rsidRPr="00A66A76" w:rsidRDefault="00A66A76" w:rsidP="000432DA">
      <w:pPr>
        <w:jc w:val="both"/>
        <w:rPr>
          <w:spacing w:val="-2"/>
        </w:rPr>
      </w:pP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 xml:space="preserve">Association Nationale des Agriculteurs de Guinée Bissau (ANAG) </w:t>
      </w:r>
    </w:p>
    <w:p w:rsidR="00B805ED" w:rsidRDefault="00B805ED" w:rsidP="00A66A76">
      <w:pPr>
        <w:spacing w:before="120"/>
        <w:jc w:val="both"/>
        <w:rPr>
          <w:spacing w:val="-2"/>
        </w:rPr>
      </w:pPr>
      <w:r w:rsidRPr="00A05698">
        <w:rPr>
          <w:spacing w:val="-2"/>
        </w:rPr>
        <w:t xml:space="preserve">L’association nationale des agriculteurs guinéens (ANAG) a été créée en 1992 dans le but de représenter les intérêts de tous les agriculteurs guinéens, petits et moyens, en vue d’assurer : (i) l’amélioration de leurs conditions de travail ; (ii) la maximisation de leurs revenus ; et (iii) l’utilisation rationnelle des moyens d’investissement. Elle compte 1.245 membres, soit 800 à l’Est, 145 au Nord, 150 au Sud et 150 à Bissau et ses proximités et est représentée dans trois provinces du pays. Elle appuie ses membres dans les domaines de la production, la transformation, la conservation, la commercialisation, la recherche de débouchés surtout pour les exportations et l’élargissement de la connaissance sur les facilités d’investissement telles que le crédit. </w:t>
      </w:r>
    </w:p>
    <w:p w:rsidR="003D13A9" w:rsidRDefault="00B805ED" w:rsidP="00A66A76">
      <w:pPr>
        <w:spacing w:before="120"/>
        <w:jc w:val="both"/>
        <w:rPr>
          <w:spacing w:val="-2"/>
        </w:rPr>
      </w:pPr>
      <w:r w:rsidRPr="00A05698">
        <w:rPr>
          <w:spacing w:val="-2"/>
        </w:rPr>
        <w:t xml:space="preserve">Faute de moyens, les activités de l’ANAG n’ont eu qu’une faible incidence sur ses membres, en particulier dans le domaine de la formation. </w:t>
      </w:r>
      <w:r>
        <w:rPr>
          <w:spacing w:val="-2"/>
        </w:rPr>
        <w:t>Car</w:t>
      </w:r>
      <w:r w:rsidRPr="00A05698">
        <w:rPr>
          <w:spacing w:val="-2"/>
        </w:rPr>
        <w:t xml:space="preserve">, il n’en demeure pas moins qu’il lui manque des moyens et de l’expérience pour bien conduire sa mission. Elle doit procéder à une profonde restructuration et bénéficier d’un important programme de renforcement de capacités. </w:t>
      </w:r>
    </w:p>
    <w:p w:rsidR="00B805ED" w:rsidRDefault="00B805ED" w:rsidP="000432DA">
      <w:pPr>
        <w:ind w:left="-284"/>
        <w:jc w:val="both"/>
        <w:rPr>
          <w:spacing w:val="-2"/>
        </w:rPr>
      </w:pPr>
    </w:p>
    <w:p w:rsidR="00B805ED" w:rsidRPr="00A05698" w:rsidRDefault="00B805ED" w:rsidP="00B805ED">
      <w:pPr>
        <w:pStyle w:val="PargrafodaLista"/>
        <w:numPr>
          <w:ilvl w:val="0"/>
          <w:numId w:val="41"/>
        </w:numPr>
        <w:spacing w:line="240" w:lineRule="auto"/>
        <w:ind w:left="709" w:right="-283" w:hanging="425"/>
        <w:rPr>
          <w:rFonts w:ascii="Times New Roman" w:hAnsi="Times New Roman"/>
          <w:b/>
          <w:sz w:val="24"/>
          <w:szCs w:val="24"/>
          <w:lang w:bidi="fr-FR"/>
        </w:rPr>
      </w:pPr>
      <w:r w:rsidRPr="00A05698">
        <w:rPr>
          <w:rFonts w:ascii="Times New Roman" w:hAnsi="Times New Roman"/>
          <w:b/>
          <w:sz w:val="24"/>
          <w:szCs w:val="24"/>
          <w:lang w:bidi="fr-FR"/>
        </w:rPr>
        <w:t xml:space="preserve">AMAE </w:t>
      </w:r>
    </w:p>
    <w:p w:rsidR="00B805ED" w:rsidRPr="00915332" w:rsidRDefault="00B805ED" w:rsidP="000432DA">
      <w:pPr>
        <w:spacing w:before="120"/>
        <w:jc w:val="both"/>
      </w:pPr>
      <w:r w:rsidRPr="00A05698">
        <w:rPr>
          <w:spacing w:val="-2"/>
        </w:rPr>
        <w:t>L’Association des Femmes pour les Activités Economiques (AMAE), créée en 1992, compte sur plus de 8.000 membres provenant du secteur formel et informel, dont 90% de femmes rurales, et 80 associations de base. Les postes de responsabilité à l’AMAE sont occupés surtout par les femmes (entrepreneurs) de Bissau, bien qu’elles ne représentent que 10% des adhérentes. L’AMAE défend les intérêts des femmes menant des activités économiques et fournit un appui substantiel aux différentes organisations de base qu’elle encadre, dans le domaine de la légalisation de leurs organisations, de l’alphabétisation fonctionnelle, du micro-crédit, de la recherche de financement, de la gestion, de la commercialisation</w:t>
      </w:r>
      <w:r>
        <w:rPr>
          <w:spacing w:val="-2"/>
        </w:rPr>
        <w:t xml:space="preserve"> </w:t>
      </w:r>
      <w:r w:rsidRPr="00A05698">
        <w:rPr>
          <w:spacing w:val="-2"/>
        </w:rPr>
        <w:t xml:space="preserve">(Recherche de services, etc.). D’une façon générale, le principal domaine d ́activité des femmes d’AMAE est le petit commerce mais il existe aussi les activités de production, de transformation et de commercialisation des produits agricoles. </w:t>
      </w:r>
    </w:p>
    <w:p w:rsidR="00B805ED" w:rsidRPr="004F0DC1" w:rsidRDefault="00E10344" w:rsidP="004F0DC1">
      <w:pPr>
        <w:pStyle w:val="PargrafodaLista"/>
        <w:keepNext/>
        <w:spacing w:before="240" w:after="240"/>
        <w:ind w:left="450" w:right="284" w:hanging="450"/>
        <w:jc w:val="both"/>
        <w:outlineLvl w:val="1"/>
        <w:rPr>
          <w:rFonts w:ascii="Times New Roman" w:hAnsi="Times New Roman"/>
          <w:b/>
          <w:sz w:val="24"/>
          <w:szCs w:val="24"/>
        </w:rPr>
      </w:pPr>
      <w:bookmarkStart w:id="180" w:name="_Toc75432287"/>
      <w:r>
        <w:rPr>
          <w:rFonts w:ascii="Times New Roman" w:hAnsi="Times New Roman"/>
          <w:b/>
          <w:sz w:val="24"/>
          <w:szCs w:val="24"/>
        </w:rPr>
        <w:lastRenderedPageBreak/>
        <w:t xml:space="preserve"> </w:t>
      </w:r>
      <w:r w:rsidR="004F0DC1" w:rsidRPr="004F0DC1">
        <w:rPr>
          <w:rFonts w:ascii="Times New Roman" w:hAnsi="Times New Roman"/>
          <w:b/>
          <w:sz w:val="24"/>
          <w:szCs w:val="24"/>
        </w:rPr>
        <w:t>3.4 LES NORMES ENVIRONNEMENTALES ET SOCIALES DE LA BANQUE MONDIALE</w:t>
      </w:r>
      <w:bookmarkEnd w:id="180"/>
    </w:p>
    <w:p w:rsidR="00B805ED" w:rsidRPr="00A05698" w:rsidRDefault="00B805ED" w:rsidP="000432DA">
      <w:pPr>
        <w:spacing w:before="120"/>
        <w:jc w:val="both"/>
        <w:rPr>
          <w:spacing w:val="-2"/>
        </w:rPr>
      </w:pPr>
      <w:r w:rsidRPr="00A05698">
        <w:rPr>
          <w:spacing w:val="-2"/>
        </w:rPr>
        <w:t xml:space="preserve">Les Normes environnementales et sociales énoncent les obligations des Emprunteurs en matière d’identification et d’évaluation des risques et effets environnementaux et sociaux des projets appuyés par la Banque au moyen du Financement de projets d’investissement. La Banque estime que l’application de ces normes, en mettant l’accent sur l’identification et la gestion des risques environnementaux et sociaux, permettra aux Emprunteurs de réaliser leur objectif de réduction de la pauvreté et d’accroissement de la prospérité d’une façon durable pour le bien de leurs citoyens et de l’environnement. </w:t>
      </w:r>
    </w:p>
    <w:p w:rsidR="00B805ED" w:rsidRPr="00A05698" w:rsidRDefault="00B805ED" w:rsidP="000432DA">
      <w:pPr>
        <w:spacing w:before="120"/>
        <w:jc w:val="both"/>
        <w:rPr>
          <w:spacing w:val="-2"/>
        </w:rPr>
      </w:pPr>
      <w:r w:rsidRPr="00A05698">
        <w:rPr>
          <w:spacing w:val="-2"/>
        </w:rPr>
        <w:t xml:space="preserve">Ces normes vont : </w:t>
      </w:r>
    </w:p>
    <w:p w:rsidR="00B805ED" w:rsidRPr="000D499C" w:rsidRDefault="00B805ED" w:rsidP="00B805ED">
      <w:pPr>
        <w:pStyle w:val="Primeiroavanodecorpodetexto2"/>
        <w:spacing w:after="0" w:line="240" w:lineRule="auto"/>
        <w:ind w:left="426" w:hanging="283"/>
        <w:rPr>
          <w:rFonts w:ascii="Times New Roman" w:hAnsi="Times New Roman"/>
          <w:lang w:eastAsia="en-US"/>
        </w:rPr>
      </w:pPr>
      <w:r w:rsidRPr="00A05698">
        <w:rPr>
          <w:rFonts w:ascii="Times New Roman" w:hAnsi="Times New Roman"/>
          <w:sz w:val="24"/>
          <w:szCs w:val="24"/>
          <w:lang w:eastAsia="en-US"/>
        </w:rPr>
        <w:t xml:space="preserve">a) </w:t>
      </w:r>
      <w:r w:rsidRPr="000D499C">
        <w:rPr>
          <w:rFonts w:ascii="Times New Roman" w:hAnsi="Times New Roman"/>
          <w:lang w:eastAsia="en-US"/>
        </w:rPr>
        <w:t xml:space="preserve">aider les Emprunteurs à appliquer de bonnes pratiques internationales en matière de viabilité environnementale et sociale ; </w:t>
      </w:r>
    </w:p>
    <w:p w:rsidR="00B805ED" w:rsidRPr="000D499C" w:rsidRDefault="00B805ED" w:rsidP="00B805ED">
      <w:pPr>
        <w:pStyle w:val="Primeiroavanodecorpodetexto2"/>
        <w:spacing w:after="0" w:line="240" w:lineRule="auto"/>
        <w:ind w:left="426" w:hanging="283"/>
        <w:rPr>
          <w:rFonts w:ascii="Times New Roman" w:hAnsi="Times New Roman"/>
          <w:lang w:eastAsia="en-US"/>
        </w:rPr>
      </w:pPr>
      <w:r w:rsidRPr="000D499C">
        <w:rPr>
          <w:rFonts w:ascii="Times New Roman" w:hAnsi="Times New Roman"/>
          <w:lang w:eastAsia="en-US"/>
        </w:rPr>
        <w:t xml:space="preserve">b) aider les Emprunteurs à s’acquitter de leurs obligations environnementales et sociales au niveau national et international ; </w:t>
      </w:r>
    </w:p>
    <w:p w:rsidR="00B805ED" w:rsidRPr="000D499C" w:rsidRDefault="00B805ED" w:rsidP="00B805ED">
      <w:pPr>
        <w:pStyle w:val="Primeiroavanodecorpodetexto2"/>
        <w:spacing w:after="0" w:line="240" w:lineRule="auto"/>
        <w:ind w:left="426" w:hanging="283"/>
        <w:rPr>
          <w:rFonts w:ascii="Times New Roman" w:hAnsi="Times New Roman"/>
          <w:lang w:eastAsia="en-US"/>
        </w:rPr>
      </w:pPr>
      <w:r w:rsidRPr="000D499C">
        <w:rPr>
          <w:rFonts w:ascii="Times New Roman" w:hAnsi="Times New Roman"/>
          <w:lang w:eastAsia="en-US"/>
        </w:rPr>
        <w:t xml:space="preserve">c) favoriser la non-discrimination, la transparence, la participation, la responsabilisation et la gouvernance ; et </w:t>
      </w:r>
    </w:p>
    <w:p w:rsidR="00B805ED" w:rsidRPr="000D499C" w:rsidRDefault="00B805ED" w:rsidP="00B805ED">
      <w:pPr>
        <w:pStyle w:val="Primeiroavanodecorpodetexto2"/>
        <w:spacing w:after="0" w:line="240" w:lineRule="auto"/>
        <w:ind w:left="426" w:hanging="283"/>
        <w:rPr>
          <w:rFonts w:ascii="Times New Roman" w:hAnsi="Times New Roman"/>
          <w:lang w:eastAsia="en-US"/>
        </w:rPr>
      </w:pPr>
      <w:r w:rsidRPr="000D499C">
        <w:rPr>
          <w:rFonts w:ascii="Times New Roman" w:hAnsi="Times New Roman"/>
          <w:lang w:eastAsia="en-US"/>
        </w:rPr>
        <w:t xml:space="preserve">d) contribuer à améliorer les résultats des projets en matière de développement durable grâce à l’adhésion permanente des parties prenantes. </w:t>
      </w:r>
    </w:p>
    <w:p w:rsidR="00B805ED" w:rsidRPr="008450CC" w:rsidRDefault="00B805ED" w:rsidP="000432DA">
      <w:pPr>
        <w:spacing w:before="120"/>
        <w:jc w:val="both"/>
        <w:rPr>
          <w:lang w:bidi="fr-FR"/>
        </w:rPr>
      </w:pPr>
      <w:r>
        <w:rPr>
          <w:lang w:bidi="fr-FR"/>
        </w:rPr>
        <w:t>Il sied de noter que seront d’application l</w:t>
      </w:r>
      <w:r w:rsidRPr="008450CC">
        <w:rPr>
          <w:lang w:bidi="fr-FR"/>
        </w:rPr>
        <w:t xml:space="preserve">es recommandations </w:t>
      </w:r>
      <w:r w:rsidRPr="00877296">
        <w:t>et bonnes pratiques de la Guide de Ressources sur la Violence avec les Femmes et les Filles recueillent dans la Note Sectorielle de</w:t>
      </w:r>
      <w:r w:rsidRPr="008450CC">
        <w:rPr>
          <w:lang w:bidi="fr-FR"/>
        </w:rPr>
        <w:t xml:space="preserve"> </w:t>
      </w:r>
      <w:r>
        <w:rPr>
          <w:lang w:bidi="fr-FR"/>
        </w:rPr>
        <w:t>Protection Social</w:t>
      </w:r>
      <w:r>
        <w:rPr>
          <w:rStyle w:val="Refdenotaderodap"/>
          <w:lang w:bidi="fr-FR"/>
        </w:rPr>
        <w:footnoteReference w:id="2"/>
      </w:r>
      <w:r>
        <w:rPr>
          <w:lang w:bidi="fr-FR"/>
        </w:rPr>
        <w:t xml:space="preserve">  </w:t>
      </w:r>
      <w:r w:rsidRPr="008450CC">
        <w:rPr>
          <w:lang w:bidi="fr-FR"/>
        </w:rPr>
        <w:t xml:space="preserve">pour l´enrichissement des mesures de prévention, atténuation et réponse aux risques EAS/HS liés au projet. </w:t>
      </w:r>
    </w:p>
    <w:p w:rsidR="00B805ED" w:rsidRPr="00A05698" w:rsidRDefault="00B805ED" w:rsidP="00B805ED">
      <w:pPr>
        <w:pStyle w:val="Primeiroavanodecorpodetexto2"/>
        <w:spacing w:after="0" w:line="240" w:lineRule="auto"/>
        <w:rPr>
          <w:rFonts w:ascii="Times New Roman" w:hAnsi="Times New Roman"/>
          <w:sz w:val="24"/>
          <w:szCs w:val="24"/>
          <w:lang w:eastAsia="en-US"/>
        </w:rPr>
      </w:pPr>
    </w:p>
    <w:p w:rsidR="00B805ED" w:rsidRPr="00A05698" w:rsidRDefault="00B805ED" w:rsidP="00B805ED">
      <w:pPr>
        <w:pStyle w:val="Legenda"/>
        <w:jc w:val="center"/>
      </w:pPr>
      <w:bookmarkStart w:id="181" w:name="_Toc75503441"/>
      <w:r w:rsidRPr="00A05698">
        <w:t xml:space="preserve">Tableau </w:t>
      </w:r>
      <w:r w:rsidR="004E1203">
        <w:fldChar w:fldCharType="begin"/>
      </w:r>
      <w:r w:rsidR="004E1203">
        <w:instrText xml:space="preserve"> SEQ Tableau \* ARABIC </w:instrText>
      </w:r>
      <w:r w:rsidR="004E1203">
        <w:fldChar w:fldCharType="separate"/>
      </w:r>
      <w:r w:rsidR="00BB7875">
        <w:rPr>
          <w:noProof/>
        </w:rPr>
        <w:t>7</w:t>
      </w:r>
      <w:r w:rsidR="004E1203">
        <w:rPr>
          <w:noProof/>
        </w:rPr>
        <w:fldChar w:fldCharType="end"/>
      </w:r>
      <w:r w:rsidRPr="00A05698">
        <w:t>: Normes environnementales et sociales de la banque mondiale</w:t>
      </w:r>
      <w:bookmarkEnd w:id="181"/>
    </w:p>
    <w:tbl>
      <w:tblPr>
        <w:tblStyle w:val="Tabelacomgrelha"/>
        <w:tblW w:w="10339" w:type="dxa"/>
        <w:tblInd w:w="-426" w:type="dxa"/>
        <w:tblLook w:val="04A0" w:firstRow="1" w:lastRow="0" w:firstColumn="1" w:lastColumn="0" w:noHBand="0" w:noVBand="1"/>
      </w:tblPr>
      <w:tblGrid>
        <w:gridCol w:w="2934"/>
        <w:gridCol w:w="4353"/>
        <w:gridCol w:w="3052"/>
      </w:tblGrid>
      <w:tr w:rsidR="00B805ED" w:rsidRPr="000432DA" w:rsidTr="008D4CD7">
        <w:trPr>
          <w:trHeight w:val="67"/>
        </w:trPr>
        <w:tc>
          <w:tcPr>
            <w:tcW w:w="2934" w:type="dxa"/>
            <w:shd w:val="clear" w:color="auto" w:fill="FFE599" w:themeFill="accent4" w:themeFillTint="66"/>
            <w:vAlign w:val="center"/>
          </w:tcPr>
          <w:p w:rsidR="00B805ED" w:rsidRPr="000432DA" w:rsidRDefault="00B805ED" w:rsidP="008D4CD7">
            <w:pPr>
              <w:widowControl w:val="0"/>
              <w:autoSpaceDE w:val="0"/>
              <w:autoSpaceDN w:val="0"/>
              <w:adjustRightInd w:val="0"/>
              <w:jc w:val="center"/>
              <w:rPr>
                <w:b/>
                <w:bCs/>
              </w:rPr>
            </w:pPr>
            <w:r w:rsidRPr="000432DA">
              <w:rPr>
                <w:b/>
                <w:bCs/>
              </w:rPr>
              <w:t>NES déclenché</w:t>
            </w:r>
          </w:p>
        </w:tc>
        <w:tc>
          <w:tcPr>
            <w:tcW w:w="4353" w:type="dxa"/>
            <w:shd w:val="clear" w:color="auto" w:fill="FFE599" w:themeFill="accent4" w:themeFillTint="66"/>
            <w:vAlign w:val="center"/>
          </w:tcPr>
          <w:p w:rsidR="00B805ED" w:rsidRPr="000432DA" w:rsidRDefault="00B805ED" w:rsidP="008D4CD7">
            <w:pPr>
              <w:widowControl w:val="0"/>
              <w:autoSpaceDE w:val="0"/>
              <w:autoSpaceDN w:val="0"/>
              <w:adjustRightInd w:val="0"/>
              <w:jc w:val="center"/>
              <w:rPr>
                <w:b/>
                <w:color w:val="000000"/>
                <w:lang w:eastAsia="en-US"/>
              </w:rPr>
            </w:pPr>
            <w:r w:rsidRPr="000432DA">
              <w:rPr>
                <w:b/>
                <w:bCs/>
              </w:rPr>
              <w:t>OBJECTIF</w:t>
            </w:r>
          </w:p>
        </w:tc>
        <w:tc>
          <w:tcPr>
            <w:tcW w:w="3052" w:type="dxa"/>
            <w:shd w:val="clear" w:color="auto" w:fill="FFE599" w:themeFill="accent4" w:themeFillTint="66"/>
            <w:vAlign w:val="center"/>
          </w:tcPr>
          <w:p w:rsidR="00B805ED" w:rsidRPr="000432DA" w:rsidRDefault="00B805ED" w:rsidP="008D4CD7">
            <w:pPr>
              <w:widowControl w:val="0"/>
              <w:autoSpaceDE w:val="0"/>
              <w:autoSpaceDN w:val="0"/>
              <w:adjustRightInd w:val="0"/>
              <w:jc w:val="center"/>
              <w:rPr>
                <w:b/>
                <w:bCs/>
              </w:rPr>
            </w:pPr>
            <w:r w:rsidRPr="000432DA">
              <w:rPr>
                <w:b/>
                <w:bCs/>
              </w:rPr>
              <w:t>Pertinence</w:t>
            </w:r>
          </w:p>
          <w:p w:rsidR="00B805ED" w:rsidRPr="000432DA" w:rsidRDefault="00B805ED" w:rsidP="008D4CD7">
            <w:pPr>
              <w:widowControl w:val="0"/>
              <w:autoSpaceDE w:val="0"/>
              <w:autoSpaceDN w:val="0"/>
              <w:adjustRightInd w:val="0"/>
              <w:jc w:val="center"/>
              <w:rPr>
                <w:b/>
                <w:bCs/>
              </w:rPr>
            </w:pPr>
            <w:r w:rsidRPr="000432DA">
              <w:rPr>
                <w:b/>
                <w:bCs/>
              </w:rPr>
              <w:t>par rapport au projet</w:t>
            </w:r>
          </w:p>
        </w:tc>
      </w:tr>
      <w:tr w:rsidR="00B805ED" w:rsidRPr="000432DA" w:rsidTr="008D4CD7">
        <w:trPr>
          <w:trHeight w:val="1961"/>
        </w:trPr>
        <w:tc>
          <w:tcPr>
            <w:tcW w:w="2934" w:type="dxa"/>
            <w:vAlign w:val="center"/>
          </w:tcPr>
          <w:p w:rsidR="00B805ED" w:rsidRPr="000432DA" w:rsidRDefault="00B805ED" w:rsidP="008D4CD7">
            <w:pPr>
              <w:widowControl w:val="0"/>
              <w:autoSpaceDE w:val="0"/>
              <w:autoSpaceDN w:val="0"/>
              <w:adjustRightInd w:val="0"/>
              <w:jc w:val="center"/>
              <w:rPr>
                <w:b/>
                <w:color w:val="000000"/>
                <w:lang w:eastAsia="en-US"/>
              </w:rPr>
            </w:pPr>
            <w:r w:rsidRPr="000432DA">
              <w:rPr>
                <w:b/>
                <w:color w:val="000000"/>
                <w:lang w:eastAsia="en-US"/>
              </w:rPr>
              <w:t>Norme environnementale et sociale n° 1 : Évaluation et gestion des risques et effets environnementaux et sociaux ;</w:t>
            </w:r>
          </w:p>
          <w:p w:rsidR="00B805ED" w:rsidRPr="000432DA" w:rsidRDefault="00B805ED" w:rsidP="008D4CD7">
            <w:pPr>
              <w:widowControl w:val="0"/>
              <w:autoSpaceDE w:val="0"/>
              <w:autoSpaceDN w:val="0"/>
              <w:adjustRightInd w:val="0"/>
              <w:jc w:val="center"/>
              <w:rPr>
                <w:b/>
                <w:color w:val="000000"/>
                <w:lang w:eastAsia="en-US"/>
              </w:rPr>
            </w:pPr>
          </w:p>
        </w:tc>
        <w:tc>
          <w:tcPr>
            <w:tcW w:w="4353" w:type="dxa"/>
          </w:tcPr>
          <w:p w:rsidR="00B805ED" w:rsidRPr="000432DA" w:rsidRDefault="00B805ED" w:rsidP="008D4CD7">
            <w:pPr>
              <w:widowControl w:val="0"/>
              <w:autoSpaceDE w:val="0"/>
              <w:autoSpaceDN w:val="0"/>
              <w:adjustRightInd w:val="0"/>
              <w:jc w:val="both"/>
              <w:rPr>
                <w:color w:val="000000"/>
                <w:lang w:eastAsia="en-US"/>
              </w:rPr>
            </w:pPr>
            <w:r w:rsidRPr="000432DA">
              <w:rPr>
                <w:color w:val="000000"/>
                <w:lang w:eastAsia="en-US"/>
              </w:rPr>
              <w:t xml:space="preserve">- Déterminer, évaluer et gérer les risques et effets environnementaux et sociaux du projet d’une manière compatible avec les NES. </w:t>
            </w:r>
          </w:p>
          <w:p w:rsidR="00B805ED" w:rsidRPr="000432DA" w:rsidRDefault="00B805ED" w:rsidP="008D4CD7">
            <w:pPr>
              <w:widowControl w:val="0"/>
              <w:autoSpaceDE w:val="0"/>
              <w:autoSpaceDN w:val="0"/>
              <w:adjustRightInd w:val="0"/>
              <w:jc w:val="both"/>
              <w:rPr>
                <w:color w:val="000000"/>
                <w:lang w:eastAsia="en-US"/>
              </w:rPr>
            </w:pPr>
            <w:r w:rsidRPr="000432DA">
              <w:rPr>
                <w:color w:val="000000"/>
                <w:lang w:eastAsia="en-US"/>
              </w:rPr>
              <w:t xml:space="preserve">- Adopter une approche de hiérarchie d’atténuation consistant à : a) anticiper et éviter les risques et les impacts ; b) lorsqu’il n’est pas possible de les éviter, minimiser ou réduire les risques et les impacts à des niveaux acceptables ; c) une fois que les risques et les impacts ont été minimisés ou réduits, les atténuer ; et d) lorsque les impacts résiduels sont importants, les compenser ou les neutraliser dans la mesure où cela est techniquement et financièrement faisable. </w:t>
            </w:r>
          </w:p>
          <w:p w:rsidR="00B805ED" w:rsidRPr="000432DA" w:rsidRDefault="00B805ED" w:rsidP="008D4CD7">
            <w:pPr>
              <w:widowControl w:val="0"/>
              <w:autoSpaceDE w:val="0"/>
              <w:autoSpaceDN w:val="0"/>
              <w:adjustRightInd w:val="0"/>
              <w:jc w:val="both"/>
              <w:rPr>
                <w:color w:val="000000"/>
                <w:lang w:eastAsia="en-US"/>
              </w:rPr>
            </w:pPr>
            <w:r w:rsidRPr="000432DA">
              <w:rPr>
                <w:color w:val="000000"/>
                <w:lang w:eastAsia="en-US"/>
              </w:rPr>
              <w:lastRenderedPageBreak/>
              <w:t xml:space="preserve">- Adopter des mesures différenciées de sorte que les impacts négatifs ne touchent pas de façon disproportionnée les personnes défavorisées ou vulnérables, et que celles-ci ne soient pas lésées dans le partage des avantages et opportunités de développement qu’offre le projet. </w:t>
            </w:r>
          </w:p>
        </w:tc>
        <w:tc>
          <w:tcPr>
            <w:tcW w:w="3052" w:type="dxa"/>
          </w:tcPr>
          <w:p w:rsidR="00467E72" w:rsidRPr="000432DA" w:rsidRDefault="00467E72" w:rsidP="008D4CD7">
            <w:pPr>
              <w:widowControl w:val="0"/>
              <w:autoSpaceDE w:val="0"/>
              <w:autoSpaceDN w:val="0"/>
              <w:adjustRightInd w:val="0"/>
              <w:jc w:val="both"/>
              <w:rPr>
                <w:color w:val="000000"/>
              </w:rPr>
            </w:pPr>
          </w:p>
          <w:p w:rsidR="00DB377B" w:rsidRPr="000432DA" w:rsidRDefault="00467E72" w:rsidP="008D4CD7">
            <w:pPr>
              <w:widowControl w:val="0"/>
              <w:autoSpaceDE w:val="0"/>
              <w:autoSpaceDN w:val="0"/>
              <w:adjustRightInd w:val="0"/>
              <w:jc w:val="both"/>
              <w:rPr>
                <w:color w:val="000000"/>
              </w:rPr>
            </w:pPr>
            <w:r w:rsidRPr="000432DA">
              <w:rPr>
                <w:color w:val="000000"/>
              </w:rPr>
              <w:t xml:space="preserve">Vue </w:t>
            </w:r>
            <w:r w:rsidR="00581FDC" w:rsidRPr="000432DA">
              <w:rPr>
                <w:color w:val="000000"/>
              </w:rPr>
              <w:t xml:space="preserve">que </w:t>
            </w:r>
            <w:r w:rsidR="007F13A0" w:rsidRPr="000432DA">
              <w:rPr>
                <w:color w:val="000000"/>
              </w:rPr>
              <w:t>certaines activités</w:t>
            </w:r>
            <w:r w:rsidRPr="000432DA">
              <w:rPr>
                <w:color w:val="000000"/>
              </w:rPr>
              <w:t xml:space="preserve"> du projet PUSA </w:t>
            </w:r>
            <w:r w:rsidR="00761299" w:rsidRPr="000432DA">
              <w:rPr>
                <w:color w:val="000000"/>
              </w:rPr>
              <w:t xml:space="preserve">sont susceptibles </w:t>
            </w:r>
            <w:r w:rsidR="00761299" w:rsidRPr="000432DA">
              <w:t xml:space="preserve">de générer des risques et effets négatifs </w:t>
            </w:r>
            <w:r w:rsidR="00CA565D" w:rsidRPr="000432DA">
              <w:rPr>
                <w:color w:val="000000"/>
              </w:rPr>
              <w:t xml:space="preserve">sur l’environnement et le social </w:t>
            </w:r>
            <w:r w:rsidR="00761299" w:rsidRPr="000432DA">
              <w:t>qui doivent être gérés tout au long de durée du projet</w:t>
            </w:r>
            <w:r w:rsidR="00761299" w:rsidRPr="000432DA">
              <w:rPr>
                <w:color w:val="000000"/>
              </w:rPr>
              <w:t xml:space="preserve"> </w:t>
            </w:r>
          </w:p>
          <w:p w:rsidR="00B805ED" w:rsidRPr="000432DA" w:rsidRDefault="00A92F42" w:rsidP="0021312F">
            <w:pPr>
              <w:widowControl w:val="0"/>
              <w:autoSpaceDE w:val="0"/>
              <w:autoSpaceDN w:val="0"/>
              <w:adjustRightInd w:val="0"/>
              <w:jc w:val="both"/>
              <w:rPr>
                <w:color w:val="000000"/>
                <w:lang w:eastAsia="en-US"/>
              </w:rPr>
            </w:pPr>
            <w:r w:rsidRPr="000432DA">
              <w:t>Le CGES définit les procédures de sélection et d'atténuation des impacts potentiels des sous-projets.</w:t>
            </w:r>
            <w:r w:rsidR="00467E72" w:rsidRPr="000432DA">
              <w:rPr>
                <w:color w:val="000000"/>
              </w:rPr>
              <w:t xml:space="preserve"> </w:t>
            </w:r>
            <w:r w:rsidR="00B805ED" w:rsidRPr="000432DA">
              <w:rPr>
                <w:color w:val="000000"/>
              </w:rPr>
              <w:t xml:space="preserve">Compte tenu de la nature des activités du PUSA, une gamme d’instruments peut être utilisée : </w:t>
            </w:r>
            <w:r w:rsidR="006062D0" w:rsidRPr="000432DA">
              <w:rPr>
                <w:color w:val="000000"/>
              </w:rPr>
              <w:t>AEIS</w:t>
            </w:r>
            <w:r w:rsidR="00B805ED" w:rsidRPr="000432DA">
              <w:rPr>
                <w:color w:val="000000"/>
              </w:rPr>
              <w:t xml:space="preserve">, audit </w:t>
            </w:r>
            <w:r w:rsidR="00B805ED" w:rsidRPr="000432DA">
              <w:rPr>
                <w:color w:val="000000"/>
              </w:rPr>
              <w:lastRenderedPageBreak/>
              <w:t>environnemental, évaluations des dangers ou des risques et plan de gestion environnemental et Social</w:t>
            </w:r>
            <w:r w:rsidR="00B805ED" w:rsidRPr="000432DA">
              <w:rPr>
                <w:color w:val="000000"/>
              </w:rPr>
              <w:br/>
              <w:t>(PGES)</w:t>
            </w:r>
            <w:r w:rsidR="009D7E7B" w:rsidRPr="000432DA">
              <w:rPr>
                <w:color w:val="000000"/>
              </w:rPr>
              <w:t xml:space="preserve"> pour bonifier et atténuer les impacts.</w:t>
            </w:r>
            <w:r w:rsidR="00DA6CAE" w:rsidRPr="000432DA">
              <w:rPr>
                <w:color w:val="000000"/>
              </w:rPr>
              <w:t xml:space="preserve"> </w:t>
            </w:r>
          </w:p>
        </w:tc>
      </w:tr>
      <w:tr w:rsidR="00B805ED" w:rsidRPr="000432DA" w:rsidTr="008D4CD7">
        <w:tc>
          <w:tcPr>
            <w:tcW w:w="2934" w:type="dxa"/>
            <w:vAlign w:val="center"/>
          </w:tcPr>
          <w:p w:rsidR="00B805ED" w:rsidRPr="000432DA" w:rsidRDefault="00B805ED" w:rsidP="008D4CD7">
            <w:pPr>
              <w:widowControl w:val="0"/>
              <w:autoSpaceDE w:val="0"/>
              <w:autoSpaceDN w:val="0"/>
              <w:adjustRightInd w:val="0"/>
              <w:jc w:val="center"/>
              <w:rPr>
                <w:b/>
                <w:color w:val="000000"/>
                <w:lang w:eastAsia="en-US"/>
              </w:rPr>
            </w:pPr>
            <w:r w:rsidRPr="000432DA">
              <w:rPr>
                <w:b/>
                <w:color w:val="000000"/>
                <w:lang w:eastAsia="en-US"/>
              </w:rPr>
              <w:lastRenderedPageBreak/>
              <w:t>Norme environnementale et sociale n° 2 : Emploi et conditions de travail ;</w:t>
            </w:r>
          </w:p>
          <w:p w:rsidR="00B805ED" w:rsidRPr="000432DA" w:rsidRDefault="00B805ED" w:rsidP="008D4CD7">
            <w:pPr>
              <w:widowControl w:val="0"/>
              <w:autoSpaceDE w:val="0"/>
              <w:autoSpaceDN w:val="0"/>
              <w:adjustRightInd w:val="0"/>
              <w:jc w:val="center"/>
              <w:rPr>
                <w:b/>
                <w:color w:val="000000"/>
                <w:lang w:eastAsia="en-US"/>
              </w:rPr>
            </w:pPr>
          </w:p>
        </w:tc>
        <w:tc>
          <w:tcPr>
            <w:tcW w:w="4353" w:type="dxa"/>
          </w:tcPr>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Promouvoir la sécurité et la santé au travail.</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Encourager le traitement équitable, la non- discrimination et l’égalité des chances pour les travailleurs du projet.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Protéger les travailleurs du projet, notamment ceux qui sont vulnérables tels que les femmes, les per- sonnes handicapées, les enfants (en âge de travailler, conformément à cette NES) et les travailleurs migrants, ainsi que les travailleurs contractuels, communautaires et les employés des fournisseurs principaux, le cas échéant.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Empêcher le recours à toute forme de travail forcé et au travail des enfants.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Soutenir les principes de liberté d’association et de conventions collectives des travailleurs du projet en accord avec le droit national.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Fournir aux travailleurs du projet les moyens d’évoquer les problèmes qui se posent sur leur lieu de travail. </w:t>
            </w:r>
          </w:p>
        </w:tc>
        <w:tc>
          <w:tcPr>
            <w:tcW w:w="3052" w:type="dxa"/>
          </w:tcPr>
          <w:p w:rsidR="00B805ED" w:rsidRPr="000432DA" w:rsidRDefault="00B805ED" w:rsidP="00345951">
            <w:pPr>
              <w:pStyle w:val="Textodecomentrio"/>
              <w:rPr>
                <w:sz w:val="24"/>
                <w:szCs w:val="24"/>
              </w:rPr>
            </w:pPr>
            <w:r w:rsidRPr="000432DA">
              <w:rPr>
                <w:color w:val="000000"/>
                <w:sz w:val="24"/>
                <w:szCs w:val="24"/>
              </w:rPr>
              <w:t xml:space="preserve">La mise en œuvre du projet PUSA nécessitera des interventions des </w:t>
            </w:r>
            <w:r w:rsidR="009D7E7B" w:rsidRPr="000432DA">
              <w:rPr>
                <w:sz w:val="24"/>
                <w:szCs w:val="24"/>
              </w:rPr>
              <w:t>travailleurs de l’UCP, des travailleurs des entreprises et bureaux d’études et des travailleurs communautaires</w:t>
            </w:r>
            <w:r w:rsidRPr="000432DA">
              <w:rPr>
                <w:rFonts w:eastAsiaTheme="minorHAnsi"/>
                <w:color w:val="000000"/>
                <w:sz w:val="24"/>
                <w:szCs w:val="24"/>
              </w:rPr>
              <w:t xml:space="preserve"> pour la réalisation des activités</w:t>
            </w:r>
            <w:r w:rsidR="009D7E7B" w:rsidRPr="000432DA">
              <w:rPr>
                <w:color w:val="000000"/>
                <w:sz w:val="24"/>
                <w:szCs w:val="24"/>
              </w:rPr>
              <w:t xml:space="preserve"> du projet surtout au niveau de </w:t>
            </w:r>
            <w:r w:rsidR="00413E88" w:rsidRPr="000432DA">
              <w:rPr>
                <w:color w:val="000000"/>
                <w:sz w:val="24"/>
                <w:szCs w:val="24"/>
              </w:rPr>
              <w:t>la composante</w:t>
            </w:r>
            <w:r w:rsidR="009D7E7B" w:rsidRPr="000432DA">
              <w:rPr>
                <w:color w:val="000000"/>
                <w:sz w:val="24"/>
                <w:szCs w:val="24"/>
              </w:rPr>
              <w:t xml:space="preserve"> 2.</w:t>
            </w:r>
          </w:p>
        </w:tc>
      </w:tr>
      <w:tr w:rsidR="00B805ED" w:rsidRPr="000432DA" w:rsidTr="008D4CD7">
        <w:trPr>
          <w:trHeight w:val="1774"/>
        </w:trPr>
        <w:tc>
          <w:tcPr>
            <w:tcW w:w="2934" w:type="dxa"/>
            <w:vAlign w:val="center"/>
          </w:tcPr>
          <w:p w:rsidR="00B805ED" w:rsidRPr="000432DA" w:rsidRDefault="00B805ED" w:rsidP="008D4CD7">
            <w:pPr>
              <w:widowControl w:val="0"/>
              <w:autoSpaceDE w:val="0"/>
              <w:autoSpaceDN w:val="0"/>
              <w:adjustRightInd w:val="0"/>
              <w:jc w:val="center"/>
              <w:rPr>
                <w:b/>
                <w:color w:val="000000"/>
                <w:lang w:eastAsia="en-US"/>
              </w:rPr>
            </w:pPr>
            <w:r w:rsidRPr="000432DA">
              <w:rPr>
                <w:b/>
                <w:color w:val="000000"/>
                <w:lang w:eastAsia="en-US"/>
              </w:rPr>
              <w:t>Norme environnementale et sociale n° 3 : Utilisation rationnelle des ressources et prévention et gestion de la pollution ;</w:t>
            </w:r>
          </w:p>
        </w:tc>
        <w:tc>
          <w:tcPr>
            <w:tcW w:w="4353" w:type="dxa"/>
          </w:tcPr>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Promouvoir l’utilisation durable des ressources, notamment l’énergie, l’eau et les matières premières.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Éviter ou minimiser les impacts négatifs du projet sur la santé humaine et l’environnement en évitant ou en minimisant la pollution provenant des activités du projet.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Éviter ou minimiser les émissions de polluants atmosphériques à courte et longue durée de vie liées au projet.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Éviter ou minimiser la production de déchets dangereux et non dangereux.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Réduire et gérer les risques et effets liés à l’utilisation des pesticides. </w:t>
            </w:r>
          </w:p>
        </w:tc>
        <w:tc>
          <w:tcPr>
            <w:tcW w:w="3052" w:type="dxa"/>
          </w:tcPr>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rPr>
              <w:t xml:space="preserve">La mise en œuvre du projet PUSA nécessitera des interventions qui pourraient être sources de pollution des sols et des eaux qui seront évaluées par des EIES spécifiques (utilisation des pestes et pesticides, </w:t>
            </w:r>
            <w:r w:rsidRPr="000432DA">
              <w:rPr>
                <w:rFonts w:ascii="Times New Roman" w:hAnsi="Times New Roman"/>
                <w:color w:val="000000"/>
                <w:sz w:val="24"/>
                <w:szCs w:val="24"/>
                <w:lang w:eastAsia="en-US"/>
              </w:rPr>
              <w:t>etc.,)</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rPr>
              <w:t>Certaines activités pourraient nécessiter le recours aux pesticides pour lutter contre les ennemies des cultures. Le présent CGES inclut une annexe sur la gestion des pestes et des pesticides, y compris un Guide de bonnes pratiques et Mesures requises pour la réduction des risques liés aux pesticides.</w:t>
            </w:r>
          </w:p>
        </w:tc>
      </w:tr>
      <w:tr w:rsidR="00B805ED" w:rsidRPr="000432DA" w:rsidTr="008D4CD7">
        <w:tc>
          <w:tcPr>
            <w:tcW w:w="2934" w:type="dxa"/>
            <w:vAlign w:val="center"/>
          </w:tcPr>
          <w:p w:rsidR="00B805ED" w:rsidRPr="000432DA" w:rsidRDefault="00B805ED" w:rsidP="008D4CD7">
            <w:pPr>
              <w:widowControl w:val="0"/>
              <w:autoSpaceDE w:val="0"/>
              <w:autoSpaceDN w:val="0"/>
              <w:adjustRightInd w:val="0"/>
              <w:jc w:val="center"/>
              <w:rPr>
                <w:b/>
                <w:color w:val="000000"/>
                <w:lang w:eastAsia="en-US"/>
              </w:rPr>
            </w:pPr>
            <w:r w:rsidRPr="000432DA">
              <w:rPr>
                <w:b/>
                <w:color w:val="000000"/>
                <w:lang w:eastAsia="en-US"/>
              </w:rPr>
              <w:lastRenderedPageBreak/>
              <w:t>Norme environnementale et sociale n° 4 : Santé et sécurité des populations ;</w:t>
            </w:r>
          </w:p>
          <w:p w:rsidR="00B805ED" w:rsidRPr="000432DA" w:rsidRDefault="00B805ED" w:rsidP="008D4CD7">
            <w:pPr>
              <w:widowControl w:val="0"/>
              <w:autoSpaceDE w:val="0"/>
              <w:autoSpaceDN w:val="0"/>
              <w:adjustRightInd w:val="0"/>
              <w:jc w:val="center"/>
              <w:rPr>
                <w:b/>
                <w:color w:val="000000"/>
                <w:lang w:eastAsia="en-US"/>
              </w:rPr>
            </w:pPr>
          </w:p>
        </w:tc>
        <w:tc>
          <w:tcPr>
            <w:tcW w:w="4353" w:type="dxa"/>
          </w:tcPr>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Anticiper ou éviter les impacts néfastes sur la santé et la sécurité des populations touchées par le projet tout au long de celui-ci, que ce soit en temps normal ou dans des circonstances exceptionnelles.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Encourager la prise en compte de considérations de qualité et de sécurité, et des questions de changement climatique dans la conception et la construction des infrastructures.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Éviter ou minimiser l’exposition de la communauté aux risques liés à la circulation dans le cadre du projet et à la sécurité routière, aux maladies et aux matières dangereuses.</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Mettre en place des mesures efficaces pour faire face aux situations d’urgence. </w:t>
            </w:r>
            <w:r w:rsidRPr="000432DA">
              <w:rPr>
                <w:rFonts w:ascii="MS Mincho" w:eastAsia="MS Mincho" w:hAnsi="MS Mincho" w:cs="MS Mincho"/>
                <w:color w:val="000000"/>
                <w:sz w:val="24"/>
                <w:szCs w:val="24"/>
                <w:lang w:eastAsia="en-US"/>
              </w:rPr>
              <w:t>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eastAsia="MS Mincho" w:hAnsi="Times New Roman"/>
                <w:color w:val="000000"/>
                <w:sz w:val="24"/>
                <w:szCs w:val="24"/>
                <w:lang w:eastAsia="en-US"/>
              </w:rPr>
            </w:pPr>
            <w:r w:rsidRPr="000432DA">
              <w:rPr>
                <w:rFonts w:ascii="Times New Roman" w:hAnsi="Times New Roman"/>
                <w:color w:val="000000"/>
                <w:sz w:val="24"/>
                <w:szCs w:val="24"/>
                <w:lang w:eastAsia="en-US"/>
              </w:rPr>
              <w:t xml:space="preserve">Veiller à ce que la protection du personnel et des biens permette d’éviter ou de minimiser les risques pour les communautés touchées par le projet. </w:t>
            </w:r>
          </w:p>
        </w:tc>
        <w:tc>
          <w:tcPr>
            <w:tcW w:w="3052" w:type="dxa"/>
          </w:tcPr>
          <w:p w:rsidR="00234A68" w:rsidRPr="000432DA" w:rsidRDefault="00B805ED" w:rsidP="00B662B0">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rPr>
            </w:pPr>
            <w:r w:rsidRPr="000432DA">
              <w:rPr>
                <w:rFonts w:ascii="Times New Roman" w:hAnsi="Times New Roman"/>
                <w:color w:val="000000"/>
                <w:sz w:val="24"/>
                <w:szCs w:val="24"/>
              </w:rPr>
              <w:t>La mise en œuvre du projet PUSA nécessitera des interventions des ouvriers pour la réalisation des activités dans la composante 2 ;</w:t>
            </w:r>
            <w:r w:rsidR="00BD1EE4" w:rsidRPr="000432DA">
              <w:rPr>
                <w:rFonts w:ascii="Times New Roman" w:hAnsi="Times New Roman"/>
                <w:color w:val="000000"/>
                <w:sz w:val="24"/>
                <w:szCs w:val="24"/>
              </w:rPr>
              <w:t xml:space="preserve"> Ainsi, ces </w:t>
            </w:r>
            <w:r w:rsidR="00C343EE" w:rsidRPr="000432DA">
              <w:rPr>
                <w:rFonts w:ascii="Times New Roman" w:hAnsi="Times New Roman"/>
                <w:color w:val="000000"/>
                <w:sz w:val="24"/>
                <w:szCs w:val="24"/>
              </w:rPr>
              <w:t>travaux pourraient</w:t>
            </w:r>
            <w:r w:rsidR="00BD1EE4" w:rsidRPr="000432DA">
              <w:rPr>
                <w:rFonts w:ascii="Times New Roman" w:hAnsi="Times New Roman"/>
                <w:color w:val="000000"/>
                <w:sz w:val="24"/>
                <w:szCs w:val="24"/>
              </w:rPr>
              <w:t xml:space="preserve"> engendre</w:t>
            </w:r>
            <w:r w:rsidR="00C343EE" w:rsidRPr="000432DA">
              <w:rPr>
                <w:rFonts w:ascii="Times New Roman" w:hAnsi="Times New Roman"/>
                <w:color w:val="000000"/>
                <w:sz w:val="24"/>
                <w:szCs w:val="24"/>
              </w:rPr>
              <w:t>r</w:t>
            </w:r>
            <w:r w:rsidR="00BD1EE4" w:rsidRPr="000432DA">
              <w:rPr>
                <w:rFonts w:ascii="Times New Roman" w:hAnsi="Times New Roman"/>
                <w:color w:val="000000"/>
                <w:sz w:val="24"/>
                <w:szCs w:val="24"/>
              </w:rPr>
              <w:t xml:space="preserve"> des risques d’accident professionnel</w:t>
            </w:r>
            <w:r w:rsidR="00C343EE" w:rsidRPr="000432DA">
              <w:rPr>
                <w:rFonts w:ascii="Times New Roman" w:hAnsi="Times New Roman"/>
                <w:color w:val="000000"/>
                <w:sz w:val="24"/>
                <w:szCs w:val="24"/>
              </w:rPr>
              <w:t xml:space="preserve"> due </w:t>
            </w:r>
            <w:r w:rsidR="000E3177" w:rsidRPr="000432DA">
              <w:rPr>
                <w:rFonts w:ascii="Times New Roman" w:hAnsi="Times New Roman"/>
                <w:color w:val="000000"/>
                <w:sz w:val="24"/>
                <w:szCs w:val="24"/>
              </w:rPr>
              <w:t>à la chute</w:t>
            </w:r>
            <w:r w:rsidR="00C343EE" w:rsidRPr="000432DA">
              <w:rPr>
                <w:rFonts w:ascii="Times New Roman" w:hAnsi="Times New Roman"/>
                <w:color w:val="000000"/>
                <w:sz w:val="24"/>
                <w:szCs w:val="24"/>
              </w:rPr>
              <w:t xml:space="preserve"> de matériaux, d’accident de circulation, d’accident due à l’utilisation des engins, etc..</w:t>
            </w:r>
            <w:r w:rsidR="000E3177" w:rsidRPr="000432DA">
              <w:rPr>
                <w:rFonts w:ascii="Times New Roman" w:hAnsi="Times New Roman"/>
                <w:color w:val="000000"/>
                <w:sz w:val="24"/>
                <w:szCs w:val="24"/>
              </w:rPr>
              <w:t xml:space="preserve">.  </w:t>
            </w:r>
            <w:r w:rsidR="00EA7768" w:rsidRPr="000432DA">
              <w:rPr>
                <w:rFonts w:ascii="Times New Roman" w:hAnsi="Times New Roman"/>
                <w:color w:val="000000"/>
                <w:sz w:val="24"/>
                <w:szCs w:val="24"/>
              </w:rPr>
              <w:t xml:space="preserve">Les ouvriers pourront aussi </w:t>
            </w:r>
            <w:r w:rsidR="00D74DF8" w:rsidRPr="000432DA">
              <w:rPr>
                <w:rFonts w:ascii="Times New Roman" w:hAnsi="Times New Roman"/>
                <w:color w:val="000000"/>
                <w:sz w:val="24"/>
                <w:szCs w:val="24"/>
              </w:rPr>
              <w:t>être un risque sur la santé et la sécurité des populations</w:t>
            </w:r>
            <w:r w:rsidR="00B662B0" w:rsidRPr="000432DA">
              <w:rPr>
                <w:rFonts w:ascii="Times New Roman" w:hAnsi="Times New Roman"/>
                <w:color w:val="000000"/>
                <w:sz w:val="24"/>
                <w:szCs w:val="24"/>
              </w:rPr>
              <w:t xml:space="preserve"> comme </w:t>
            </w:r>
            <w:r w:rsidR="00EA7768" w:rsidRPr="000432DA">
              <w:rPr>
                <w:rFonts w:ascii="Times New Roman" w:hAnsi="Times New Roman"/>
                <w:color w:val="000000"/>
                <w:sz w:val="24"/>
                <w:szCs w:val="24"/>
              </w:rPr>
              <w:t>source des conflits sociaux avec les communautés, apporter des risques de VBG et en particulier d’EAS/HS, et transmettre des maladies, en particulier les maladies de transmission par voie sexuel, et la COVID-19.</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rPr>
              <w:t>Des positions sanitaires et sécurité au travail devront être mise en œuvre au niveau des bases de chantier, des bases vies ou dans les zones d’intervention du projet pour éviter des accidents ou des propagations des maladies ;</w:t>
            </w:r>
          </w:p>
        </w:tc>
      </w:tr>
      <w:tr w:rsidR="00B805ED" w:rsidRPr="000432DA" w:rsidTr="008D4CD7">
        <w:tc>
          <w:tcPr>
            <w:tcW w:w="2934" w:type="dxa"/>
            <w:vAlign w:val="center"/>
          </w:tcPr>
          <w:p w:rsidR="00B805ED" w:rsidRPr="000432DA" w:rsidRDefault="00B805ED" w:rsidP="008D4CD7">
            <w:pPr>
              <w:widowControl w:val="0"/>
              <w:autoSpaceDE w:val="0"/>
              <w:autoSpaceDN w:val="0"/>
              <w:adjustRightInd w:val="0"/>
              <w:jc w:val="center"/>
              <w:rPr>
                <w:b/>
                <w:color w:val="000000"/>
                <w:lang w:eastAsia="en-US"/>
              </w:rPr>
            </w:pPr>
            <w:r w:rsidRPr="000432DA">
              <w:rPr>
                <w:b/>
                <w:color w:val="000000"/>
                <w:lang w:eastAsia="en-US"/>
              </w:rPr>
              <w:t>Norme environnementale et sociale n° 5 : Acquisition de terres, restrictions à l’utilisation de terres et réinstallation involontaire ;</w:t>
            </w:r>
          </w:p>
          <w:p w:rsidR="00B805ED" w:rsidRPr="000432DA" w:rsidRDefault="00B805ED" w:rsidP="008D4CD7">
            <w:pPr>
              <w:widowControl w:val="0"/>
              <w:autoSpaceDE w:val="0"/>
              <w:autoSpaceDN w:val="0"/>
              <w:adjustRightInd w:val="0"/>
              <w:jc w:val="center"/>
              <w:rPr>
                <w:b/>
                <w:color w:val="000000"/>
                <w:lang w:eastAsia="en-US"/>
              </w:rPr>
            </w:pPr>
          </w:p>
        </w:tc>
        <w:tc>
          <w:tcPr>
            <w:tcW w:w="4353" w:type="dxa"/>
          </w:tcPr>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Éviter la réinstallation involontaire ou, lorsqu’elle est inévitable, la minimiser en envisageant des solutions de rechange lors de la conception du projet.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Éviter l’expulsion forcée.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Atténuer les effets sociaux et économiques néfastes de l’acquisition de terres ou des restrictions à l’utilisation qui en est faite, grâce aux mesures ci-après : a) assurer une indemnisation rapide au coût de remplacement des personnes spoliées de leurs biens et b) aider les personnes déplacées à améliorer, ou au moins rétablir en termes réels, leurs moyens de subsistance et leur niveau de vie d’avant leur déplacement ou celui </w:t>
            </w:r>
            <w:r w:rsidRPr="000432DA">
              <w:rPr>
                <w:rFonts w:ascii="Times New Roman" w:hAnsi="Times New Roman"/>
                <w:color w:val="000000"/>
                <w:sz w:val="24"/>
                <w:szCs w:val="24"/>
                <w:lang w:eastAsia="en-US"/>
              </w:rPr>
              <w:lastRenderedPageBreak/>
              <w:t xml:space="preserve">d’avant le démarrage de la mise en œuvre du projet, l’option la plus avantageuse étant à retenir .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Améliorer les conditions de vie des personnes pauvres ou vulnérables qui sont déplacées physiquement en leur garantissant un logement adéquat, l’accès aux services et aux équipements, et le maintien dans les lieux.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Concevoir et mettre en œuvre les activités de la réinstallation involontaire comme un programme de développement durable, en fournissant suffisamment de ressources d’investissement pour permettre aux personnes déplacées de tirer directement parti du projet, selon la nature de celui-ci. </w:t>
            </w:r>
          </w:p>
          <w:p w:rsidR="00CD3B88" w:rsidRPr="000432DA" w:rsidRDefault="00B805ED" w:rsidP="00CD3B88">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Veiller à ce que l’information soit bien disséminée, que de réelles consultations aient lieu, et que les personnes touchées participent de manière éclairée à la planification et la mise en œuvre des activités de réinstallation. </w:t>
            </w:r>
          </w:p>
        </w:tc>
        <w:tc>
          <w:tcPr>
            <w:tcW w:w="3052" w:type="dxa"/>
          </w:tcPr>
          <w:p w:rsidR="00CD3B88" w:rsidRPr="000432DA" w:rsidRDefault="00CD3B88"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lastRenderedPageBreak/>
              <w:t xml:space="preserve">Le projet PUSA a exclu la compensation d’indemnisation au profit de la donation volontaire. </w:t>
            </w:r>
          </w:p>
          <w:p w:rsidR="00B805ED" w:rsidRPr="000432DA" w:rsidRDefault="00B805ED" w:rsidP="00D47C37">
            <w:pPr>
              <w:pStyle w:val="PargrafodaLista"/>
              <w:widowControl w:val="0"/>
              <w:autoSpaceDE w:val="0"/>
              <w:autoSpaceDN w:val="0"/>
              <w:adjustRightInd w:val="0"/>
              <w:spacing w:after="0" w:line="240" w:lineRule="auto"/>
              <w:ind w:left="66"/>
              <w:jc w:val="both"/>
              <w:rPr>
                <w:rFonts w:ascii="Times New Roman" w:hAnsi="Times New Roman"/>
                <w:color w:val="000000"/>
                <w:sz w:val="24"/>
                <w:szCs w:val="24"/>
                <w:lang w:eastAsia="en-US"/>
              </w:rPr>
            </w:pPr>
          </w:p>
        </w:tc>
      </w:tr>
      <w:tr w:rsidR="00B805ED" w:rsidRPr="000432DA" w:rsidTr="008D4CD7">
        <w:tc>
          <w:tcPr>
            <w:tcW w:w="2934" w:type="dxa"/>
            <w:vAlign w:val="center"/>
          </w:tcPr>
          <w:p w:rsidR="00B805ED" w:rsidRPr="000432DA" w:rsidRDefault="00B805ED" w:rsidP="008D4CD7">
            <w:pPr>
              <w:widowControl w:val="0"/>
              <w:autoSpaceDE w:val="0"/>
              <w:autoSpaceDN w:val="0"/>
              <w:adjustRightInd w:val="0"/>
              <w:jc w:val="center"/>
              <w:rPr>
                <w:b/>
                <w:color w:val="000000"/>
                <w:lang w:eastAsia="en-US"/>
              </w:rPr>
            </w:pPr>
            <w:r w:rsidRPr="000432DA">
              <w:rPr>
                <w:b/>
                <w:color w:val="000000"/>
                <w:lang w:eastAsia="en-US"/>
              </w:rPr>
              <w:lastRenderedPageBreak/>
              <w:t xml:space="preserve">Norme environnementale et sociale n° 6 : Préservation de la biodiversité et gestion durable des ressources naturelles biologiques </w:t>
            </w:r>
          </w:p>
        </w:tc>
        <w:tc>
          <w:tcPr>
            <w:tcW w:w="4353" w:type="dxa"/>
          </w:tcPr>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Protéger et préserver la biodiversité et les habitats.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Appliquer l’approche de la hiérarchie d’atténuation et le principe de précaution dans la conception et la mise en œuvre de projets susceptibles d’avoir un impact sur la biodiversité.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Promouvoir la gestion durable des ressources naturelles biologiques.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Développer les moyens de subsistance des communautés locales, notamment des peuples autochtones, et assurer un développement économique solidaire par l’adoption de pratiques qui intègrent les besoins de conservation et les priorités en matière de développement. </w:t>
            </w:r>
          </w:p>
        </w:tc>
        <w:tc>
          <w:tcPr>
            <w:tcW w:w="3052" w:type="dxa"/>
          </w:tcPr>
          <w:p w:rsidR="00B805ED" w:rsidRPr="000432DA" w:rsidRDefault="00F459F0" w:rsidP="00345951">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rPr>
              <w:t xml:space="preserve">Le déroulement des activités du projet </w:t>
            </w:r>
            <w:r w:rsidR="004711FB" w:rsidRPr="000432DA">
              <w:rPr>
                <w:rFonts w:ascii="Times New Roman" w:hAnsi="Times New Roman"/>
                <w:color w:val="000000"/>
                <w:sz w:val="24"/>
                <w:szCs w:val="24"/>
              </w:rPr>
              <w:t>sur</w:t>
            </w:r>
            <w:r w:rsidRPr="000432DA">
              <w:rPr>
                <w:rFonts w:ascii="Times New Roman" w:hAnsi="Times New Roman"/>
                <w:color w:val="000000"/>
                <w:sz w:val="24"/>
                <w:szCs w:val="24"/>
              </w:rPr>
              <w:t xml:space="preserve">tout au niveau de la composante 2 avec l’extension des terres </w:t>
            </w:r>
            <w:r w:rsidR="004711FB" w:rsidRPr="000432DA">
              <w:rPr>
                <w:rFonts w:ascii="Times New Roman" w:hAnsi="Times New Roman"/>
                <w:color w:val="000000"/>
                <w:sz w:val="24"/>
                <w:szCs w:val="24"/>
              </w:rPr>
              <w:t xml:space="preserve">de </w:t>
            </w:r>
            <w:r w:rsidRPr="000432DA">
              <w:rPr>
                <w:rFonts w:ascii="Times New Roman" w:hAnsi="Times New Roman"/>
                <w:color w:val="000000"/>
                <w:sz w:val="24"/>
                <w:szCs w:val="24"/>
              </w:rPr>
              <w:t xml:space="preserve">culture, </w:t>
            </w:r>
            <w:r w:rsidR="009E1CE0" w:rsidRPr="000432DA">
              <w:rPr>
                <w:rFonts w:ascii="Times New Roman" w:hAnsi="Times New Roman"/>
                <w:color w:val="000000"/>
                <w:sz w:val="24"/>
                <w:szCs w:val="24"/>
              </w:rPr>
              <w:t xml:space="preserve">et </w:t>
            </w:r>
            <w:r w:rsidRPr="000432DA">
              <w:rPr>
                <w:rFonts w:ascii="Times New Roman" w:hAnsi="Times New Roman"/>
                <w:color w:val="000000"/>
                <w:sz w:val="24"/>
                <w:szCs w:val="24"/>
              </w:rPr>
              <w:t xml:space="preserve">les </w:t>
            </w:r>
            <w:r w:rsidR="004711FB" w:rsidRPr="000432DA">
              <w:rPr>
                <w:rFonts w:ascii="Times New Roman" w:hAnsi="Times New Roman"/>
                <w:color w:val="000000"/>
                <w:sz w:val="24"/>
                <w:szCs w:val="24"/>
              </w:rPr>
              <w:t>réhabilitations</w:t>
            </w:r>
            <w:r w:rsidRPr="000432DA">
              <w:rPr>
                <w:rFonts w:ascii="Times New Roman" w:hAnsi="Times New Roman"/>
                <w:color w:val="000000"/>
                <w:sz w:val="24"/>
                <w:szCs w:val="24"/>
              </w:rPr>
              <w:t xml:space="preserve"> des pistes d’accès,</w:t>
            </w:r>
            <w:r w:rsidR="00C069FE" w:rsidRPr="000432DA">
              <w:rPr>
                <w:rFonts w:ascii="Times New Roman" w:hAnsi="Times New Roman"/>
                <w:color w:val="000000"/>
                <w:sz w:val="24"/>
                <w:szCs w:val="24"/>
              </w:rPr>
              <w:t xml:space="preserve"> pourraient</w:t>
            </w:r>
            <w:r w:rsidR="004711FB" w:rsidRPr="000432DA">
              <w:rPr>
                <w:rFonts w:ascii="Times New Roman" w:hAnsi="Times New Roman"/>
                <w:color w:val="000000"/>
                <w:sz w:val="24"/>
                <w:szCs w:val="24"/>
              </w:rPr>
              <w:t xml:space="preserve"> induire à</w:t>
            </w:r>
            <w:r w:rsidRPr="000432DA">
              <w:rPr>
                <w:rFonts w:ascii="Times New Roman" w:hAnsi="Times New Roman"/>
                <w:color w:val="000000"/>
                <w:sz w:val="24"/>
                <w:szCs w:val="24"/>
              </w:rPr>
              <w:t xml:space="preserve"> des risques sur </w:t>
            </w:r>
            <w:r w:rsidR="004711FB" w:rsidRPr="000432DA">
              <w:rPr>
                <w:rFonts w:ascii="Times New Roman" w:hAnsi="Times New Roman"/>
                <w:color w:val="000000"/>
                <w:sz w:val="24"/>
                <w:szCs w:val="24"/>
              </w:rPr>
              <w:t xml:space="preserve">la </w:t>
            </w:r>
            <w:r w:rsidRPr="000432DA">
              <w:rPr>
                <w:rFonts w:ascii="Times New Roman" w:hAnsi="Times New Roman"/>
                <w:color w:val="000000"/>
                <w:sz w:val="24"/>
                <w:szCs w:val="24"/>
              </w:rPr>
              <w:t xml:space="preserve">biodiversité </w:t>
            </w:r>
            <w:r w:rsidR="004711FB" w:rsidRPr="000432DA">
              <w:rPr>
                <w:rFonts w:ascii="Times New Roman" w:hAnsi="Times New Roman"/>
                <w:color w:val="000000"/>
                <w:sz w:val="24"/>
                <w:szCs w:val="24"/>
              </w:rPr>
              <w:t xml:space="preserve">dans les zones d’intervention. </w:t>
            </w:r>
          </w:p>
        </w:tc>
      </w:tr>
      <w:tr w:rsidR="00024F6F" w:rsidRPr="000432DA" w:rsidTr="008D4CD7">
        <w:tc>
          <w:tcPr>
            <w:tcW w:w="2934" w:type="dxa"/>
            <w:vAlign w:val="center"/>
          </w:tcPr>
          <w:p w:rsidR="00024F6F" w:rsidRPr="000432DA" w:rsidRDefault="005D666E" w:rsidP="008D4CD7">
            <w:pPr>
              <w:widowControl w:val="0"/>
              <w:autoSpaceDE w:val="0"/>
              <w:autoSpaceDN w:val="0"/>
              <w:adjustRightInd w:val="0"/>
              <w:jc w:val="center"/>
              <w:rPr>
                <w:b/>
                <w:color w:val="000000"/>
                <w:lang w:eastAsia="en-US"/>
              </w:rPr>
            </w:pPr>
            <w:r w:rsidRPr="000432DA">
              <w:rPr>
                <w:b/>
                <w:color w:val="000000"/>
                <w:lang w:eastAsia="en-US"/>
              </w:rPr>
              <w:t>Norme environnementale et sociale n° 8 : Patrimoine culturel</w:t>
            </w:r>
          </w:p>
        </w:tc>
        <w:tc>
          <w:tcPr>
            <w:tcW w:w="4353" w:type="dxa"/>
          </w:tcPr>
          <w:p w:rsidR="009E1CE0" w:rsidRPr="000432DA" w:rsidRDefault="005D666E"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 Protéger le patrimoine culturel des impacts négatifs des activités du projet et en soutenir la préservation. </w:t>
            </w:r>
          </w:p>
          <w:p w:rsidR="005D666E" w:rsidRPr="000432DA" w:rsidRDefault="005D666E"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 Considérer le patrimoine culturel comme un aspect à part entière du développement durable. </w:t>
            </w:r>
          </w:p>
          <w:p w:rsidR="005D666E" w:rsidRPr="000432DA" w:rsidRDefault="005D666E"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Encourager l’organisation de consultations approfondies avec les parties prenantes au sujet du patrimoine culturel</w:t>
            </w:r>
          </w:p>
          <w:p w:rsidR="00024F6F" w:rsidRPr="000432DA" w:rsidRDefault="005D666E"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Promouvoir le partage équitable des avantages découlant de l’utilisation du </w:t>
            </w:r>
            <w:r w:rsidRPr="000432DA">
              <w:rPr>
                <w:rFonts w:ascii="Times New Roman" w:hAnsi="Times New Roman"/>
                <w:color w:val="000000"/>
                <w:sz w:val="24"/>
                <w:szCs w:val="24"/>
                <w:lang w:eastAsia="en-US"/>
              </w:rPr>
              <w:lastRenderedPageBreak/>
              <w:t>patrimoine culturel.</w:t>
            </w:r>
          </w:p>
        </w:tc>
        <w:tc>
          <w:tcPr>
            <w:tcW w:w="3052" w:type="dxa"/>
          </w:tcPr>
          <w:p w:rsidR="00024F6F" w:rsidRPr="000432DA" w:rsidRDefault="005D666E" w:rsidP="00C069FE">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lastRenderedPageBreak/>
              <w:t xml:space="preserve">S’il existe, </w:t>
            </w:r>
            <w:r w:rsidR="00C37FAB" w:rsidRPr="000432DA">
              <w:rPr>
                <w:rFonts w:ascii="Times New Roman" w:hAnsi="Times New Roman"/>
                <w:color w:val="000000"/>
                <w:sz w:val="24"/>
                <w:szCs w:val="24"/>
                <w:lang w:eastAsia="en-US"/>
              </w:rPr>
              <w:t>aux niveaux</w:t>
            </w:r>
            <w:r w:rsidRPr="000432DA">
              <w:rPr>
                <w:rFonts w:ascii="Times New Roman" w:hAnsi="Times New Roman"/>
                <w:color w:val="000000"/>
                <w:sz w:val="24"/>
                <w:szCs w:val="24"/>
                <w:lang w:eastAsia="en-US"/>
              </w:rPr>
              <w:t xml:space="preserve"> des sites des patrimoines culturel, avec ouvertures des routes d’accès ou des emplacements des infrastructures prévus, des risques de destruction ou de dégradation pourrait être noter si des dispositions ne seront pas mise en œuvre</w:t>
            </w:r>
          </w:p>
        </w:tc>
      </w:tr>
      <w:tr w:rsidR="00B805ED" w:rsidRPr="000432DA" w:rsidTr="008D4CD7">
        <w:tc>
          <w:tcPr>
            <w:tcW w:w="2934" w:type="dxa"/>
            <w:vAlign w:val="center"/>
          </w:tcPr>
          <w:p w:rsidR="00B805ED" w:rsidRPr="000432DA" w:rsidRDefault="00B805ED" w:rsidP="008D4CD7">
            <w:pPr>
              <w:widowControl w:val="0"/>
              <w:autoSpaceDE w:val="0"/>
              <w:autoSpaceDN w:val="0"/>
              <w:adjustRightInd w:val="0"/>
              <w:jc w:val="center"/>
              <w:rPr>
                <w:b/>
                <w:color w:val="000000"/>
                <w:lang w:eastAsia="en-US"/>
              </w:rPr>
            </w:pPr>
            <w:r w:rsidRPr="000432DA">
              <w:rPr>
                <w:b/>
                <w:color w:val="000000"/>
                <w:lang w:eastAsia="en-US"/>
              </w:rPr>
              <w:lastRenderedPageBreak/>
              <w:t>Norme environnementale et sociale n°10 : Mobilisation des parties prenantes et information.</w:t>
            </w:r>
          </w:p>
          <w:p w:rsidR="00B805ED" w:rsidRPr="000432DA" w:rsidRDefault="00B805ED" w:rsidP="008D4CD7">
            <w:pPr>
              <w:widowControl w:val="0"/>
              <w:autoSpaceDE w:val="0"/>
              <w:autoSpaceDN w:val="0"/>
              <w:adjustRightInd w:val="0"/>
              <w:jc w:val="center"/>
              <w:rPr>
                <w:b/>
                <w:color w:val="000000"/>
                <w:lang w:eastAsia="en-US"/>
              </w:rPr>
            </w:pPr>
          </w:p>
        </w:tc>
        <w:tc>
          <w:tcPr>
            <w:tcW w:w="4353" w:type="dxa"/>
          </w:tcPr>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Établir une approche systématique de mobilisation des parties prenantes qui permettra aux Emprunteurs de bien identifier ces dernières et de nouer et maintenir avec elles, en particulier les parties touchées par le projet, une relation constructive.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Évaluer le niveau d’intérêt et d’adhésion des parties prenantes et permettre que leurs opinions soient prises en compte dans la conception du projet et sa performance environnementale et sociale.</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Encourager la mobilisation effective de toutes les parties touchées par le projet pendant toute sa durée de vie sur les questions qui pourraient éventuellement avoir une incidence sur elles et fournir les moyens d’y parvenir.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S’assurer que les parties prenantes reçoivent en temps voulu et de manière compréhensible, accessible et appropriée l’information relative aux risques et effets environnementaux et sociaux du projet. </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Doter les parties touchées par le projet de moyens permettant aisément à toutes d’évoquer leurs préoccupations et de porter plainte, et aux Emprunteurs d’y répondre et de les gérer. </w:t>
            </w:r>
          </w:p>
        </w:tc>
        <w:tc>
          <w:tcPr>
            <w:tcW w:w="3052" w:type="dxa"/>
          </w:tcPr>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Implication des tous les acteurs au tour du projet PUSA est très important pour la bonne mise en œuvre des activités.</w:t>
            </w:r>
          </w:p>
          <w:p w:rsidR="00B805ED" w:rsidRPr="000432DA" w:rsidRDefault="00B805ED" w:rsidP="008D4CD7">
            <w:pPr>
              <w:pStyle w:val="PargrafodaLista"/>
              <w:widowControl w:val="0"/>
              <w:numPr>
                <w:ilvl w:val="0"/>
                <w:numId w:val="44"/>
              </w:numPr>
              <w:autoSpaceDE w:val="0"/>
              <w:autoSpaceDN w:val="0"/>
              <w:adjustRightInd w:val="0"/>
              <w:spacing w:after="0" w:line="240" w:lineRule="auto"/>
              <w:ind w:left="66" w:hanging="142"/>
              <w:jc w:val="both"/>
              <w:rPr>
                <w:rFonts w:ascii="Times New Roman" w:hAnsi="Times New Roman"/>
                <w:color w:val="000000"/>
                <w:sz w:val="24"/>
                <w:szCs w:val="24"/>
                <w:lang w:eastAsia="en-US"/>
              </w:rPr>
            </w:pPr>
            <w:r w:rsidRPr="000432DA">
              <w:rPr>
                <w:rFonts w:ascii="Times New Roman" w:hAnsi="Times New Roman"/>
                <w:color w:val="000000"/>
                <w:sz w:val="24"/>
                <w:szCs w:val="24"/>
                <w:lang w:eastAsia="en-US"/>
              </w:rPr>
              <w:t xml:space="preserve">C’est ainsi, un plan de mobilisation des prenantes et la consultation des autorités ; services techniques et de la population concernée pour reçoivent en temps et de manière compréhensible, accessible et appropriée l’information relative aux risques et effets environnementaux et sociaux du projet. Enfin de recueillir leur position par au projet. </w:t>
            </w:r>
          </w:p>
          <w:p w:rsidR="00B805ED" w:rsidRPr="000432DA" w:rsidRDefault="00B805ED" w:rsidP="008D4CD7">
            <w:pPr>
              <w:pStyle w:val="PargrafodaLista"/>
              <w:widowControl w:val="0"/>
              <w:autoSpaceDE w:val="0"/>
              <w:autoSpaceDN w:val="0"/>
              <w:adjustRightInd w:val="0"/>
              <w:spacing w:after="0" w:line="240" w:lineRule="auto"/>
              <w:ind w:left="66"/>
              <w:jc w:val="both"/>
              <w:rPr>
                <w:rFonts w:ascii="Times New Roman" w:hAnsi="Times New Roman"/>
                <w:color w:val="000000"/>
                <w:sz w:val="24"/>
                <w:szCs w:val="24"/>
                <w:lang w:eastAsia="en-US"/>
              </w:rPr>
            </w:pPr>
          </w:p>
        </w:tc>
      </w:tr>
    </w:tbl>
    <w:p w:rsidR="007B79DF" w:rsidRDefault="00BB7875" w:rsidP="007B79DF">
      <w:pPr>
        <w:pStyle w:val="PargrafodaLista"/>
        <w:keepNext/>
        <w:spacing w:before="240" w:after="240"/>
        <w:ind w:left="450" w:right="284" w:hanging="450"/>
        <w:jc w:val="both"/>
        <w:outlineLvl w:val="1"/>
        <w:rPr>
          <w:rFonts w:ascii="Times New Roman" w:hAnsi="Times New Roman"/>
          <w:b/>
          <w:sz w:val="24"/>
          <w:szCs w:val="24"/>
        </w:rPr>
      </w:pPr>
      <w:bookmarkStart w:id="182" w:name="_Toc51084422"/>
      <w:bookmarkStart w:id="183" w:name="_Toc75432288"/>
      <w:r>
        <w:rPr>
          <w:rFonts w:ascii="Times New Roman" w:hAnsi="Times New Roman"/>
          <w:b/>
          <w:sz w:val="24"/>
          <w:szCs w:val="24"/>
        </w:rPr>
        <w:t>3</w:t>
      </w:r>
      <w:r w:rsidR="007B79DF">
        <w:rPr>
          <w:rFonts w:ascii="Times New Roman" w:hAnsi="Times New Roman"/>
          <w:b/>
          <w:sz w:val="24"/>
          <w:szCs w:val="24"/>
        </w:rPr>
        <w:t>.5</w:t>
      </w:r>
      <w:r w:rsidR="007B79DF" w:rsidRPr="00206F59">
        <w:rPr>
          <w:rFonts w:ascii="Times New Roman" w:hAnsi="Times New Roman"/>
          <w:b/>
          <w:sz w:val="24"/>
          <w:szCs w:val="24"/>
        </w:rPr>
        <w:t xml:space="preserve">. </w:t>
      </w:r>
      <w:r w:rsidR="007B79DF" w:rsidRPr="00852F67">
        <w:rPr>
          <w:rFonts w:ascii="Times New Roman" w:hAnsi="Times New Roman"/>
          <w:b/>
          <w:sz w:val="24"/>
          <w:szCs w:val="24"/>
        </w:rPr>
        <w:t>LES DIRECTIVES ENVIRONNEMENTALES, SANITAIRES ET SECURITAIRES (EHS) GENERALES ET SPECIFIQUES DE LA BANQUE MONDIALE</w:t>
      </w:r>
      <w:bookmarkEnd w:id="182"/>
      <w:bookmarkEnd w:id="183"/>
    </w:p>
    <w:p w:rsidR="007B79DF" w:rsidRPr="00FA0380" w:rsidRDefault="007B79DF" w:rsidP="007B79DF">
      <w:pPr>
        <w:pStyle w:val="PargrafodaLista"/>
        <w:keepNext/>
        <w:spacing w:before="240" w:after="240"/>
        <w:ind w:left="450" w:right="284" w:hanging="450"/>
        <w:jc w:val="both"/>
        <w:rPr>
          <w:rFonts w:ascii="Times New Roman" w:hAnsi="Times New Roman"/>
          <w:b/>
          <w:sz w:val="24"/>
          <w:szCs w:val="24"/>
        </w:rPr>
      </w:pPr>
    </w:p>
    <w:p w:rsidR="007B79DF" w:rsidRPr="006B2E9E" w:rsidRDefault="007B79DF" w:rsidP="007B79DF">
      <w:pPr>
        <w:pStyle w:val="PargrafodaLista"/>
        <w:numPr>
          <w:ilvl w:val="0"/>
          <w:numId w:val="183"/>
        </w:numPr>
        <w:spacing w:after="0"/>
        <w:jc w:val="both"/>
        <w:rPr>
          <w:rFonts w:ascii="Times New Roman" w:hAnsi="Times New Roman"/>
          <w:b/>
          <w:sz w:val="24"/>
          <w:szCs w:val="24"/>
        </w:rPr>
      </w:pPr>
      <w:r w:rsidRPr="006B2E9E">
        <w:rPr>
          <w:rFonts w:ascii="Times New Roman" w:hAnsi="Times New Roman"/>
          <w:b/>
          <w:sz w:val="24"/>
          <w:szCs w:val="24"/>
        </w:rPr>
        <w:t xml:space="preserve">Qualité́ de l’air ambiant </w:t>
      </w:r>
    </w:p>
    <w:p w:rsidR="007B79DF" w:rsidRPr="00A1510A" w:rsidRDefault="007B79DF" w:rsidP="005532FE">
      <w:pPr>
        <w:jc w:val="both"/>
      </w:pPr>
      <w:r w:rsidRPr="00A1510A">
        <w:t>Les projets ayant des sources notables d’émissions</w:t>
      </w:r>
      <w:r>
        <w:t xml:space="preserve"> atmosphériques</w:t>
      </w:r>
      <w:r w:rsidRPr="00A1510A">
        <w:t xml:space="preserve"> et pouvant avoir des impacts notables sur la qualité́ de l’air ambiant, doivent prévenir ou réduire au minimum ces impacts en veillant à ce que : </w:t>
      </w:r>
    </w:p>
    <w:p w:rsidR="007B79DF" w:rsidRPr="00042DF4" w:rsidRDefault="007B79DF" w:rsidP="007B79DF">
      <w:pPr>
        <w:numPr>
          <w:ilvl w:val="0"/>
          <w:numId w:val="182"/>
        </w:numPr>
        <w:spacing w:line="259" w:lineRule="auto"/>
        <w:jc w:val="both"/>
      </w:pPr>
      <w:r w:rsidRPr="00042DF4">
        <w:t xml:space="preserve">Les émissions ne génèrent pas des concentrations de polluants qui atteignent ou dépassent les valeurs recommandées et les normes pour la qualité́ de l’air ambiant requises par la législation nationale en vigueur. En l’absence d’une telle législation, les Directives de l’OMS concernant la qualité́ de l’air ou autres sources internationales s’appliquent. </w:t>
      </w:r>
    </w:p>
    <w:p w:rsidR="007B79DF" w:rsidRDefault="007B79DF" w:rsidP="007B79DF">
      <w:pPr>
        <w:numPr>
          <w:ilvl w:val="0"/>
          <w:numId w:val="182"/>
        </w:numPr>
        <w:spacing w:line="259" w:lineRule="auto"/>
        <w:jc w:val="both"/>
      </w:pPr>
      <w:r w:rsidRPr="00042DF4">
        <w:t xml:space="preserve">Les émissions ne contribuent pas de manière significative à l’atteinte des seuils indiques par les directives </w:t>
      </w:r>
      <w:r w:rsidR="00955B8D" w:rsidRPr="00042DF4">
        <w:t>ou</w:t>
      </w:r>
      <w:r w:rsidR="00955B8D">
        <w:t xml:space="preserve"> </w:t>
      </w:r>
      <w:r w:rsidR="00E058CB" w:rsidRPr="00042DF4">
        <w:t>normes</w:t>
      </w:r>
      <w:r w:rsidR="00E058CB">
        <w:t xml:space="preserve"> </w:t>
      </w:r>
      <w:r w:rsidR="00E058CB" w:rsidRPr="00042DF4">
        <w:t xml:space="preserve">pour </w:t>
      </w:r>
      <w:r w:rsidR="00E058CB">
        <w:t>la</w:t>
      </w:r>
      <w:r w:rsidR="00E058CB" w:rsidRPr="00042DF4">
        <w:t xml:space="preserve"> </w:t>
      </w:r>
      <w:r w:rsidR="00E058CB">
        <w:t>qualité́</w:t>
      </w:r>
      <w:r w:rsidR="00C57A81">
        <w:t xml:space="preserve"> </w:t>
      </w:r>
      <w:r w:rsidRPr="00042DF4">
        <w:t xml:space="preserve"> de l’air ambiant. En règle générale, la Directive préconise de retenir un niveau représentant 25 % des normes applicables pour permettre la poursuite d’un développement durable dans un même bassin atmosphérique. </w:t>
      </w:r>
    </w:p>
    <w:p w:rsidR="007B79DF" w:rsidRPr="0057150A" w:rsidRDefault="007B79DF" w:rsidP="00345951">
      <w:pPr>
        <w:jc w:val="both"/>
      </w:pPr>
    </w:p>
    <w:p w:rsidR="007B79DF" w:rsidRPr="006B2E9E" w:rsidRDefault="007B79DF" w:rsidP="007B79DF">
      <w:pPr>
        <w:pStyle w:val="PargrafodaLista"/>
        <w:numPr>
          <w:ilvl w:val="0"/>
          <w:numId w:val="183"/>
        </w:numPr>
        <w:spacing w:after="0"/>
        <w:jc w:val="both"/>
        <w:rPr>
          <w:rFonts w:ascii="Times New Roman" w:hAnsi="Times New Roman"/>
          <w:b/>
          <w:sz w:val="24"/>
          <w:szCs w:val="24"/>
        </w:rPr>
      </w:pPr>
      <w:r w:rsidRPr="006B2E9E">
        <w:rPr>
          <w:rFonts w:ascii="Times New Roman" w:hAnsi="Times New Roman"/>
          <w:b/>
          <w:sz w:val="24"/>
          <w:szCs w:val="24"/>
        </w:rPr>
        <w:lastRenderedPageBreak/>
        <w:t xml:space="preserve">Matières particulaires </w:t>
      </w:r>
    </w:p>
    <w:p w:rsidR="007B79DF" w:rsidRDefault="007B79DF" w:rsidP="007B79DF">
      <w:pPr>
        <w:jc w:val="both"/>
      </w:pPr>
      <w:r w:rsidRPr="00FA166C">
        <w:t xml:space="preserve">Les polluants les plus couramment présents dans les émissions diffuses sont les poussières ou matières particulaires. Celles-ci sont rejetées lors de certaines opérations, telles que le transport et le stockage à l’air libre de matériaux solides. Elles proviennent également des sols exposés (routes non revêtues). Les méthodes recommandées pour prévenir et maîtriser ces émissions consistent, notamment, à : </w:t>
      </w:r>
    </w:p>
    <w:p w:rsidR="007B79DF" w:rsidRPr="00FA166C" w:rsidRDefault="007B79DF" w:rsidP="007B79DF">
      <w:pPr>
        <w:jc w:val="both"/>
      </w:pPr>
    </w:p>
    <w:p w:rsidR="007B79DF" w:rsidRPr="00FA166C" w:rsidRDefault="007B79DF" w:rsidP="007B79DF">
      <w:pPr>
        <w:numPr>
          <w:ilvl w:val="0"/>
          <w:numId w:val="182"/>
        </w:numPr>
        <w:spacing w:line="259" w:lineRule="auto"/>
        <w:jc w:val="both"/>
      </w:pPr>
      <w:r w:rsidRPr="00FA166C">
        <w:t xml:space="preserve">Utiliser des techniques de dépoussiérage telles que la couverture des matériaux, l’aspersion d’eau ou l’augmentation du degré́ hygrométrique des stocks de produits à l’air libre. Recourir à des systèmes d’extraction et de traitement de l’air au moyen de filtres ou cyclones aux sources du circuit de manutention des matériaux (convoyeurs, trémies). </w:t>
      </w:r>
    </w:p>
    <w:p w:rsidR="007B79DF" w:rsidRPr="005B2001" w:rsidRDefault="007B79DF" w:rsidP="007B79DF">
      <w:pPr>
        <w:numPr>
          <w:ilvl w:val="0"/>
          <w:numId w:val="182"/>
        </w:numPr>
        <w:spacing w:line="259" w:lineRule="auto"/>
        <w:jc w:val="both"/>
      </w:pPr>
      <w:r w:rsidRPr="002A6794">
        <w:t xml:space="preserve">Procéder à la pulvérisation d’eau pour réduire les matières meubles sur les routes revêtues et non revêtues. </w:t>
      </w:r>
    </w:p>
    <w:p w:rsidR="007B79DF" w:rsidRPr="005B2001" w:rsidRDefault="007B79DF" w:rsidP="007B79DF">
      <w:pPr>
        <w:numPr>
          <w:ilvl w:val="0"/>
          <w:numId w:val="182"/>
        </w:numPr>
        <w:spacing w:line="259" w:lineRule="auto"/>
        <w:jc w:val="both"/>
      </w:pPr>
      <w:r w:rsidRPr="005B2001">
        <w:t xml:space="preserve">Comme les autres procèdent de combustion, les moteurs des véhicules produisent des émissions comprenant, notamment du CO, du NOx, du SO2, de matières particulaires et des COV. Les émissions des véhicules routiers et tout terrain doivent être conformes aux normes nationales ou régionales. En l’absence de telles normes, il convient de procéder comme suit : </w:t>
      </w:r>
    </w:p>
    <w:p w:rsidR="007B79DF" w:rsidRPr="005B2001" w:rsidRDefault="007B79DF" w:rsidP="007B79DF">
      <w:pPr>
        <w:numPr>
          <w:ilvl w:val="0"/>
          <w:numId w:val="182"/>
        </w:numPr>
        <w:spacing w:line="259" w:lineRule="auto"/>
        <w:jc w:val="both"/>
      </w:pPr>
      <w:r w:rsidRPr="005B2001">
        <w:t xml:space="preserve">Quels que soient la taille ou le type des véhicules, les opérateurs ou propriétaires doivent suivre le programme d’entretien des moteurs recommandé par les fabricants. </w:t>
      </w:r>
    </w:p>
    <w:p w:rsidR="007B79DF" w:rsidRPr="005B2001" w:rsidRDefault="007B79DF" w:rsidP="007B79DF">
      <w:pPr>
        <w:numPr>
          <w:ilvl w:val="0"/>
          <w:numId w:val="182"/>
        </w:numPr>
        <w:spacing w:line="259" w:lineRule="auto"/>
        <w:jc w:val="both"/>
      </w:pPr>
      <w:r w:rsidRPr="005B2001">
        <w:t xml:space="preserve">Les conducteurs doivent être informés des avantages d’un mode de conduite propice à une réduction des risques d’accidents et de la consommation de carburant (ex. accélérations progressives et respect des limitations de vitesse). </w:t>
      </w:r>
    </w:p>
    <w:p w:rsidR="007B79DF" w:rsidRPr="005B2001" w:rsidRDefault="007B79DF" w:rsidP="007B79DF">
      <w:pPr>
        <w:numPr>
          <w:ilvl w:val="0"/>
          <w:numId w:val="182"/>
        </w:numPr>
        <w:spacing w:line="259" w:lineRule="auto"/>
        <w:jc w:val="both"/>
      </w:pPr>
      <w:r>
        <w:t xml:space="preserve">Les </w:t>
      </w:r>
      <w:r w:rsidRPr="005B2001">
        <w:t>propriétaires</w:t>
      </w:r>
      <w:r>
        <w:t xml:space="preserve"> de parcs ne comptant pas moins de </w:t>
      </w:r>
      <w:r w:rsidRPr="005B2001">
        <w:t>120 véhicules lourds (</w:t>
      </w:r>
      <w:r>
        <w:t xml:space="preserve">bus et camions) ou pas moins de </w:t>
      </w:r>
      <w:r w:rsidRPr="005B2001">
        <w:t xml:space="preserve">540 véhicules utilitaires légers (voitures et camionnettes) dans un bassin atmosphérique donné doivent prendre en considération des mesures complémentaires pour réduire les impacts éventuels de leurs véhicules, qui consistent notamment à : </w:t>
      </w:r>
    </w:p>
    <w:p w:rsidR="007B79DF" w:rsidRPr="005B2001" w:rsidRDefault="007B79DF" w:rsidP="007B79DF">
      <w:pPr>
        <w:numPr>
          <w:ilvl w:val="1"/>
          <w:numId w:val="182"/>
        </w:numPr>
        <w:spacing w:line="259" w:lineRule="auto"/>
        <w:jc w:val="both"/>
      </w:pPr>
      <w:r w:rsidRPr="005B2001">
        <w:t xml:space="preserve">Remplacer les véhicules les plus anciens par des véhicules plus récents, plus économes en carburant ; </w:t>
      </w:r>
    </w:p>
    <w:p w:rsidR="007B79DF" w:rsidRPr="005B2001" w:rsidRDefault="007B79DF" w:rsidP="007B79DF">
      <w:pPr>
        <w:numPr>
          <w:ilvl w:val="1"/>
          <w:numId w:val="182"/>
        </w:numPr>
        <w:spacing w:line="259" w:lineRule="auto"/>
        <w:jc w:val="both"/>
      </w:pPr>
      <w:r w:rsidRPr="005B2001">
        <w:t xml:space="preserve">Convertir les véhicules à grande utilisation pour pouvoir utiliser des carburants plus propres ; </w:t>
      </w:r>
    </w:p>
    <w:p w:rsidR="007B79DF" w:rsidRPr="005B2001" w:rsidRDefault="007B79DF" w:rsidP="007B79DF">
      <w:pPr>
        <w:numPr>
          <w:ilvl w:val="1"/>
          <w:numId w:val="182"/>
        </w:numPr>
        <w:spacing w:line="259" w:lineRule="auto"/>
        <w:jc w:val="both"/>
      </w:pPr>
      <w:r w:rsidRPr="005B2001">
        <w:t xml:space="preserve">Installer et entretenir les dispositifs de maitrise des émissions, comme les convertisseurs catalytiques ; </w:t>
      </w:r>
    </w:p>
    <w:p w:rsidR="007B79DF" w:rsidRPr="005B2001" w:rsidRDefault="007B79DF" w:rsidP="007B79DF">
      <w:pPr>
        <w:ind w:left="720"/>
        <w:jc w:val="both"/>
      </w:pPr>
    </w:p>
    <w:p w:rsidR="007B79DF" w:rsidRPr="003F3270" w:rsidRDefault="00345951" w:rsidP="007B79DF">
      <w:pPr>
        <w:pStyle w:val="PargrafodaLista"/>
        <w:numPr>
          <w:ilvl w:val="0"/>
          <w:numId w:val="183"/>
        </w:numPr>
        <w:spacing w:after="0"/>
        <w:jc w:val="both"/>
        <w:rPr>
          <w:rFonts w:ascii="Times New Roman" w:hAnsi="Times New Roman"/>
          <w:b/>
          <w:sz w:val="24"/>
          <w:szCs w:val="24"/>
        </w:rPr>
      </w:pPr>
      <w:r w:rsidRPr="003F3270">
        <w:rPr>
          <w:rFonts w:ascii="Times New Roman" w:hAnsi="Times New Roman"/>
          <w:b/>
          <w:sz w:val="24"/>
          <w:szCs w:val="24"/>
        </w:rPr>
        <w:t>La</w:t>
      </w:r>
      <w:r w:rsidR="007B79DF" w:rsidRPr="003F3270">
        <w:rPr>
          <w:rFonts w:ascii="Times New Roman" w:hAnsi="Times New Roman"/>
          <w:b/>
          <w:sz w:val="24"/>
          <w:szCs w:val="24"/>
        </w:rPr>
        <w:t xml:space="preserve"> gestion des eaux usées</w:t>
      </w:r>
    </w:p>
    <w:p w:rsidR="007B79DF" w:rsidRDefault="007B79DF" w:rsidP="007B79DF">
      <w:pPr>
        <w:jc w:val="both"/>
      </w:pPr>
      <w:r w:rsidRPr="005F03EB">
        <w:t>Ces directives fournissent des informations sur des techniques couramment employées pour la gestion des eaux usées, la réalisation d’économies d’eau et la réutilisation de l’eau, dans de nombreuses branches d’activité́. Elles doivent être appliquées en même temps que les directives relatives aux effluents présentées dans les Directives EHS spécifiques aux différentes branches d’activité́. Les projets qui peuvent produire</w:t>
      </w:r>
      <w:r>
        <w:t xml:space="preserve"> </w:t>
      </w:r>
      <w:r w:rsidRPr="005F03EB">
        <w:t xml:space="preserve">des eaux d’égout (eaux usées domestiques) ou des eaux de ruissellement doivent prendre toutes les mesures visant à éviter, réduire et maitrise les impacts négatifs qui peuvent s’exercer au plan de la santé, de la sécurité́ et de l’environnement. </w:t>
      </w:r>
    </w:p>
    <w:p w:rsidR="007B79DF" w:rsidRPr="005532FE" w:rsidRDefault="007B79DF" w:rsidP="007B79DF">
      <w:pPr>
        <w:spacing w:before="100" w:beforeAutospacing="1" w:after="100" w:afterAutospacing="1"/>
      </w:pPr>
      <w:r w:rsidRPr="00271F23">
        <w:t xml:space="preserve">Par ailleurs, la production et le rejet d’eaux usées doivent être gères par un ensemble de </w:t>
      </w:r>
      <w:r w:rsidRPr="005532FE">
        <w:t xml:space="preserve">mesures qui consistent à : </w:t>
      </w:r>
    </w:p>
    <w:p w:rsidR="007B79DF" w:rsidRPr="005532FE" w:rsidRDefault="007B79DF" w:rsidP="007B79DF">
      <w:pPr>
        <w:pStyle w:val="PargrafodaLista"/>
        <w:numPr>
          <w:ilvl w:val="2"/>
          <w:numId w:val="184"/>
        </w:numPr>
        <w:spacing w:before="100" w:beforeAutospacing="1" w:after="100" w:afterAutospacing="1" w:line="240" w:lineRule="auto"/>
        <w:ind w:left="709"/>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lastRenderedPageBreak/>
        <w:t xml:space="preserve">Utiliser l’eau de manière rationnelle pour réduire le volume d’eaux usées produites. </w:t>
      </w:r>
    </w:p>
    <w:p w:rsidR="007B79DF" w:rsidRPr="005532F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Modifier les procède, notamment en limitant les déchets et l’utilisation de matières dangereuses pour réduire la charge de polluants nécessitant un traitement. </w:t>
      </w:r>
    </w:p>
    <w:p w:rsidR="007B79DF" w:rsidRPr="005532F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Si nécessaire, procéder à un traitement des eaux usées pour réduire la charge de contaminants avant de les rejeter, compte tenu des possibilités de contaminations croisées durant les traitements (par exemple, un transfert de polluants de l’eau dans l’atmosphère ou dans les sols). </w:t>
      </w:r>
    </w:p>
    <w:p w:rsidR="007B79DF" w:rsidRPr="005532FE" w:rsidRDefault="007B79DF" w:rsidP="007B79DF">
      <w:pPr>
        <w:pStyle w:val="PargrafodaLista"/>
        <w:spacing w:before="100" w:beforeAutospacing="1" w:after="100" w:afterAutospacing="1" w:line="240" w:lineRule="auto"/>
        <w:ind w:left="1276"/>
        <w:jc w:val="both"/>
        <w:rPr>
          <w:rFonts w:ascii="Times New Roman" w:eastAsiaTheme="minorHAnsi" w:hAnsi="Times New Roman"/>
          <w:sz w:val="24"/>
          <w:szCs w:val="24"/>
          <w:lang w:eastAsia="en-US"/>
        </w:rPr>
      </w:pPr>
    </w:p>
    <w:p w:rsidR="007B79DF" w:rsidRPr="005532FE" w:rsidRDefault="007B79DF" w:rsidP="007B79DF">
      <w:pPr>
        <w:pStyle w:val="PargrafodaLista"/>
        <w:numPr>
          <w:ilvl w:val="2"/>
          <w:numId w:val="184"/>
        </w:numPr>
        <w:spacing w:before="100" w:beforeAutospacing="1" w:after="100" w:afterAutospacing="1" w:line="240" w:lineRule="auto"/>
        <w:ind w:left="709"/>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Si les eaux usées doivent être traitées avant leur rejet, l’intensité́ du traitement requis doit être déterminée sur les bases suivantes : </w:t>
      </w:r>
    </w:p>
    <w:p w:rsidR="007B79DF" w:rsidRPr="005532F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Si les eaux usées sont rejetées dans les égouts ou dans les eaux de surfaces. </w:t>
      </w:r>
    </w:p>
    <w:p w:rsidR="007B79DF" w:rsidRPr="005532F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Si les eaux usées sont rejetées dans les égouts : les normes nationales et locales établies pour l’octroi de permis et la capacité́ des égouts pour le transport et le traitement les eaux usées. </w:t>
      </w:r>
    </w:p>
    <w:p w:rsidR="007B79DF" w:rsidRPr="005532F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Si les eaux usées sont rejetées dans les eaux de surfaces : la capacité́ d’assimilation de la charge de contaminants par les eaux réceptrices. </w:t>
      </w:r>
    </w:p>
    <w:p w:rsidR="007B79DF" w:rsidRPr="005532F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L’usage qui doit être fait des ressources en eaux réceptrices (par ex. sources d’eau potable, loisirs, irrigation, navigation ou autres). </w:t>
      </w:r>
    </w:p>
    <w:p w:rsidR="007B79DF" w:rsidRPr="005532F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La présence de récepteurs (comme les espèces menacées d’extinction) ou d’habitats sensibles. </w:t>
      </w:r>
    </w:p>
    <w:p w:rsidR="007B79DF" w:rsidRPr="005532FE" w:rsidRDefault="007B79DF" w:rsidP="007B79DF">
      <w:pPr>
        <w:pStyle w:val="PargrafodaLista"/>
        <w:numPr>
          <w:ilvl w:val="3"/>
          <w:numId w:val="184"/>
        </w:numPr>
        <w:spacing w:before="100" w:beforeAutospacing="1" w:after="100" w:afterAutospacing="1" w:line="240" w:lineRule="auto"/>
        <w:ind w:left="1276"/>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Les bonnes pratiques industrielles (BPI) applicables dans la branche d’activité́ considérée. </w:t>
      </w:r>
    </w:p>
    <w:p w:rsidR="007B79DF" w:rsidRPr="005532FE" w:rsidRDefault="007B79DF" w:rsidP="007B79DF">
      <w:pPr>
        <w:pStyle w:val="PargrafodaLista"/>
        <w:spacing w:before="100" w:beforeAutospacing="1" w:after="100" w:afterAutospacing="1" w:line="240" w:lineRule="auto"/>
        <w:ind w:left="1276"/>
        <w:jc w:val="both"/>
        <w:rPr>
          <w:rFonts w:ascii="Times New Roman" w:eastAsiaTheme="minorHAnsi" w:hAnsi="Times New Roman"/>
          <w:sz w:val="24"/>
          <w:szCs w:val="24"/>
          <w:lang w:eastAsia="en-US"/>
        </w:rPr>
      </w:pPr>
    </w:p>
    <w:p w:rsidR="007B79DF" w:rsidRPr="001D7066" w:rsidRDefault="007B79DF" w:rsidP="003E1CC7">
      <w:pPr>
        <w:pStyle w:val="PargrafodaLista"/>
        <w:numPr>
          <w:ilvl w:val="0"/>
          <w:numId w:val="183"/>
        </w:numPr>
        <w:spacing w:after="0" w:line="240" w:lineRule="auto"/>
        <w:jc w:val="both"/>
        <w:rPr>
          <w:rFonts w:ascii="Times New Roman" w:hAnsi="Times New Roman"/>
          <w:b/>
          <w:sz w:val="24"/>
          <w:szCs w:val="24"/>
        </w:rPr>
      </w:pPr>
      <w:r w:rsidRPr="001D7066">
        <w:rPr>
          <w:rFonts w:ascii="Times New Roman" w:hAnsi="Times New Roman"/>
          <w:b/>
          <w:sz w:val="24"/>
          <w:szCs w:val="24"/>
        </w:rPr>
        <w:t xml:space="preserve">Qualité́ de l’eau </w:t>
      </w:r>
    </w:p>
    <w:p w:rsidR="007B79DF" w:rsidRPr="00852F67" w:rsidRDefault="007B79DF" w:rsidP="007A0119">
      <w:pPr>
        <w:spacing w:after="100" w:afterAutospacing="1"/>
        <w:jc w:val="both"/>
      </w:pPr>
      <w:r w:rsidRPr="00852F67">
        <w:t xml:space="preserve">On doit protéger en permanence les sources d’eau potable, publiques ou privées, de façon qu’elles soient conformes ou supérieures aux normes d’acceptabilité́ nationale applicables, ou, en leur absence, à l’édition en vigueur des directives de l’OMS sur la qualité́ de l’eau potable. Les émissions d’air, les effluents d’eaux usées, l’huile et les matières dangereuses, ainsi que les déchets, doivent être gères conformément aux lignes directrices fournies dans les sections correspondantes des Directives Générales sur la santé, la sécurité́ et l’environnement, dans le but de protéger le sol et les ressources en eau. </w:t>
      </w:r>
    </w:p>
    <w:p w:rsidR="007B79DF" w:rsidRPr="00852F67" w:rsidRDefault="007B79DF" w:rsidP="007B79DF">
      <w:pPr>
        <w:spacing w:before="100" w:beforeAutospacing="1" w:after="100" w:afterAutospacing="1"/>
        <w:jc w:val="both"/>
      </w:pPr>
      <w:r w:rsidRPr="00852F67">
        <w:t xml:space="preserve">Lorsque le projet comprend la fourniture d’eau à la communauté́ ou aux usagers d’infrastructures d’installations (clients d’hôtels et patients dans les hôpitaux), où l’eau peut entrer utilisée pour boire, cuisiner, laver et se laver, la qualité́ de l’eau doit être conforme aux normes d’acceptabilité́ nationales, ou, en leur absence, à l’édition en cours des directives de l’OMS sur la qualité́ de l’eau potable. La qualité́ de l’eau pour des exigences plus sensibles de bien-être, par exemple l’eau utilisée dans des installations de services de santé ou la production de denrées alimentaires, pourra nécessiter des directives ou des normes plus sévères spécifiques au secteur, selon les cas. Tout facteur de dépendance se rapportant à la fourniture d’eau à la communauté́ locale doit être programmée et gérée de façon à assurer la soutenabilité́ des fournitures d’eau en assurant la participation de la communauté́ </w:t>
      </w:r>
      <w:r w:rsidRPr="003C6482">
        <w:t xml:space="preserve">dans sa gestion, de façon à minimiser la dépendance à long terme. </w:t>
      </w:r>
    </w:p>
    <w:p w:rsidR="007B79DF" w:rsidRPr="00F2190B" w:rsidRDefault="007B79DF" w:rsidP="007B79DF">
      <w:pPr>
        <w:pStyle w:val="PargrafodaLista"/>
        <w:numPr>
          <w:ilvl w:val="0"/>
          <w:numId w:val="183"/>
        </w:numPr>
        <w:spacing w:after="0" w:line="240" w:lineRule="auto"/>
        <w:rPr>
          <w:rFonts w:ascii="Times New Roman" w:hAnsi="Times New Roman"/>
          <w:b/>
          <w:sz w:val="24"/>
          <w:szCs w:val="24"/>
        </w:rPr>
      </w:pPr>
      <w:r w:rsidRPr="00F2190B">
        <w:rPr>
          <w:rFonts w:ascii="Times New Roman" w:hAnsi="Times New Roman"/>
          <w:b/>
          <w:sz w:val="24"/>
          <w:szCs w:val="24"/>
        </w:rPr>
        <w:t xml:space="preserve">Hygiène et sécurité́ au travail </w:t>
      </w:r>
    </w:p>
    <w:p w:rsidR="007B79DF" w:rsidRPr="00852F67" w:rsidRDefault="007B79DF" w:rsidP="007B79DF">
      <w:pPr>
        <w:jc w:val="both"/>
      </w:pPr>
      <w:r w:rsidRPr="00852F67">
        <w:t xml:space="preserve">Les employeurs et les agents de maitrise sont tenus de prendre toutes les précautions raisonnables pour assurer la protection de la santé et la sécurité́ des travailleurs. La présente section fournit des conseils et des exemples de précautions raisonnables relativement à la gestion des principaux risques pour la santé et la sécurité́ au travail. Bien que l’on mette </w:t>
      </w:r>
      <w:r w:rsidRPr="00852F67">
        <w:lastRenderedPageBreak/>
        <w:t xml:space="preserve">l’accent sur la phase opérationnelle des projets, une grande partie des conseils est également applicable aux activités de construction et de démantèlement. Il est conseillé́ aux entreprises d’utiliser des fournisseurs disposant des moyens techniques de gérer les problèmes de santé et sécurité́ du travail de leurs employés, en développant l’application des activités de gestion des risques par le biais d’accords de fourniture officiels. </w:t>
      </w:r>
    </w:p>
    <w:p w:rsidR="007B79DF" w:rsidRPr="00852F67" w:rsidRDefault="007B79DF" w:rsidP="007B79DF">
      <w:pPr>
        <w:jc w:val="both"/>
      </w:pPr>
      <w:r w:rsidRPr="00852F67">
        <w:t xml:space="preserve">On doit introduire des mesures de prévention et de protection conformément à l’ordre de priorité́ suivant : </w:t>
      </w:r>
    </w:p>
    <w:p w:rsidR="007B79DF" w:rsidRPr="005532FE"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Elimination des risques par la suppression de l’activité́ du procèdé de travail. Parmi les exemples pertinents, on indiquera le remplacement par des produits chimiques moins dangereux, faisant usage de méthodes de fabrication diverses etc. </w:t>
      </w:r>
    </w:p>
    <w:p w:rsidR="007B79DF" w:rsidRPr="005532FE"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Maitrise du risque à la source par le biais de contrôles techniques. Parmi les exemples, on indiquera les systèmes de ventilation locaux, les salles protégées, les dispositifs de protection des machines, les enceintes acoustiques etc. </w:t>
      </w:r>
    </w:p>
    <w:p w:rsidR="007B79DF" w:rsidRPr="00511F40"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r w:rsidRPr="005532FE">
        <w:rPr>
          <w:rFonts w:ascii="Times New Roman" w:eastAsiaTheme="minorHAnsi" w:hAnsi="Times New Roman"/>
          <w:sz w:val="24"/>
          <w:szCs w:val="24"/>
          <w:lang w:eastAsia="en-US"/>
        </w:rPr>
        <w:t xml:space="preserve">Minimisation des risques par l’étude de systèmes de travail sans danger et de mesures de contrôle administratives ou institutionnelles. A titre d’exemple, on indiquera la rotation </w:t>
      </w:r>
      <w:r w:rsidRPr="005532FE">
        <w:rPr>
          <w:rFonts w:ascii="Times New Roman" w:hAnsi="Times New Roman"/>
          <w:sz w:val="24"/>
          <w:szCs w:val="24"/>
        </w:rPr>
        <w:t>des tâches, la formation dans des procédures de travail sans danger, les « lock-out » et « tag-out », le contrôle du lieu de travail, la limite de l’exposition ou de la durée du travail, etc.</w:t>
      </w:r>
      <w:r w:rsidRPr="00792DEB">
        <w:rPr>
          <w:rFonts w:ascii="Times New Roman" w:hAnsi="Times New Roman"/>
          <w:sz w:val="24"/>
          <w:szCs w:val="24"/>
        </w:rPr>
        <w:t xml:space="preserve"> </w:t>
      </w:r>
    </w:p>
    <w:p w:rsidR="007B79DF" w:rsidRPr="00511F40" w:rsidRDefault="007B79DF" w:rsidP="007B79DF">
      <w:pPr>
        <w:pStyle w:val="PargrafodaLista"/>
        <w:spacing w:after="100" w:afterAutospacing="1" w:line="240" w:lineRule="auto"/>
        <w:ind w:left="709"/>
        <w:jc w:val="both"/>
        <w:rPr>
          <w:rFonts w:ascii="Times New Roman" w:eastAsiaTheme="minorHAnsi" w:hAnsi="Times New Roman"/>
          <w:sz w:val="22"/>
          <w:szCs w:val="22"/>
          <w:lang w:eastAsia="en-US"/>
        </w:rPr>
      </w:pPr>
    </w:p>
    <w:p w:rsidR="007B79DF" w:rsidRPr="00511F40" w:rsidRDefault="007B79DF" w:rsidP="007B79DF">
      <w:pPr>
        <w:pStyle w:val="PargrafodaLista"/>
        <w:numPr>
          <w:ilvl w:val="0"/>
          <w:numId w:val="185"/>
        </w:numPr>
        <w:spacing w:before="100" w:beforeAutospacing="1" w:after="100" w:afterAutospacing="1" w:line="240" w:lineRule="auto"/>
        <w:rPr>
          <w:rFonts w:ascii="Times New Roman" w:hAnsi="Times New Roman"/>
          <w:sz w:val="24"/>
          <w:szCs w:val="24"/>
        </w:rPr>
      </w:pPr>
      <w:r w:rsidRPr="00511F40">
        <w:rPr>
          <w:rFonts w:ascii="Times New Roman" w:hAnsi="Times New Roman"/>
          <w:i/>
          <w:iCs/>
          <w:sz w:val="24"/>
          <w:szCs w:val="24"/>
        </w:rPr>
        <w:t xml:space="preserve">Fourniture d’équipements de protection personnelle (PPE) appropries </w:t>
      </w:r>
      <w:r w:rsidRPr="00511F40">
        <w:rPr>
          <w:rFonts w:ascii="Times New Roman" w:hAnsi="Times New Roman"/>
          <w:sz w:val="24"/>
          <w:szCs w:val="24"/>
        </w:rPr>
        <w:t xml:space="preserve">conjointement avec la formation, l’utilisation et l’entretien des PPE. </w:t>
      </w:r>
    </w:p>
    <w:p w:rsidR="007B79DF" w:rsidRPr="00852F67" w:rsidRDefault="007B79DF" w:rsidP="007B79DF">
      <w:pPr>
        <w:spacing w:before="100" w:beforeAutospacing="1" w:after="100" w:afterAutospacing="1"/>
        <w:jc w:val="both"/>
      </w:pPr>
      <w:r w:rsidRPr="00852F67">
        <w:t xml:space="preserve">L’application de mesures de prévention et de limitation des risques au travail doit être basée sur des analyses globales de la sécurité́ ou des risques sur le lieu de travail. Les résultats de ces analyses devront être prioritaires dans le cadre d’un plan d’action basé sur la probabilité́ et la gravité des conséquences de l’exposition à des risques identifies </w:t>
      </w:r>
    </w:p>
    <w:p w:rsidR="007B79DF" w:rsidRPr="008F18A4" w:rsidRDefault="007B79DF" w:rsidP="007B79DF">
      <w:pPr>
        <w:pStyle w:val="PargrafodaLista"/>
        <w:numPr>
          <w:ilvl w:val="0"/>
          <w:numId w:val="185"/>
        </w:numPr>
        <w:spacing w:before="100" w:beforeAutospacing="1" w:after="100" w:afterAutospacing="1" w:line="240" w:lineRule="auto"/>
        <w:rPr>
          <w:rFonts w:ascii="Times New Roman" w:hAnsi="Times New Roman"/>
          <w:i/>
          <w:iCs/>
          <w:sz w:val="24"/>
          <w:szCs w:val="24"/>
        </w:rPr>
      </w:pPr>
      <w:r w:rsidRPr="008F18A4">
        <w:rPr>
          <w:rFonts w:ascii="Times New Roman" w:hAnsi="Times New Roman"/>
          <w:i/>
          <w:iCs/>
          <w:sz w:val="24"/>
          <w:szCs w:val="24"/>
        </w:rPr>
        <w:t xml:space="preserve">Les installations produisant et stockant des déchets doivent appliquer les modalités suivantes : </w:t>
      </w:r>
    </w:p>
    <w:p w:rsidR="007B79DF" w:rsidRPr="00852F67" w:rsidRDefault="007B79DF" w:rsidP="007B79DF">
      <w:pPr>
        <w:spacing w:before="100" w:beforeAutospacing="1" w:after="100" w:afterAutospacing="1"/>
        <w:jc w:val="both"/>
      </w:pPr>
      <w:r w:rsidRPr="00852F67">
        <w:t xml:space="preserve">Définition des priorités de gestion des déchets dès le début des activités, sur la base des connaissances sur les risques et impacts potentiels sur l’environnement, la santé et la sécurité́, et examen de la production de déchets et ses conséquences ; </w:t>
      </w:r>
    </w:p>
    <w:p w:rsidR="007B79DF" w:rsidRPr="005532FE"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Etablissement d’une hiérarchie dans la gestion des déchets examinant la prévention, la réduction, la réutilisation, la récupération, le recyclage, l’enlèvement et, enfin, l’élimination des déchets ; </w:t>
      </w:r>
    </w:p>
    <w:p w:rsidR="007B79DF" w:rsidRPr="005532FE"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Prévention ou minimisation de la production de déchets, dans la mesure du possible ; </w:t>
      </w:r>
    </w:p>
    <w:p w:rsidR="007B79DF" w:rsidRPr="005532FE"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Lorsqu’on ne peut éviter la production de déchets, mais que l’on est parvenu à la minimiser, avec la récupération et la réutilisation de déchets ; </w:t>
      </w:r>
    </w:p>
    <w:p w:rsidR="007B79DF" w:rsidRPr="005532FE" w:rsidRDefault="007B79DF" w:rsidP="007B79DF">
      <w:pPr>
        <w:pStyle w:val="PargrafodaLista"/>
        <w:numPr>
          <w:ilvl w:val="2"/>
          <w:numId w:val="184"/>
        </w:numPr>
        <w:spacing w:after="100" w:afterAutospacing="1" w:line="240" w:lineRule="auto"/>
        <w:ind w:left="709"/>
        <w:jc w:val="both"/>
        <w:rPr>
          <w:rFonts w:ascii="Times New Roman" w:eastAsiaTheme="minorHAnsi" w:hAnsi="Times New Roman"/>
          <w:sz w:val="24"/>
          <w:szCs w:val="24"/>
          <w:lang w:eastAsia="en-US"/>
        </w:rPr>
      </w:pPr>
      <w:r w:rsidRPr="005532FE">
        <w:rPr>
          <w:rFonts w:ascii="Times New Roman" w:eastAsiaTheme="minorHAnsi" w:hAnsi="Times New Roman"/>
          <w:sz w:val="24"/>
          <w:szCs w:val="24"/>
          <w:lang w:eastAsia="en-US"/>
        </w:rPr>
        <w:t xml:space="preserve">Lorsqu’on ne peut récupérer ou réutiliser des déchets : traitement, destruction et élimination de ces mêmes déchets d’une façon qui ne nuise pas à l’environnement. </w:t>
      </w:r>
    </w:p>
    <w:p w:rsidR="00345951" w:rsidRDefault="00345951" w:rsidP="007B79DF">
      <w:pPr>
        <w:pStyle w:val="PargrafodaLista"/>
        <w:numPr>
          <w:ilvl w:val="2"/>
          <w:numId w:val="184"/>
        </w:numPr>
        <w:spacing w:after="100" w:afterAutospacing="1" w:line="240" w:lineRule="auto"/>
        <w:ind w:left="709"/>
        <w:jc w:val="both"/>
        <w:rPr>
          <w:rFonts w:ascii="Times New Roman" w:eastAsiaTheme="minorHAnsi" w:hAnsi="Times New Roman"/>
          <w:sz w:val="22"/>
          <w:szCs w:val="22"/>
          <w:lang w:eastAsia="en-US"/>
        </w:rPr>
      </w:pPr>
    </w:p>
    <w:p w:rsidR="00B805ED" w:rsidRPr="00345951" w:rsidRDefault="00BB7875" w:rsidP="007A0119">
      <w:pPr>
        <w:pStyle w:val="PargrafodaLista"/>
        <w:keepNext/>
        <w:spacing w:before="240" w:after="0"/>
        <w:ind w:left="450" w:right="284" w:hanging="450"/>
        <w:jc w:val="both"/>
        <w:outlineLvl w:val="1"/>
        <w:rPr>
          <w:rFonts w:ascii="Times New Roman" w:hAnsi="Times New Roman"/>
          <w:b/>
          <w:sz w:val="24"/>
          <w:szCs w:val="24"/>
        </w:rPr>
      </w:pPr>
      <w:bookmarkStart w:id="184" w:name="_Toc75432289"/>
      <w:r>
        <w:rPr>
          <w:rFonts w:ascii="Times New Roman" w:hAnsi="Times New Roman"/>
          <w:b/>
          <w:sz w:val="24"/>
          <w:szCs w:val="24"/>
        </w:rPr>
        <w:t>3</w:t>
      </w:r>
      <w:r w:rsidR="00345951">
        <w:rPr>
          <w:rFonts w:ascii="Times New Roman" w:hAnsi="Times New Roman"/>
          <w:b/>
          <w:sz w:val="24"/>
          <w:szCs w:val="24"/>
        </w:rPr>
        <w:t xml:space="preserve">.6 </w:t>
      </w:r>
      <w:r w:rsidR="00C069FE" w:rsidRPr="00345951">
        <w:rPr>
          <w:rFonts w:ascii="Times New Roman" w:hAnsi="Times New Roman"/>
          <w:b/>
          <w:sz w:val="24"/>
          <w:szCs w:val="24"/>
        </w:rPr>
        <w:t>L’ANALYSE COMPARATIVE</w:t>
      </w:r>
      <w:bookmarkEnd w:id="184"/>
    </w:p>
    <w:p w:rsidR="007B79DF" w:rsidRPr="008D3328" w:rsidRDefault="007B79DF"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45951">
        <w:t>De l’analyse comparative des textes nationaux et des politiques de la Banque</w:t>
      </w:r>
      <w:r w:rsidR="00C069FE" w:rsidRPr="008D3328">
        <w:t xml:space="preserve"> </w:t>
      </w:r>
      <w:r w:rsidRPr="00345951">
        <w:t>Mondiale, il ressort des convergences entre la législation Bissau Guinéennes en</w:t>
      </w:r>
      <w:r w:rsidR="00C069FE" w:rsidRPr="008D3328">
        <w:t xml:space="preserve"> </w:t>
      </w:r>
      <w:r w:rsidRPr="00345951">
        <w:t xml:space="preserve">matière d’évaluation environnementale et sociale et les </w:t>
      </w:r>
      <w:r w:rsidR="00C069FE" w:rsidRPr="008D3328">
        <w:t>normes environnementales et sociales</w:t>
      </w:r>
      <w:r w:rsidRPr="00345951">
        <w:t xml:space="preserve"> de la</w:t>
      </w:r>
      <w:r w:rsidR="00C069FE" w:rsidRPr="008D3328">
        <w:t xml:space="preserve"> </w:t>
      </w:r>
      <w:r w:rsidRPr="00345951">
        <w:t>Banque Mondiale. En effet,</w:t>
      </w:r>
    </w:p>
    <w:p w:rsidR="008D3328" w:rsidRPr="00345951" w:rsidRDefault="008D3328"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B79DF" w:rsidRPr="00345951" w:rsidRDefault="007B79DF" w:rsidP="00345951">
      <w:pPr>
        <w:pStyle w:val="PargrafodaLista"/>
        <w:numPr>
          <w:ilvl w:val="0"/>
          <w:numId w:val="1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45951">
        <w:rPr>
          <w:rFonts w:ascii="Times New Roman" w:hAnsi="Times New Roman"/>
          <w:sz w:val="24"/>
          <w:szCs w:val="24"/>
        </w:rPr>
        <w:lastRenderedPageBreak/>
        <w:t>La loi n° 10/2010 sur l’évaluation environnementale en République de Guinée-Bissau institue l’évaluation environnementale en préalable à tout politique,</w:t>
      </w:r>
      <w:r w:rsidR="00C069FE" w:rsidRPr="00345951">
        <w:rPr>
          <w:rFonts w:ascii="Times New Roman" w:hAnsi="Times New Roman"/>
          <w:sz w:val="24"/>
          <w:szCs w:val="24"/>
        </w:rPr>
        <w:t xml:space="preserve"> </w:t>
      </w:r>
      <w:r w:rsidRPr="00345951">
        <w:rPr>
          <w:rFonts w:ascii="Times New Roman" w:hAnsi="Times New Roman"/>
          <w:sz w:val="24"/>
          <w:szCs w:val="24"/>
        </w:rPr>
        <w:t xml:space="preserve">programme, plan et projet tout </w:t>
      </w:r>
      <w:r w:rsidR="00C069FE" w:rsidRPr="00345951">
        <w:rPr>
          <w:rFonts w:ascii="Times New Roman" w:hAnsi="Times New Roman"/>
          <w:sz w:val="24"/>
          <w:szCs w:val="24"/>
        </w:rPr>
        <w:t>comme la normes NES n°1 ;</w:t>
      </w:r>
    </w:p>
    <w:p w:rsidR="007B79DF" w:rsidRDefault="007B79DF" w:rsidP="00345951">
      <w:pPr>
        <w:pStyle w:val="PargrafodaLista"/>
        <w:numPr>
          <w:ilvl w:val="0"/>
          <w:numId w:val="1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45951">
        <w:rPr>
          <w:rFonts w:ascii="Times New Roman" w:hAnsi="Times New Roman"/>
          <w:sz w:val="24"/>
          <w:szCs w:val="24"/>
        </w:rPr>
        <w:t>La loi n°2/98 qui réglemente le foncier reconnait le droit coutumier et accorde à la communauté locale le pouvoir de la gestion des terres située dans leur limite territoriale historique ainsi que les ressources y afférentes. Dans cet</w:t>
      </w:r>
      <w:r w:rsidR="00C069FE" w:rsidRPr="00345951">
        <w:rPr>
          <w:rFonts w:ascii="Times New Roman" w:hAnsi="Times New Roman"/>
          <w:sz w:val="24"/>
          <w:szCs w:val="24"/>
        </w:rPr>
        <w:t xml:space="preserve"> </w:t>
      </w:r>
      <w:r w:rsidRPr="00345951">
        <w:rPr>
          <w:rFonts w:ascii="Times New Roman" w:hAnsi="Times New Roman"/>
          <w:sz w:val="24"/>
          <w:szCs w:val="24"/>
        </w:rPr>
        <w:t>esprit, le dédommagement est envisageable en cas de restriction d’accès ou de</w:t>
      </w:r>
      <w:r w:rsidR="00C069FE" w:rsidRPr="00345951">
        <w:rPr>
          <w:rFonts w:ascii="Times New Roman" w:hAnsi="Times New Roman"/>
          <w:sz w:val="24"/>
          <w:szCs w:val="24"/>
        </w:rPr>
        <w:t xml:space="preserve"> </w:t>
      </w:r>
      <w:r w:rsidRPr="00345951">
        <w:rPr>
          <w:rFonts w:ascii="Times New Roman" w:hAnsi="Times New Roman"/>
          <w:sz w:val="24"/>
          <w:szCs w:val="24"/>
        </w:rPr>
        <w:t>perte de biens</w:t>
      </w:r>
      <w:r w:rsidR="00C069FE" w:rsidRPr="00345951">
        <w:rPr>
          <w:rFonts w:ascii="Times New Roman" w:hAnsi="Times New Roman"/>
          <w:sz w:val="24"/>
          <w:szCs w:val="24"/>
        </w:rPr>
        <w:t>. Cette loi cadre avec la norme NES n°5</w:t>
      </w:r>
      <w:r w:rsidRPr="00345951">
        <w:rPr>
          <w:rFonts w:ascii="Times New Roman" w:hAnsi="Times New Roman"/>
          <w:sz w:val="24"/>
          <w:szCs w:val="24"/>
        </w:rPr>
        <w:t xml:space="preserve"> ;</w:t>
      </w:r>
    </w:p>
    <w:p w:rsidR="00345951" w:rsidRPr="00345951" w:rsidRDefault="00345951" w:rsidP="00345951">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7B79DF" w:rsidRPr="00345951" w:rsidRDefault="007B79DF" w:rsidP="00345951">
      <w:pPr>
        <w:pStyle w:val="PargrafodaLista"/>
        <w:numPr>
          <w:ilvl w:val="0"/>
          <w:numId w:val="1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45951">
        <w:rPr>
          <w:rFonts w:ascii="Times New Roman" w:hAnsi="Times New Roman"/>
          <w:sz w:val="24"/>
          <w:szCs w:val="24"/>
        </w:rPr>
        <w:t>La loi n°5/2011 portant régime des forêts statue que la classification sous le</w:t>
      </w:r>
      <w:r w:rsidR="00C069FE" w:rsidRPr="00345951">
        <w:rPr>
          <w:rFonts w:ascii="Times New Roman" w:hAnsi="Times New Roman"/>
          <w:sz w:val="24"/>
          <w:szCs w:val="24"/>
        </w:rPr>
        <w:t xml:space="preserve"> </w:t>
      </w:r>
      <w:r w:rsidRPr="00345951">
        <w:rPr>
          <w:rFonts w:ascii="Times New Roman" w:hAnsi="Times New Roman"/>
          <w:sz w:val="24"/>
          <w:szCs w:val="24"/>
        </w:rPr>
        <w:t>régime de forêt est motivée par la nécessité de conservation des ressources forestières et ceci tout le temps que l’Etat estime nécessaire pour protéger l’intérêt général ou la sauvegarde de certaines formations végétales. Cette</w:t>
      </w:r>
      <w:r w:rsidR="008D3328" w:rsidRPr="00345951">
        <w:rPr>
          <w:rFonts w:ascii="Times New Roman" w:hAnsi="Times New Roman"/>
          <w:sz w:val="24"/>
          <w:szCs w:val="24"/>
        </w:rPr>
        <w:t xml:space="preserve"> </w:t>
      </w:r>
      <w:r w:rsidRPr="00345951">
        <w:rPr>
          <w:rFonts w:ascii="Times New Roman" w:hAnsi="Times New Roman"/>
          <w:sz w:val="24"/>
          <w:szCs w:val="24"/>
        </w:rPr>
        <w:t>disposition</w:t>
      </w:r>
      <w:r w:rsidR="008D3328" w:rsidRPr="00345951">
        <w:rPr>
          <w:rFonts w:ascii="Times New Roman" w:hAnsi="Times New Roman"/>
          <w:sz w:val="24"/>
          <w:szCs w:val="24"/>
        </w:rPr>
        <w:t xml:space="preserve"> est en synergie avec la norme NES n°6</w:t>
      </w:r>
    </w:p>
    <w:p w:rsidR="007B79DF" w:rsidRPr="00345951" w:rsidRDefault="007B79DF"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45951">
        <w:t xml:space="preserve">Toutefois, des insuffisances ont été constatées notamment concernant les limites réglementaires environnementales, comme par exemple le bruit, </w:t>
      </w:r>
      <w:r w:rsidR="008D3328" w:rsidRPr="008D3328">
        <w:t>la turbidité</w:t>
      </w:r>
      <w:r w:rsidRPr="00345951">
        <w:t>, la qualité de l'eau. Dans ces cas précis, il sera fait référence aux</w:t>
      </w:r>
      <w:r w:rsidR="008D3328" w:rsidRPr="008D3328">
        <w:t xml:space="preserve"> </w:t>
      </w:r>
      <w:r w:rsidRPr="00345951">
        <w:t xml:space="preserve">Directives EHS </w:t>
      </w:r>
      <w:r w:rsidR="008D3328" w:rsidRPr="008D3328">
        <w:t xml:space="preserve">générales de la </w:t>
      </w:r>
      <w:r w:rsidRPr="00345951">
        <w:t>B</w:t>
      </w:r>
      <w:r w:rsidR="008D3328" w:rsidRPr="008D3328">
        <w:t xml:space="preserve">anque </w:t>
      </w:r>
      <w:r w:rsidRPr="00345951">
        <w:t>M</w:t>
      </w:r>
      <w:r w:rsidR="008D3328" w:rsidRPr="008D3328">
        <w:t xml:space="preserve">ondiale pour la mise en œuvre du projet. </w:t>
      </w:r>
    </w:p>
    <w:p w:rsidR="007B79DF" w:rsidRPr="00345951" w:rsidRDefault="007B79DF"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B79DF" w:rsidRPr="00345951" w:rsidRDefault="007B79DF" w:rsidP="00345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45951">
        <w:t xml:space="preserve"> Sur la base des dispositions ci-dessus préconisées, on peut affirmer que le</w:t>
      </w:r>
      <w:r w:rsidR="008D3328" w:rsidRPr="008D3328">
        <w:t xml:space="preserve"> projet PUSA</w:t>
      </w:r>
      <w:r w:rsidRPr="00345951">
        <w:t xml:space="preserve"> est en conformité avec les </w:t>
      </w:r>
      <w:r w:rsidR="008D3328" w:rsidRPr="008D3328">
        <w:t xml:space="preserve">normes environnementales et </w:t>
      </w:r>
      <w:r w:rsidR="00955B8D" w:rsidRPr="008D3328">
        <w:t>sociales</w:t>
      </w:r>
      <w:r w:rsidR="008D3328" w:rsidRPr="008D3328">
        <w:t xml:space="preserve"> de la </w:t>
      </w:r>
      <w:r w:rsidRPr="00345951">
        <w:t>Banque Mondiale. Toutefois, la mise en œuvre des prescriptions décrites</w:t>
      </w:r>
      <w:r w:rsidR="008D3328" w:rsidRPr="008D3328">
        <w:t xml:space="preserve"> </w:t>
      </w:r>
      <w:r w:rsidRPr="00345951">
        <w:t>dans le Plan Cadre de Gestion Environnementale et Sociale du présen</w:t>
      </w:r>
      <w:r w:rsidR="008D3328" w:rsidRPr="008D3328">
        <w:t>t</w:t>
      </w:r>
      <w:r w:rsidRPr="00345951">
        <w:t xml:space="preserve"> rapport s’avère nécessaire.</w:t>
      </w:r>
    </w:p>
    <w:p w:rsidR="00B805ED" w:rsidRDefault="00B805ED" w:rsidP="008E6ECB">
      <w:pPr>
        <w:spacing w:before="120" w:after="120"/>
        <w:ind w:left="-284" w:right="-142"/>
        <w:jc w:val="both"/>
      </w:pPr>
    </w:p>
    <w:p w:rsidR="00A91974" w:rsidRPr="00A05698" w:rsidRDefault="00634D7F" w:rsidP="004F0DC1">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right="-995"/>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85" w:name="_Toc75432290"/>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DESCRIPTION DU MILIEU RECEPTEUR</w:t>
      </w:r>
      <w:bookmarkEnd w:id="185"/>
    </w:p>
    <w:p w:rsidR="008B5BDA" w:rsidRPr="00A05698" w:rsidRDefault="008B5BDA" w:rsidP="004F4212">
      <w:pPr>
        <w:tabs>
          <w:tab w:val="left" w:pos="945"/>
        </w:tabs>
        <w:jc w:val="both"/>
        <w:rPr>
          <w:b/>
        </w:rPr>
      </w:pPr>
    </w:p>
    <w:p w:rsidR="007C0EBB" w:rsidRPr="00A05698" w:rsidRDefault="007C0EBB" w:rsidP="000C144F">
      <w:pPr>
        <w:spacing w:before="120" w:after="120"/>
        <w:ind w:left="-284" w:right="-142"/>
        <w:jc w:val="both"/>
      </w:pPr>
      <w:r w:rsidRPr="00A05698">
        <w:t xml:space="preserve">Le champ d’étude définit de façon globale toutes les composantes naturelles et humaines de l’environnement susceptibles d’être touchées </w:t>
      </w:r>
      <w:r w:rsidR="00C41628" w:rsidRPr="00A05698">
        <w:t xml:space="preserve">lors de la mise en œuvre </w:t>
      </w:r>
      <w:r w:rsidRPr="00A05698">
        <w:t>du projet</w:t>
      </w:r>
      <w:r w:rsidR="00C41628" w:rsidRPr="00A05698">
        <w:t xml:space="preserve"> PUSA</w:t>
      </w:r>
      <w:r w:rsidRPr="00A05698">
        <w:t xml:space="preserve"> et l’exploitation des </w:t>
      </w:r>
      <w:r w:rsidR="00C41628" w:rsidRPr="00A05698">
        <w:t xml:space="preserve">infrastructures prévus pour atteindre la </w:t>
      </w:r>
      <w:r w:rsidR="00F41576" w:rsidRPr="00A05698">
        <w:t>sécurit</w:t>
      </w:r>
      <w:r w:rsidR="00F41576">
        <w:t>é</w:t>
      </w:r>
      <w:r w:rsidR="00C41628" w:rsidRPr="00A05698">
        <w:t xml:space="preserve"> alimentaire.</w:t>
      </w:r>
    </w:p>
    <w:p w:rsidR="009E776A" w:rsidRPr="00A05698" w:rsidRDefault="009E776A" w:rsidP="009E776A">
      <w:pPr>
        <w:spacing w:before="120" w:after="120"/>
        <w:ind w:left="-284"/>
        <w:jc w:val="both"/>
        <w:sectPr w:rsidR="009E776A" w:rsidRPr="00A05698" w:rsidSect="0091298F">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426" w:footer="0" w:gutter="0"/>
          <w:cols w:space="708"/>
          <w:titlePg/>
          <w:docGrid w:linePitch="360"/>
        </w:sectPr>
      </w:pPr>
    </w:p>
    <w:bookmarkStart w:id="186" w:name="_Toc75432291"/>
    <w:p w:rsidR="00E058CB" w:rsidRPr="00E058CB" w:rsidRDefault="00E058CB" w:rsidP="00E058CB">
      <w:pPr>
        <w:pStyle w:val="Cabealho2"/>
        <w:numPr>
          <w:ilvl w:val="0"/>
          <w:numId w:val="0"/>
        </w:numPr>
        <w:ind w:left="-709"/>
        <w:rPr>
          <w:rFonts w:ascii="Times New Roman" w:eastAsia="Calibri" w:hAnsi="Times New Roman"/>
          <w:bCs w:val="0"/>
          <w:i w:val="0"/>
          <w:sz w:val="24"/>
          <w:szCs w:val="24"/>
        </w:rPr>
      </w:pPr>
      <w:r w:rsidRPr="00E058CB">
        <w:rPr>
          <w:rFonts w:eastAsia="Calibri"/>
          <w:bCs w:val="0"/>
          <w:i w:val="0"/>
          <w:noProof/>
          <w:lang w:val="pt-PT" w:eastAsia="pt-PT"/>
        </w:rPr>
        <w:lastRenderedPageBreak/>
        <mc:AlternateContent>
          <mc:Choice Requires="wps">
            <w:drawing>
              <wp:anchor distT="0" distB="0" distL="114300" distR="114300" simplePos="0" relativeHeight="251658275" behindDoc="0" locked="0" layoutInCell="1" allowOverlap="1" wp14:anchorId="571A4299" wp14:editId="047A5D89">
                <wp:simplePos x="0" y="0"/>
                <wp:positionH relativeFrom="column">
                  <wp:posOffset>-324305</wp:posOffset>
                </wp:positionH>
                <wp:positionV relativeFrom="paragraph">
                  <wp:posOffset>343714</wp:posOffset>
                </wp:positionV>
                <wp:extent cx="2515235" cy="5318267"/>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2515235" cy="53182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93642" w:rsidRPr="00083B97" w:rsidRDefault="00293642" w:rsidP="00093A98">
                            <w:pPr>
                              <w:spacing w:before="120" w:after="120"/>
                              <w:ind w:left="-142" w:right="-35"/>
                              <w:jc w:val="both"/>
                              <w:rPr>
                                <w:sz w:val="22"/>
                                <w:szCs w:val="22"/>
                              </w:rPr>
                            </w:pPr>
                            <w:r w:rsidRPr="00083B97">
                              <w:rPr>
                                <w:sz w:val="22"/>
                                <w:szCs w:val="22"/>
                              </w:rPr>
                              <w:t xml:space="preserve">Située sur la côte Occidentale de l’Afrique, la République de Guinée-Bissau est localisée entre les parallèles 10º 59´ et 12º 20´ Nord et les méridiens 13º 40´ et 13º 43´ Ouest. La Guinée Bissau est un pays lusophone qui s’étend sur un territoire de 36.125 km2.  </w:t>
                            </w:r>
                          </w:p>
                          <w:p w:rsidR="00293642" w:rsidRPr="00083B97" w:rsidRDefault="00293642" w:rsidP="00093A98">
                            <w:pPr>
                              <w:spacing w:before="120" w:after="120"/>
                              <w:ind w:left="-142" w:right="-35"/>
                              <w:jc w:val="both"/>
                              <w:rPr>
                                <w:sz w:val="22"/>
                                <w:szCs w:val="22"/>
                              </w:rPr>
                            </w:pPr>
                            <w:r w:rsidRPr="00083B97">
                              <w:rPr>
                                <w:sz w:val="22"/>
                                <w:szCs w:val="22"/>
                              </w:rPr>
                              <w:t xml:space="preserve">Elle est limitée par le Sénégal au Nord, la Guinée Conakry à l’Est et au Sud, et l’Océan Atlantique à L’Ouest.  D’après les résultats préliminaires du RGPH, mené en mars 2009 par l’Institut National de la Statistique et du Recensement (INEC), la population totale du pays est estimée à 1.548.159 habitants, dont 755.859 sont de sexe masculin et 792.300 féminins. Le taux de croissance est de 2,54%, en augmentation par rapport aux données du recensement de l’année 1991 qui était de 2,03%, avec une population totale à l’époque de 979.203.  </w:t>
                            </w:r>
                          </w:p>
                          <w:p w:rsidR="00293642" w:rsidRPr="00083B97" w:rsidRDefault="00293642" w:rsidP="00093A98">
                            <w:pPr>
                              <w:spacing w:before="120" w:after="120"/>
                              <w:ind w:left="-142" w:right="-35"/>
                              <w:jc w:val="both"/>
                              <w:rPr>
                                <w:sz w:val="22"/>
                                <w:szCs w:val="22"/>
                              </w:rPr>
                            </w:pPr>
                            <w:r w:rsidRPr="00083B97">
                              <w:rPr>
                                <w:sz w:val="22"/>
                                <w:szCs w:val="22"/>
                              </w:rPr>
                              <w:t>Au plan administratif, le pays est divisé en huit régions et un secteur autonome (</w:t>
                            </w:r>
                            <w:r w:rsidRPr="00083B97">
                              <w:rPr>
                                <w:i/>
                                <w:iCs/>
                                <w:sz w:val="22"/>
                                <w:szCs w:val="22"/>
                              </w:rPr>
                              <w:t xml:space="preserve">Fig. </w:t>
                            </w:r>
                            <w:r>
                              <w:rPr>
                                <w:i/>
                                <w:iCs/>
                                <w:sz w:val="22"/>
                                <w:szCs w:val="22"/>
                              </w:rPr>
                              <w:t>4</w:t>
                            </w:r>
                            <w:r w:rsidRPr="00083B97">
                              <w:rPr>
                                <w:i/>
                                <w:iCs/>
                                <w:sz w:val="22"/>
                                <w:szCs w:val="22"/>
                              </w:rPr>
                              <w:t xml:space="preserve"> ci-dessous</w:t>
                            </w:r>
                            <w:r w:rsidRPr="00083B97">
                              <w:rPr>
                                <w:sz w:val="22"/>
                                <w:szCs w:val="22"/>
                              </w:rPr>
                              <w:t>) : Bafata, Biombo, Bolama/Bijagos, Cacheu, Gabu, Oio, Quinara, Tombali et le Secteur Autonome de Bissau. Les régions sont chacune divisée en secteurs (trente-six au total) et les secteurs sont quant à eux divisés en sections qui à leur tour sont composées de « Tabankas » (villages).</w:t>
                            </w:r>
                          </w:p>
                          <w:p w:rsidR="00293642" w:rsidRDefault="00293642" w:rsidP="00093A98">
                            <w:pPr>
                              <w:ind w:right="-3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A4299" id="Zone de texte 26" o:spid="_x0000_s1035" type="#_x0000_t202" style="position:absolute;left:0;text-align:left;margin-left:-25.55pt;margin-top:27.05pt;width:198.05pt;height:418.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" filled="f" stroked="f">
                <v:textbox>
                  <w:txbxContent>
                    <w:p w14:paraId="49BFD938" w14:textId="77777777" w:rsidR="00293642" w:rsidRPr="00083B97" w:rsidRDefault="00293642" w:rsidP="00093A98">
                      <w:pPr>
                        <w:spacing w:before="120" w:after="120"/>
                        <w:ind w:left="-142" w:right="-35"/>
                        <w:jc w:val="both"/>
                        <w:rPr>
                          <w:sz w:val="22"/>
                          <w:szCs w:val="22"/>
                        </w:rPr>
                      </w:pPr>
                      <w:r w:rsidRPr="00083B97">
                        <w:rPr>
                          <w:sz w:val="22"/>
                          <w:szCs w:val="22"/>
                        </w:rPr>
                        <w:t xml:space="preserve">Située sur la côte Occidentale de l’Afrique, la République de Guinée-Bissau est localisée entre les parallèles 10º 59´ et 12º 20´ Nord et les méridiens 13º 40´ et 13º 43´ Ouest. La Guinée Bissau est un pays lusophone qui s’étend sur un territoire de 36.125 km2.  </w:t>
                      </w:r>
                    </w:p>
                    <w:p w14:paraId="5FFD1581" w14:textId="77777777" w:rsidR="00293642" w:rsidRPr="00083B97" w:rsidRDefault="00293642" w:rsidP="00093A98">
                      <w:pPr>
                        <w:spacing w:before="120" w:after="120"/>
                        <w:ind w:left="-142" w:right="-35"/>
                        <w:jc w:val="both"/>
                        <w:rPr>
                          <w:sz w:val="22"/>
                          <w:szCs w:val="22"/>
                        </w:rPr>
                      </w:pPr>
                      <w:r w:rsidRPr="00083B97">
                        <w:rPr>
                          <w:sz w:val="22"/>
                          <w:szCs w:val="22"/>
                        </w:rPr>
                        <w:t xml:space="preserve">Elle est limitée par le Sénégal au Nord, la Guinée Conakry à l’Est et au Sud, et l’Océan Atlantique à L’Ouest.  D’après les résultats préliminaires du RGPH, mené en mars 2009 par l’Institut National de la Statistique et du Recensement (INEC), la population totale du pays est estimée à 1.548.159 habitants, dont 755.859 sont de sexe masculin et 792.300 féminins. Le taux de croissance est de 2,54%, en augmentation par rapport aux données du recensement de l’année 1991 qui était de 2,03%, avec une population totale à l’époque de 979.203.  </w:t>
                      </w:r>
                    </w:p>
                    <w:p w14:paraId="0B2EDFBE" w14:textId="77777777" w:rsidR="00293642" w:rsidRPr="00083B97" w:rsidRDefault="00293642" w:rsidP="00093A98">
                      <w:pPr>
                        <w:spacing w:before="120" w:after="120"/>
                        <w:ind w:left="-142" w:right="-35"/>
                        <w:jc w:val="both"/>
                        <w:rPr>
                          <w:sz w:val="22"/>
                          <w:szCs w:val="22"/>
                        </w:rPr>
                      </w:pPr>
                      <w:r w:rsidRPr="00083B97">
                        <w:rPr>
                          <w:sz w:val="22"/>
                          <w:szCs w:val="22"/>
                        </w:rPr>
                        <w:t>Au plan administratif, le pays est divisé en huit régions et un secteur autonome (</w:t>
                      </w:r>
                      <w:r w:rsidRPr="00083B97">
                        <w:rPr>
                          <w:i/>
                          <w:iCs/>
                          <w:sz w:val="22"/>
                          <w:szCs w:val="22"/>
                        </w:rPr>
                        <w:t xml:space="preserve">Fig. </w:t>
                      </w:r>
                      <w:r>
                        <w:rPr>
                          <w:i/>
                          <w:iCs/>
                          <w:sz w:val="22"/>
                          <w:szCs w:val="22"/>
                        </w:rPr>
                        <w:t>4</w:t>
                      </w:r>
                      <w:r w:rsidRPr="00083B97">
                        <w:rPr>
                          <w:i/>
                          <w:iCs/>
                          <w:sz w:val="22"/>
                          <w:szCs w:val="22"/>
                        </w:rPr>
                        <w:t xml:space="preserve"> ci-dessous</w:t>
                      </w:r>
                      <w:r w:rsidRPr="00083B97">
                        <w:rPr>
                          <w:sz w:val="22"/>
                          <w:szCs w:val="22"/>
                        </w:rPr>
                        <w:t>) : Bafata, Biombo, Bolama/Bijagos, Cacheu, Gabu, Oio, Quinara, Tombali et le Secteur Autonome de Bissau. Les régions sont chacune divisée en secteurs (trente-six au total) et les secteurs sont quant à eux divisés en sections qui à leur tour sont composées de « Tabankas » (villages).</w:t>
                      </w:r>
                    </w:p>
                    <w:p w14:paraId="204A2264" w14:textId="77777777" w:rsidR="00293642" w:rsidRDefault="00293642" w:rsidP="00093A98">
                      <w:pPr>
                        <w:ind w:right="-35"/>
                      </w:pPr>
                    </w:p>
                  </w:txbxContent>
                </v:textbox>
                <w10:wrap type="square"/>
              </v:shape>
            </w:pict>
          </mc:Fallback>
        </mc:AlternateContent>
      </w:r>
      <w:r w:rsidR="00F91B57" w:rsidRPr="00E058CB">
        <w:rPr>
          <w:rFonts w:eastAsia="Calibri"/>
          <w:bCs w:val="0"/>
          <w:i w:val="0"/>
          <w:noProof/>
          <w:lang w:val="pt-PT" w:eastAsia="pt-PT"/>
        </w:rPr>
        <mc:AlternateContent>
          <mc:Choice Requires="wps">
            <w:drawing>
              <wp:anchor distT="0" distB="0" distL="114300" distR="114300" simplePos="0" relativeHeight="251658276" behindDoc="0" locked="0" layoutInCell="1" allowOverlap="1" wp14:anchorId="2679D0BF" wp14:editId="2A49FAC4">
                <wp:simplePos x="0" y="0"/>
                <wp:positionH relativeFrom="column">
                  <wp:posOffset>2495712</wp:posOffset>
                </wp:positionH>
                <wp:positionV relativeFrom="paragraph">
                  <wp:posOffset>5353951</wp:posOffset>
                </wp:positionV>
                <wp:extent cx="7162800" cy="307975"/>
                <wp:effectExtent l="0" t="0" r="0" b="0"/>
                <wp:wrapSquare wrapText="bothSides"/>
                <wp:docPr id="28" name="Zone de texte 28"/>
                <wp:cNvGraphicFramePr/>
                <a:graphic xmlns:a="http://schemas.openxmlformats.org/drawingml/2006/main">
                  <a:graphicData uri="http://schemas.microsoft.com/office/word/2010/wordprocessingShape">
                    <wps:wsp>
                      <wps:cNvSpPr txBox="1"/>
                      <wps:spPr>
                        <a:xfrm>
                          <a:off x="0" y="0"/>
                          <a:ext cx="7162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93642" w:rsidRPr="00A05698" w:rsidRDefault="00293642" w:rsidP="00AB2B9F">
                            <w:pPr>
                              <w:pStyle w:val="Cabealho6"/>
                              <w:numPr>
                                <w:ilvl w:val="0"/>
                                <w:numId w:val="0"/>
                              </w:numPr>
                              <w:spacing w:before="0" w:line="240" w:lineRule="auto"/>
                              <w:ind w:left="1135"/>
                              <w:jc w:val="center"/>
                              <w:rPr>
                                <w:rFonts w:ascii="Times New Roman" w:hAnsi="Times New Roman"/>
                              </w:rPr>
                            </w:pPr>
                            <w:bookmarkStart w:id="187" w:name="_Toc75433068"/>
                            <w:r w:rsidRPr="00A05698">
                              <w:rPr>
                                <w:b/>
                              </w:rPr>
                              <w:t xml:space="preserve">Figure </w:t>
                            </w:r>
                            <w:r w:rsidRPr="00A05698">
                              <w:rPr>
                                <w:b/>
                              </w:rPr>
                              <w:fldChar w:fldCharType="begin"/>
                            </w:r>
                            <w:r w:rsidRPr="00A05698">
                              <w:rPr>
                                <w:b/>
                              </w:rPr>
                              <w:instrText xml:space="preserve"> </w:instrText>
                            </w:r>
                            <w:r>
                              <w:rPr>
                                <w:b/>
                              </w:rPr>
                              <w:instrText>SEQ</w:instrText>
                            </w:r>
                            <w:r w:rsidRPr="00A05698">
                              <w:rPr>
                                <w:b/>
                              </w:rPr>
                              <w:instrText xml:space="preserve"> Figure \* ARABIC </w:instrText>
                            </w:r>
                            <w:r w:rsidRPr="00A05698">
                              <w:rPr>
                                <w:b/>
                              </w:rPr>
                              <w:fldChar w:fldCharType="separate"/>
                            </w:r>
                            <w:r>
                              <w:rPr>
                                <w:b/>
                                <w:noProof/>
                              </w:rPr>
                              <w:t>3</w:t>
                            </w:r>
                            <w:r w:rsidRPr="00A05698">
                              <w:rPr>
                                <w:b/>
                                <w:noProof/>
                              </w:rPr>
                              <w:fldChar w:fldCharType="end"/>
                            </w:r>
                            <w:r w:rsidRPr="00A05698">
                              <w:rPr>
                                <w:rFonts w:ascii="Times New Roman" w:hAnsi="Times New Roman"/>
                              </w:rPr>
                              <w:t xml:space="preserve"> : Carte géographique de la république de Guinée Bissau</w:t>
                            </w:r>
                            <w:bookmarkEnd w:id="187"/>
                          </w:p>
                          <w:p w:rsidR="00293642" w:rsidRDefault="00293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9D0BF" id="Zone de texte 28" o:spid="_x0000_s1036" type="#_x0000_t202" style="position:absolute;left:0;text-align:left;margin-left:196.5pt;margin-top:421.55pt;width:564pt;height:24.2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" filled="f" stroked="f">
                <v:textbox>
                  <w:txbxContent>
                    <w:p w14:paraId="2777DDD4" w14:textId="77777777" w:rsidR="00293642" w:rsidRPr="00A05698" w:rsidRDefault="00293642" w:rsidP="00AB2B9F">
                      <w:pPr>
                        <w:pStyle w:val="Heading6"/>
                        <w:numPr>
                          <w:ilvl w:val="0"/>
                          <w:numId w:val="0"/>
                        </w:numPr>
                        <w:spacing w:before="0" w:line="240" w:lineRule="auto"/>
                        <w:ind w:left="1135"/>
                        <w:jc w:val="center"/>
                        <w:rPr>
                          <w:rFonts w:ascii="Times New Roman" w:hAnsi="Times New Roman"/>
                        </w:rPr>
                      </w:pPr>
                      <w:bookmarkStart w:id="432" w:name="_Toc75433068"/>
                      <w:r w:rsidRPr="00A05698">
                        <w:rPr>
                          <w:b/>
                        </w:rPr>
                        <w:t xml:space="preserve">Figure </w:t>
                      </w:r>
                      <w:r w:rsidRPr="00A05698">
                        <w:rPr>
                          <w:b/>
                        </w:rPr>
                        <w:fldChar w:fldCharType="begin"/>
                      </w:r>
                      <w:r w:rsidRPr="00A05698">
                        <w:rPr>
                          <w:b/>
                        </w:rPr>
                        <w:instrText xml:space="preserve"> </w:instrText>
                      </w:r>
                      <w:r>
                        <w:rPr>
                          <w:b/>
                        </w:rPr>
                        <w:instrText>SEQ</w:instrText>
                      </w:r>
                      <w:r w:rsidRPr="00A05698">
                        <w:rPr>
                          <w:b/>
                        </w:rPr>
                        <w:instrText xml:space="preserve"> Figure \* ARABIC </w:instrText>
                      </w:r>
                      <w:r w:rsidRPr="00A05698">
                        <w:rPr>
                          <w:b/>
                        </w:rPr>
                        <w:fldChar w:fldCharType="separate"/>
                      </w:r>
                      <w:r>
                        <w:rPr>
                          <w:b/>
                          <w:noProof/>
                        </w:rPr>
                        <w:t>3</w:t>
                      </w:r>
                      <w:r w:rsidRPr="00A05698">
                        <w:rPr>
                          <w:b/>
                          <w:noProof/>
                        </w:rPr>
                        <w:fldChar w:fldCharType="end"/>
                      </w:r>
                      <w:r w:rsidRPr="00A05698">
                        <w:rPr>
                          <w:rFonts w:ascii="Times New Roman" w:hAnsi="Times New Roman"/>
                        </w:rPr>
                        <w:t xml:space="preserve"> : Carte géographique de la république de Guinée Bissau</w:t>
                      </w:r>
                      <w:bookmarkEnd w:id="432"/>
                    </w:p>
                    <w:p w14:paraId="3C85C3BD" w14:textId="77777777" w:rsidR="00293642" w:rsidRDefault="00293642"/>
                  </w:txbxContent>
                </v:textbox>
                <w10:wrap type="square"/>
              </v:shape>
            </w:pict>
          </mc:Fallback>
        </mc:AlternateContent>
      </w:r>
      <w:r w:rsidR="00AB2B9F" w:rsidRPr="00E058CB">
        <w:rPr>
          <w:rFonts w:eastAsia="Calibri"/>
          <w:bCs w:val="0"/>
          <w:i w:val="0"/>
          <w:noProof/>
          <w:lang w:val="pt-PT" w:eastAsia="pt-PT"/>
        </w:rPr>
        <w:drawing>
          <wp:anchor distT="0" distB="0" distL="114300" distR="114300" simplePos="0" relativeHeight="251658263" behindDoc="1" locked="0" layoutInCell="1" allowOverlap="1" wp14:anchorId="732600B3" wp14:editId="5477A07A">
            <wp:simplePos x="0" y="0"/>
            <wp:positionH relativeFrom="page">
              <wp:posOffset>2902585</wp:posOffset>
            </wp:positionH>
            <wp:positionV relativeFrom="margin">
              <wp:posOffset>24130</wp:posOffset>
            </wp:positionV>
            <wp:extent cx="7397115" cy="5249545"/>
            <wp:effectExtent l="25400" t="25400" r="19685" b="33655"/>
            <wp:wrapTight wrapText="bothSides">
              <wp:wrapPolygon edited="0">
                <wp:start x="-74" y="-105"/>
                <wp:lineTo x="-74" y="21634"/>
                <wp:lineTo x="21583" y="21634"/>
                <wp:lineTo x="21583" y="-105"/>
                <wp:lineTo x="-74" y="-105"/>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uinee-bissau_detail_5.jpg"/>
                    <pic:cNvPicPr/>
                  </pic:nvPicPr>
                  <pic:blipFill>
                    <a:blip r:embed="rId31" cstate="email">
                      <a:extLst>
                        <a:ext uri="{28A0092B-C50C-407E-A947-70E740481C1C}">
                          <a14:useLocalDpi xmlns:a14="http://schemas.microsoft.com/office/drawing/2010/main"/>
                        </a:ext>
                      </a:extLst>
                    </a:blip>
                    <a:stretch>
                      <a:fillRect/>
                    </a:stretch>
                  </pic:blipFill>
                  <pic:spPr>
                    <a:xfrm>
                      <a:off x="0" y="0"/>
                      <a:ext cx="7397115" cy="5249545"/>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bookmarkStart w:id="188" w:name="_Toc69918365"/>
      <w:bookmarkStart w:id="189" w:name="_Toc69918517"/>
      <w:bookmarkStart w:id="190" w:name="_Toc4770147"/>
      <w:r w:rsidRPr="00E058CB">
        <w:rPr>
          <w:rFonts w:ascii="Times New Roman" w:eastAsia="Calibri" w:hAnsi="Times New Roman"/>
          <w:bCs w:val="0"/>
          <w:i w:val="0"/>
          <w:sz w:val="24"/>
          <w:szCs w:val="24"/>
        </w:rPr>
        <w:t>4.1. SITUATION GEOGRAPHIQUE</w:t>
      </w:r>
      <w:bookmarkEnd w:id="186"/>
      <w:bookmarkEnd w:id="188"/>
      <w:bookmarkEnd w:id="189"/>
      <w:r w:rsidRPr="00E058CB">
        <w:rPr>
          <w:rFonts w:ascii="Times New Roman" w:eastAsia="Calibri" w:hAnsi="Times New Roman"/>
          <w:bCs w:val="0"/>
          <w:i w:val="0"/>
          <w:sz w:val="24"/>
          <w:szCs w:val="24"/>
        </w:rPr>
        <w:t xml:space="preserve">  </w:t>
      </w:r>
    </w:p>
    <w:p w:rsidR="007C0EBB" w:rsidRPr="00E058CB" w:rsidRDefault="007C0EBB" w:rsidP="004F4212">
      <w:pPr>
        <w:pStyle w:val="Primeiroavanodecorpodetexto2"/>
        <w:spacing w:line="240" w:lineRule="auto"/>
        <w:rPr>
          <w:rFonts w:ascii="Times New Roman" w:eastAsia="Calibri" w:hAnsi="Times New Roman"/>
          <w:b/>
          <w:bCs/>
          <w:sz w:val="24"/>
          <w:szCs w:val="24"/>
        </w:rPr>
        <w:sectPr w:rsidR="007C0EBB" w:rsidRPr="00E058CB" w:rsidSect="00242A77">
          <w:pgSz w:w="16838" w:h="11906" w:orient="landscape"/>
          <w:pgMar w:top="1418" w:right="851" w:bottom="567" w:left="1134" w:header="284" w:footer="709" w:gutter="0"/>
          <w:cols w:space="708"/>
          <w:docGrid w:linePitch="360"/>
        </w:sectPr>
      </w:pPr>
    </w:p>
    <w:p w:rsidR="00A02BDD" w:rsidRPr="00A05698" w:rsidRDefault="009E776A" w:rsidP="008B5FD6">
      <w:pPr>
        <w:pStyle w:val="PargrafodaLista"/>
        <w:spacing w:after="0" w:line="240" w:lineRule="auto"/>
        <w:ind w:left="1068"/>
        <w:jc w:val="center"/>
        <w:outlineLvl w:val="1"/>
        <w:rPr>
          <w:rFonts w:ascii="Times New Roman" w:hAnsi="Times New Roman"/>
          <w:b/>
          <w:bCs/>
          <w:sz w:val="24"/>
          <w:szCs w:val="24"/>
        </w:rPr>
      </w:pPr>
      <w:bookmarkStart w:id="191" w:name="_Toc51084432"/>
      <w:bookmarkStart w:id="192" w:name="_Toc535396919"/>
      <w:bookmarkStart w:id="193" w:name="_Toc6310457"/>
      <w:bookmarkStart w:id="194" w:name="_Toc75432292"/>
      <w:bookmarkEnd w:id="190"/>
      <w:r w:rsidRPr="00A05698">
        <w:rPr>
          <w:rFonts w:ascii="Times New Roman" w:hAnsi="Times New Roman"/>
          <w:b/>
          <w:bCs/>
          <w:sz w:val="24"/>
          <w:szCs w:val="24"/>
        </w:rPr>
        <w:lastRenderedPageBreak/>
        <w:t>4.2</w:t>
      </w:r>
      <w:r w:rsidR="007C0EBB" w:rsidRPr="00A05698">
        <w:rPr>
          <w:rFonts w:ascii="Times New Roman" w:hAnsi="Times New Roman"/>
          <w:b/>
          <w:bCs/>
          <w:sz w:val="24"/>
          <w:szCs w:val="24"/>
        </w:rPr>
        <w:t>. ENVIRONNEMENT PHYSIQUE ET BIOPHYSIQUE DE LA ZONE D’INFLUENCE</w:t>
      </w:r>
      <w:bookmarkEnd w:id="191"/>
      <w:bookmarkEnd w:id="192"/>
      <w:bookmarkEnd w:id="193"/>
      <w:bookmarkEnd w:id="194"/>
    </w:p>
    <w:p w:rsidR="007C0EBB" w:rsidRPr="00A05698" w:rsidRDefault="00A02BDD" w:rsidP="00E058CB">
      <w:pPr>
        <w:pStyle w:val="PargrafodaLista"/>
        <w:keepNext/>
        <w:spacing w:after="0" w:line="240" w:lineRule="auto"/>
        <w:ind w:left="1158" w:right="284" w:firstLine="258"/>
        <w:jc w:val="both"/>
        <w:outlineLvl w:val="2"/>
        <w:rPr>
          <w:rFonts w:ascii="Times New Roman" w:hAnsi="Times New Roman"/>
          <w:b/>
          <w:sz w:val="24"/>
          <w:szCs w:val="24"/>
        </w:rPr>
      </w:pPr>
      <w:bookmarkStart w:id="195" w:name="_Toc535396922"/>
      <w:bookmarkStart w:id="196" w:name="_Toc6310460"/>
      <w:bookmarkStart w:id="197" w:name="_Toc51084433"/>
      <w:r w:rsidRPr="00A05698">
        <w:rPr>
          <w:rFonts w:ascii="Times New Roman" w:hAnsi="Times New Roman"/>
          <w:b/>
          <w:sz w:val="24"/>
          <w:szCs w:val="24"/>
        </w:rPr>
        <w:t>4.2</w:t>
      </w:r>
      <w:r w:rsidR="007C0EBB" w:rsidRPr="00A05698">
        <w:rPr>
          <w:rFonts w:ascii="Times New Roman" w:hAnsi="Times New Roman"/>
          <w:b/>
          <w:sz w:val="24"/>
          <w:szCs w:val="24"/>
        </w:rPr>
        <w:t>.1. Le Climat</w:t>
      </w:r>
      <w:bookmarkEnd w:id="195"/>
      <w:bookmarkEnd w:id="196"/>
      <w:bookmarkEnd w:id="197"/>
    </w:p>
    <w:p w:rsidR="007C0EBB" w:rsidRPr="00A05698" w:rsidRDefault="007C0EBB" w:rsidP="004D4358">
      <w:pPr>
        <w:spacing w:before="120" w:after="120"/>
        <w:jc w:val="both"/>
      </w:pPr>
      <w:r w:rsidRPr="00A05698">
        <w:t xml:space="preserve">Les caractéristiques climatiques de la Guinée-Bissau résultent de </w:t>
      </w:r>
      <w:r w:rsidR="00445E1B" w:rsidRPr="00A05698">
        <w:t>sa</w:t>
      </w:r>
      <w:r w:rsidRPr="00A05698">
        <w:t xml:space="preserve"> position géographique. La Guinée-Bissau est située à la même distance entre l</w:t>
      </w:r>
      <w:r w:rsidR="00A05714" w:rsidRPr="00A05698">
        <w:t>’</w:t>
      </w:r>
      <w:r w:rsidRPr="00A05698">
        <w:t>équateur et le tropique du cancer et sur l</w:t>
      </w:r>
      <w:r w:rsidR="00A05714" w:rsidRPr="00A05698">
        <w:t>’</w:t>
      </w:r>
      <w:r w:rsidRPr="00A05698">
        <w:t>océan Atlantique, entre la vaste masse maritime de l</w:t>
      </w:r>
      <w:r w:rsidR="00A05714" w:rsidRPr="00A05698">
        <w:t>’</w:t>
      </w:r>
      <w:r w:rsidRPr="00A05698">
        <w:t>Atlantique Sud et le grand bloc continental du Sahara.</w:t>
      </w:r>
    </w:p>
    <w:p w:rsidR="007C0EBB" w:rsidRPr="00A05698" w:rsidRDefault="007C0EBB" w:rsidP="004D4358">
      <w:pPr>
        <w:spacing w:before="120" w:after="120"/>
        <w:jc w:val="both"/>
      </w:pPr>
      <w:r w:rsidRPr="00A05698">
        <w:t>La zone du projet appartient à la zone Nord-Ouest (Bissau, Biombo, Cacheu et Oio) caractérisée par une moyenne annuelle de 1 400 à 1 800 mm.  Les températures oscillent entre 22°C et 38°C (moyenne mensuelle : 30°C) en avril et en mai (avant la période des pluies), entre 22°C et 30°C (moyenne mensuelle : 26°C) en août et septembre et entre 16°C et 32°C (moyenne mensuelle : 24°C) en décembre. Le climat de la Guinée Bissau est humide (humidité relative comprise entre 75 et 90%) dans le littoral du centre et du sud du territoire.</w:t>
      </w:r>
    </w:p>
    <w:p w:rsidR="007C0EBB" w:rsidRPr="00A05698" w:rsidRDefault="00042C78" w:rsidP="004D4358">
      <w:pPr>
        <w:spacing w:before="120" w:after="120"/>
        <w:jc w:val="both"/>
      </w:pPr>
      <w:r w:rsidRPr="00A05698">
        <w:rPr>
          <w:rFonts w:eastAsia="Times New Roman"/>
          <w:noProof/>
          <w:color w:val="000000"/>
          <w:lang w:val="pt-PT" w:eastAsia="pt-PT"/>
        </w:rPr>
        <w:drawing>
          <wp:anchor distT="0" distB="0" distL="114300" distR="114300" simplePos="0" relativeHeight="251658253" behindDoc="1" locked="0" layoutInCell="1" allowOverlap="1" wp14:anchorId="4D00A6C2" wp14:editId="018CDEDB">
            <wp:simplePos x="0" y="0"/>
            <wp:positionH relativeFrom="column">
              <wp:posOffset>-121920</wp:posOffset>
            </wp:positionH>
            <wp:positionV relativeFrom="paragraph">
              <wp:posOffset>250825</wp:posOffset>
            </wp:positionV>
            <wp:extent cx="5864225" cy="2809875"/>
            <wp:effectExtent l="25400" t="25400" r="28575" b="34925"/>
            <wp:wrapTight wrapText="bothSides">
              <wp:wrapPolygon edited="0">
                <wp:start x="-94" y="-195"/>
                <wp:lineTo x="-94" y="21673"/>
                <wp:lineTo x="21612" y="21673"/>
                <wp:lineTo x="21612" y="-195"/>
                <wp:lineTo x="-94" y="-195"/>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NG"/>
                    <pic:cNvPicPr/>
                  </pic:nvPicPr>
                  <pic:blipFill>
                    <a:blip r:embed="rId32" cstate="email">
                      <a:extLst>
                        <a:ext uri="{28A0092B-C50C-407E-A947-70E740481C1C}">
                          <a14:useLocalDpi xmlns:a14="http://schemas.microsoft.com/office/drawing/2010/main"/>
                        </a:ext>
                      </a:extLst>
                    </a:blip>
                    <a:stretch>
                      <a:fillRect/>
                    </a:stretch>
                  </pic:blipFill>
                  <pic:spPr>
                    <a:xfrm>
                      <a:off x="0" y="0"/>
                      <a:ext cx="5864225" cy="28098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C0EBB" w:rsidRPr="00A05698">
        <w:t xml:space="preserve">Le diagramme 1 ci-dessous donne les températures et précipitations moyennes, </w:t>
      </w:r>
    </w:p>
    <w:p w:rsidR="007C0EBB" w:rsidRPr="00A05698" w:rsidRDefault="002E421A" w:rsidP="008B5FD6">
      <w:pPr>
        <w:rPr>
          <w:i/>
          <w:iCs/>
          <w:color w:val="000000"/>
          <w:sz w:val="20"/>
          <w:szCs w:val="20"/>
        </w:rPr>
      </w:pPr>
      <w:r w:rsidRPr="00A05698">
        <w:rPr>
          <w:i/>
          <w:iCs/>
          <w:color w:val="2E2E2E"/>
          <w:sz w:val="20"/>
          <w:szCs w:val="20"/>
          <w:shd w:val="clear" w:color="auto" w:fill="F8F8F8"/>
        </w:rPr>
        <w:t xml:space="preserve">Source </w:t>
      </w:r>
      <w:r w:rsidR="007C0EBB" w:rsidRPr="00A05698">
        <w:rPr>
          <w:i/>
          <w:iCs/>
          <w:color w:val="2E2E2E"/>
          <w:sz w:val="20"/>
          <w:szCs w:val="20"/>
          <w:shd w:val="clear" w:color="auto" w:fill="F8F8F8"/>
        </w:rPr>
        <w:t xml:space="preserve">: </w:t>
      </w:r>
      <w:hyperlink r:id="rId33" w:history="1">
        <w:r w:rsidR="007C0EBB" w:rsidRPr="00A05698">
          <w:rPr>
            <w:rStyle w:val="Hiperligao"/>
            <w:i/>
            <w:iCs/>
            <w:sz w:val="20"/>
            <w:szCs w:val="20"/>
            <w:shd w:val="clear" w:color="auto" w:fill="F8F8F8"/>
          </w:rPr>
          <w:t>www.meteoblue.com/fr/meteo/prevision/modelclimate/bissau_guinée-bissau</w:t>
        </w:r>
      </w:hyperlink>
      <w:r w:rsidR="00076239" w:rsidRPr="00A05698">
        <w:rPr>
          <w:i/>
          <w:iCs/>
          <w:color w:val="2E2E2E"/>
          <w:sz w:val="20"/>
          <w:szCs w:val="20"/>
          <w:shd w:val="clear" w:color="auto" w:fill="F8F8F8"/>
        </w:rPr>
        <w:t xml:space="preserve"> (2021</w:t>
      </w:r>
      <w:r w:rsidR="007C0EBB" w:rsidRPr="00A05698">
        <w:rPr>
          <w:i/>
          <w:iCs/>
          <w:color w:val="2E2E2E"/>
          <w:sz w:val="20"/>
          <w:szCs w:val="20"/>
          <w:shd w:val="clear" w:color="auto" w:fill="F8F8F8"/>
        </w:rPr>
        <w:t>)</w:t>
      </w:r>
    </w:p>
    <w:p w:rsidR="007C0EBB" w:rsidRDefault="007C0EBB" w:rsidP="00076239">
      <w:pPr>
        <w:pStyle w:val="Legenda"/>
        <w:jc w:val="center"/>
      </w:pPr>
      <w:bookmarkStart w:id="198" w:name="_Toc73522798"/>
      <w:r w:rsidRPr="00A05698">
        <w:t xml:space="preserve">Diagramme  </w:t>
      </w:r>
      <w:r w:rsidR="001C4071">
        <w:fldChar w:fldCharType="begin"/>
      </w:r>
      <w:r w:rsidR="001C4071">
        <w:instrText xml:space="preserve"> </w:instrText>
      </w:r>
      <w:r w:rsidR="006C5620">
        <w:instrText>SEQ</w:instrText>
      </w:r>
      <w:r w:rsidR="001C4071">
        <w:instrText xml:space="preserve"> Diagramme_ \* ARABIC </w:instrText>
      </w:r>
      <w:r w:rsidR="001C4071">
        <w:fldChar w:fldCharType="separate"/>
      </w:r>
      <w:r w:rsidR="00D51AB3">
        <w:rPr>
          <w:noProof/>
        </w:rPr>
        <w:t>1</w:t>
      </w:r>
      <w:r w:rsidR="001C4071">
        <w:rPr>
          <w:noProof/>
        </w:rPr>
        <w:fldChar w:fldCharType="end"/>
      </w:r>
      <w:r w:rsidRPr="00A05698">
        <w:t>: Températures et précipitations moyennes</w:t>
      </w:r>
      <w:bookmarkEnd w:id="198"/>
    </w:p>
    <w:p w:rsidR="002B5A5D" w:rsidRDefault="002B5A5D" w:rsidP="00083B97">
      <w:pPr>
        <w:ind w:left="-284" w:right="-851"/>
        <w:jc w:val="both"/>
      </w:pPr>
    </w:p>
    <w:p w:rsidR="00054A4B" w:rsidRPr="00083B97" w:rsidRDefault="00402F07" w:rsidP="00E058CB">
      <w:pPr>
        <w:pStyle w:val="PargrafodaLista"/>
        <w:widowControl w:val="0"/>
        <w:numPr>
          <w:ilvl w:val="0"/>
          <w:numId w:val="144"/>
        </w:numPr>
        <w:autoSpaceDE w:val="0"/>
        <w:autoSpaceDN w:val="0"/>
        <w:adjustRightInd w:val="0"/>
        <w:spacing w:after="0" w:line="340" w:lineRule="atLeast"/>
        <w:rPr>
          <w:b/>
          <w:color w:val="000000"/>
          <w:lang w:eastAsia="en-US"/>
        </w:rPr>
      </w:pPr>
      <w:r w:rsidRPr="00083B97">
        <w:rPr>
          <w:rFonts w:ascii="Times New Roman" w:hAnsi="Times New Roman"/>
          <w:b/>
          <w:iCs/>
          <w:color w:val="000000"/>
          <w:sz w:val="24"/>
          <w:szCs w:val="24"/>
          <w:lang w:eastAsia="en-US"/>
        </w:rPr>
        <w:t>Changements</w:t>
      </w:r>
      <w:r w:rsidR="00054A4B" w:rsidRPr="00083B97">
        <w:rPr>
          <w:rFonts w:ascii="Times New Roman" w:hAnsi="Times New Roman"/>
          <w:b/>
          <w:iCs/>
          <w:color w:val="000000"/>
          <w:sz w:val="24"/>
          <w:szCs w:val="24"/>
          <w:lang w:eastAsia="en-US"/>
        </w:rPr>
        <w:t xml:space="preserve"> climatiques </w:t>
      </w:r>
    </w:p>
    <w:p w:rsidR="0048676E" w:rsidRPr="0048676E" w:rsidRDefault="0048676E" w:rsidP="004D4358">
      <w:pPr>
        <w:jc w:val="both"/>
      </w:pPr>
      <w:r w:rsidRPr="0048676E">
        <w:t xml:space="preserve">En tenant compte des tendances actuelles dans l’atmosphère à l’échelle globale, le service de météorologie a projeté pour 2100, une diminution de la pluviométrie de 11,7%, une augmentation de la température de 2% et une augmentation du niveau moyen de la mer de 50 cm. Il est à noter qu’une diminution des ressources forestières peut empirer ce scénario, suite à une réduction de la séquestration de CO2, à une plus forte diminution de la pluviométrie et à une réduction des barrières naturelles contre l’avancée de la langue salée </w:t>
      </w:r>
      <w:r w:rsidR="005920EA">
        <w:t>(mangroves)</w:t>
      </w:r>
      <w:r w:rsidRPr="0048676E">
        <w:t xml:space="preserve">. En plus de la diminution des pluies au cours des dernières années et la sédimentation de certains fleuves (et leur diminution de débit), le phénomène d’avancée de la mer dans le sud du pays constitue un autre exemple de la grande vulnérabilité du territoire national. </w:t>
      </w:r>
    </w:p>
    <w:p w:rsidR="007C0EBB" w:rsidRPr="00A05698" w:rsidRDefault="006B1B0A" w:rsidP="00E058CB">
      <w:pPr>
        <w:pStyle w:val="PargrafodaLista"/>
        <w:keepNext/>
        <w:spacing w:before="240" w:after="0" w:line="240" w:lineRule="auto"/>
        <w:ind w:left="1158" w:right="284" w:firstLine="258"/>
        <w:jc w:val="both"/>
        <w:outlineLvl w:val="2"/>
        <w:rPr>
          <w:rFonts w:ascii="Times New Roman" w:hAnsi="Times New Roman"/>
          <w:b/>
          <w:sz w:val="24"/>
          <w:szCs w:val="24"/>
        </w:rPr>
      </w:pPr>
      <w:bookmarkStart w:id="199" w:name="_Toc535396923"/>
      <w:bookmarkStart w:id="200" w:name="_Toc6310461"/>
      <w:bookmarkStart w:id="201" w:name="_Toc51084434"/>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2</w:t>
      </w:r>
      <w:r w:rsidR="007C0EBB" w:rsidRPr="00A05698">
        <w:rPr>
          <w:rFonts w:ascii="Times New Roman" w:hAnsi="Times New Roman"/>
          <w:b/>
          <w:sz w:val="24"/>
          <w:szCs w:val="24"/>
        </w:rPr>
        <w:t>.2. Relief</w:t>
      </w:r>
      <w:bookmarkEnd w:id="199"/>
      <w:bookmarkEnd w:id="200"/>
      <w:bookmarkEnd w:id="201"/>
    </w:p>
    <w:p w:rsidR="007C0EBB" w:rsidRPr="00A05698" w:rsidRDefault="007C0EBB" w:rsidP="00E42FA3">
      <w:pPr>
        <w:jc w:val="both"/>
      </w:pPr>
      <w:r w:rsidRPr="00A05698">
        <w:t>La Guinée-Bissau présente un relief très atténué, une importante partie du pays se trouvant au-dessous du quota des 50 m d</w:t>
      </w:r>
      <w:r w:rsidR="00A05714" w:rsidRPr="00A05698">
        <w:t>’</w:t>
      </w:r>
      <w:r w:rsidRPr="00A05698">
        <w:t xml:space="preserve">altitude. Les zones côtières nord et sud sont surtout des terres </w:t>
      </w:r>
      <w:r w:rsidRPr="00A05698">
        <w:lastRenderedPageBreak/>
        <w:t xml:space="preserve">basses. Ainsi, les hautes amplitudes des marées qui se produisent et arrivent à atteindre les 6 m, exposent ainsi les larges aires des zones côtières. </w:t>
      </w:r>
    </w:p>
    <w:p w:rsidR="007C0EBB" w:rsidRPr="00A05698" w:rsidRDefault="007C0EBB" w:rsidP="00E42FA3">
      <w:pPr>
        <w:jc w:val="both"/>
      </w:pPr>
      <w:r w:rsidRPr="00A05698">
        <w:t xml:space="preserve">Les plaines occupent une grande partie du territoire dans les régions centre et nord-est du pays. La zone intérieure sud-est de la Guinée-Bissau est la plus accidentée avec les collines de Boé, qui représente la partie la plus élevée du territoire avec une altitude de 298 m (Mota, 1954).  Les îles de l’Archipel des Bijagos présentent une morphologie semblable à la partie continentale du pays, avec une ligne côtière assez coupée et de basses altitudes. </w:t>
      </w:r>
    </w:p>
    <w:p w:rsidR="00E42FA3" w:rsidRDefault="007C0EBB" w:rsidP="00E42FA3">
      <w:pPr>
        <w:jc w:val="both"/>
      </w:pPr>
      <w:r w:rsidRPr="00A05698">
        <w:t xml:space="preserve">La faible altitude de la majeure partie du territoire permet l’inondation de grandes extensions, des marges des cours d’eau et des plaines côtières, qui peuvent se maintenir pendant la saison des pluies ou même quelques semaines après son terme. </w:t>
      </w:r>
      <w:bookmarkStart w:id="202" w:name="_Toc535396924"/>
      <w:bookmarkStart w:id="203" w:name="_Toc6310462"/>
      <w:bookmarkStart w:id="204" w:name="_Toc51084435"/>
    </w:p>
    <w:p w:rsidR="00E42FA3" w:rsidRPr="00E42FA3" w:rsidRDefault="005E3994" w:rsidP="00E42FA3">
      <w:pPr>
        <w:pStyle w:val="PargrafodaLista"/>
        <w:keepNext/>
        <w:spacing w:before="240" w:after="0" w:line="240" w:lineRule="auto"/>
        <w:ind w:left="1158" w:right="284" w:firstLine="258"/>
        <w:jc w:val="both"/>
        <w:outlineLvl w:val="2"/>
        <w:rPr>
          <w:rFonts w:ascii="Times New Roman" w:hAnsi="Times New Roman"/>
          <w:b/>
          <w:sz w:val="24"/>
          <w:szCs w:val="24"/>
        </w:rPr>
      </w:pPr>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2</w:t>
      </w:r>
      <w:r w:rsidR="007C0EBB" w:rsidRPr="00A05698">
        <w:rPr>
          <w:rFonts w:ascii="Times New Roman" w:hAnsi="Times New Roman"/>
          <w:b/>
          <w:sz w:val="24"/>
          <w:szCs w:val="24"/>
        </w:rPr>
        <w:t>.3. Géologie</w:t>
      </w:r>
      <w:bookmarkEnd w:id="202"/>
      <w:bookmarkEnd w:id="203"/>
      <w:bookmarkEnd w:id="204"/>
    </w:p>
    <w:p w:rsidR="005C5826" w:rsidRPr="00A05698" w:rsidRDefault="007C0EBB" w:rsidP="00E42FA3">
      <w:pPr>
        <w:jc w:val="both"/>
      </w:pPr>
      <w:r w:rsidRPr="00A05698">
        <w:t>Le site à l’étude s’encadre dans une zone alluvionnaire de canaux océaniques assis sur de la latérite du littoral et des îlots (affleurements littoraux de cuirasses latéritiques datant du CENOZOÏQUE QUATERNAIRE</w:t>
      </w:r>
      <w:r w:rsidR="00495BDB" w:rsidRPr="00A05698">
        <w:t>)</w:t>
      </w:r>
      <w:r w:rsidRPr="00A05698">
        <w:t>. C’est une formation composée d’une couche superficielle de sable et d’argile avec alternance de marne, grés, sable et calcaire. Le substrat est composé de roche dure typique du climat tropical. La stabilisation des agrégations en présence d’eau se produit par la combinaison de ces composantes par le revêtement de minéraux argileux qui agissent également comme des agents naturels entre les particules cimentaires. Les fractions de sable et de limon sont principalement composées de quartz, d’agrégats latéritiques (concrétions latéritiques) et, dans une moindre mesure, par des minéraux lourds.</w:t>
      </w:r>
    </w:p>
    <w:p w:rsidR="00E42FA3" w:rsidRPr="00E42FA3" w:rsidRDefault="005E3994" w:rsidP="00E42FA3">
      <w:pPr>
        <w:pStyle w:val="PargrafodaLista"/>
        <w:keepNext/>
        <w:spacing w:before="240" w:after="0" w:line="240" w:lineRule="auto"/>
        <w:ind w:left="1158" w:right="284" w:firstLine="258"/>
        <w:jc w:val="both"/>
        <w:outlineLvl w:val="2"/>
        <w:rPr>
          <w:rFonts w:ascii="Times New Roman" w:hAnsi="Times New Roman"/>
          <w:b/>
          <w:sz w:val="24"/>
          <w:szCs w:val="24"/>
        </w:rPr>
      </w:pPr>
      <w:bookmarkStart w:id="205" w:name="_Toc532558488"/>
      <w:bookmarkStart w:id="206" w:name="_Toc535396925"/>
      <w:bookmarkStart w:id="207" w:name="_Toc6310463"/>
      <w:bookmarkStart w:id="208" w:name="_Toc51084436"/>
      <w:bookmarkStart w:id="209" w:name="_Hlk527138812"/>
      <w:r w:rsidRPr="00083B97">
        <w:rPr>
          <w:rFonts w:ascii="Times New Roman" w:hAnsi="Times New Roman"/>
          <w:b/>
          <w:sz w:val="24"/>
          <w:szCs w:val="24"/>
        </w:rPr>
        <w:t>4</w:t>
      </w:r>
      <w:r w:rsidR="007C0EBB" w:rsidRPr="00083B97">
        <w:rPr>
          <w:rFonts w:ascii="Times New Roman" w:hAnsi="Times New Roman"/>
          <w:b/>
          <w:sz w:val="24"/>
          <w:szCs w:val="24"/>
        </w:rPr>
        <w:t>.</w:t>
      </w:r>
      <w:r w:rsidR="00E058CB">
        <w:rPr>
          <w:rFonts w:ascii="Times New Roman" w:hAnsi="Times New Roman"/>
          <w:b/>
          <w:sz w:val="24"/>
          <w:szCs w:val="24"/>
        </w:rPr>
        <w:t>2</w:t>
      </w:r>
      <w:r w:rsidR="007C0EBB" w:rsidRPr="00083B97">
        <w:rPr>
          <w:rFonts w:ascii="Times New Roman" w:hAnsi="Times New Roman"/>
          <w:b/>
          <w:sz w:val="24"/>
          <w:szCs w:val="24"/>
        </w:rPr>
        <w:t>.4. Le sol</w:t>
      </w:r>
      <w:bookmarkEnd w:id="205"/>
      <w:bookmarkEnd w:id="206"/>
      <w:bookmarkEnd w:id="207"/>
      <w:bookmarkEnd w:id="208"/>
    </w:p>
    <w:p w:rsidR="00CB2733" w:rsidRPr="00A05698" w:rsidRDefault="007C0EBB" w:rsidP="00E42FA3">
      <w:pPr>
        <w:jc w:val="both"/>
      </w:pPr>
      <w:r w:rsidRPr="00A05698">
        <w:t xml:space="preserve">La Guinée-Bissau a principalement trois types de sols, à savoir les sols ferralitiques et ferrugineux tropicaux, occupent une superficie de 20 000 km2 correspondant à 62% de la surface émergée, lithosols, situés dans le centre-ouest - très peu développés, gravier ou pierres, de peu ou pas de valeur agricole. Les sols hydro morphes continentaux sont gris, occupant une superficie de 5 500 km2, soit environ 17% de la surface, environ 1 500 km2 formés sur des alluvions marines. Dans ce dernier cas, on distingue les sols en Secteur de Prabis qui protégés contre les inondations d’eau salée, sont considérés comme les meilleurs sols de l’Afrique de l’Ouest. </w:t>
      </w:r>
    </w:p>
    <w:p w:rsidR="008E40D9" w:rsidRPr="008E40D9" w:rsidRDefault="00AE4716" w:rsidP="008E40D9">
      <w:pPr>
        <w:pStyle w:val="PargrafodaLista"/>
        <w:keepNext/>
        <w:spacing w:before="240" w:after="0" w:line="240" w:lineRule="auto"/>
        <w:ind w:left="1158" w:right="284" w:firstLine="258"/>
        <w:jc w:val="both"/>
        <w:outlineLvl w:val="2"/>
        <w:rPr>
          <w:rFonts w:ascii="Times New Roman" w:hAnsi="Times New Roman"/>
          <w:b/>
          <w:sz w:val="24"/>
          <w:szCs w:val="24"/>
        </w:rPr>
      </w:pPr>
      <w:bookmarkStart w:id="210" w:name="_Toc6310464"/>
      <w:bookmarkStart w:id="211" w:name="_Toc51084437"/>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2</w:t>
      </w:r>
      <w:r w:rsidR="007C0EBB" w:rsidRPr="00A05698">
        <w:rPr>
          <w:rFonts w:ascii="Times New Roman" w:hAnsi="Times New Roman"/>
          <w:b/>
          <w:sz w:val="24"/>
          <w:szCs w:val="24"/>
        </w:rPr>
        <w:t>.5. L’Air</w:t>
      </w:r>
      <w:bookmarkEnd w:id="210"/>
      <w:bookmarkEnd w:id="211"/>
    </w:p>
    <w:p w:rsidR="007C0EBB" w:rsidRPr="00A05698" w:rsidRDefault="007C0EBB" w:rsidP="008E40D9">
      <w:pPr>
        <w:jc w:val="both"/>
      </w:pPr>
      <w:r w:rsidRPr="00A05698">
        <w:t>Ce compartiment de l’environnement n’a pas fait l’objet de prélèvement et d’analyse en laboratoire pour la détermination de la qualité de l’air. Cependant</w:t>
      </w:r>
      <w:r w:rsidR="00495BDB" w:rsidRPr="00A05698">
        <w:t>,</w:t>
      </w:r>
      <w:r w:rsidRPr="00A05698">
        <w:t xml:space="preserve"> les recherches documentaires que nous avons menées précisent que les émissions de CO2 au niveau de </w:t>
      </w:r>
      <w:r w:rsidR="00495BDB" w:rsidRPr="00A05698">
        <w:t>Bissau</w:t>
      </w:r>
      <w:r w:rsidRPr="00A05698">
        <w:t xml:space="preserve"> entre 2011 et 2015 sont d’environ 0.2 tonnes métriques par habitant (Indicateurs du développement dans le monde, </w:t>
      </w:r>
      <w:r w:rsidR="00495BDB" w:rsidRPr="00A05698">
        <w:t>data Bank</w:t>
      </w:r>
      <w:r w:rsidRPr="00A05698">
        <w:t>, banque mondiale 2019).</w:t>
      </w:r>
      <w:r w:rsidR="00495BDB" w:rsidRPr="00A05698">
        <w:t xml:space="preserve"> </w:t>
      </w:r>
      <w:r w:rsidRPr="00A05698">
        <w:t xml:space="preserve">En effet, le travail de terrain que nous avons mené durant cette étude montre que, dans la ville de Bissau, la poussière, les fumées des véhicules sont les sources de pollution de l’air. En </w:t>
      </w:r>
      <w:r w:rsidR="00495BDB" w:rsidRPr="00A05698">
        <w:t>outre</w:t>
      </w:r>
      <w:r w:rsidRPr="00A05698">
        <w:t xml:space="preserve">, malgré le développement du transport en commun par les minibus appelés « Toca-Toca », le nombre impressionnant de ses véhicules et de taxis villes surtout aux heures de pointe sur les principaux axes qui desservent la ville témoigne de l’ampleur du phénomène de pollution de l’air dans la ville. Cette situation est d’autant plus alarmante que la plupart de ces véhicules utilisent le gasoil, l’une des sources d’énergie les plus polluantes comme carburant. </w:t>
      </w:r>
    </w:p>
    <w:p w:rsidR="007C0EBB" w:rsidRPr="00A05698" w:rsidRDefault="007C0EBB" w:rsidP="008E40D9">
      <w:pPr>
        <w:jc w:val="both"/>
      </w:pPr>
      <w:r w:rsidRPr="00A05698">
        <w:t>De même, la plupart des routes qui desservent les quartiers et plusieurs grandes artères de la ville sont en latérite, ce qui est source de poussière lors des passages des véhicules.</w:t>
      </w:r>
    </w:p>
    <w:p w:rsidR="008E40D9" w:rsidRPr="008E40D9" w:rsidRDefault="00AE4716" w:rsidP="008E40D9">
      <w:pPr>
        <w:pStyle w:val="PargrafodaLista"/>
        <w:keepNext/>
        <w:spacing w:before="240" w:after="0" w:line="240" w:lineRule="auto"/>
        <w:ind w:left="1158" w:right="284" w:firstLine="258"/>
        <w:jc w:val="both"/>
        <w:outlineLvl w:val="2"/>
        <w:rPr>
          <w:rFonts w:ascii="Times New Roman" w:hAnsi="Times New Roman"/>
          <w:b/>
          <w:sz w:val="24"/>
          <w:szCs w:val="24"/>
        </w:rPr>
      </w:pPr>
      <w:bookmarkStart w:id="212" w:name="_Toc532558489"/>
      <w:bookmarkStart w:id="213" w:name="_Toc535396926"/>
      <w:bookmarkStart w:id="214" w:name="_Toc6310465"/>
      <w:bookmarkStart w:id="215" w:name="_Toc51084438"/>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2</w:t>
      </w:r>
      <w:r w:rsidR="007C0EBB" w:rsidRPr="00A05698">
        <w:rPr>
          <w:rFonts w:ascii="Times New Roman" w:hAnsi="Times New Roman"/>
          <w:b/>
          <w:sz w:val="24"/>
          <w:szCs w:val="24"/>
        </w:rPr>
        <w:t>.6. Hydrographie</w:t>
      </w:r>
      <w:bookmarkEnd w:id="212"/>
      <w:r w:rsidR="007C0EBB" w:rsidRPr="00A05698">
        <w:rPr>
          <w:rFonts w:ascii="Times New Roman" w:hAnsi="Times New Roman"/>
          <w:b/>
          <w:sz w:val="24"/>
          <w:szCs w:val="24"/>
        </w:rPr>
        <w:t xml:space="preserve"> et Hydrogéologie</w:t>
      </w:r>
      <w:bookmarkEnd w:id="213"/>
      <w:bookmarkEnd w:id="214"/>
      <w:bookmarkEnd w:id="215"/>
    </w:p>
    <w:p w:rsidR="007C0EBB" w:rsidRPr="00A05698" w:rsidRDefault="007C0EBB" w:rsidP="008E40D9">
      <w:pPr>
        <w:jc w:val="both"/>
      </w:pPr>
      <w:r w:rsidRPr="00A05698">
        <w:t xml:space="preserve">Le réseau hydrographique du pays est complexe et étendu, constitué par des cours d’eau courants et stagnants.  Outre le climat, il est conditionné par le nivellement d’une grande </w:t>
      </w:r>
      <w:r w:rsidRPr="00A05698">
        <w:lastRenderedPageBreak/>
        <w:t>partie du territoire et par la transgression marine (Ribeiro, 1950 ; Teixeira, 1962). Des études spécialisées confirment la profonde interpénétration de la terre et de la mer, sur une distance qui varie de 150 à 175 km, introduisent ainsi de l’eau salée à l’intérieur des terres sous influence de la marée, cela caractérise l</w:t>
      </w:r>
      <w:r w:rsidR="00A05714" w:rsidRPr="00A05698">
        <w:t>’</w:t>
      </w:r>
      <w:r w:rsidRPr="00A05698">
        <w:t>existence d</w:t>
      </w:r>
      <w:r w:rsidR="00A05714" w:rsidRPr="00A05698">
        <w:t>’</w:t>
      </w:r>
      <w:r w:rsidRPr="00A05698">
        <w:t>estuaires dans la majeure partie des cas.</w:t>
      </w:r>
    </w:p>
    <w:p w:rsidR="007C0EBB" w:rsidRDefault="00377DE0" w:rsidP="008E40D9">
      <w:pPr>
        <w:jc w:val="both"/>
      </w:pPr>
      <w:r w:rsidRPr="00A05698">
        <w:rPr>
          <w:noProof/>
          <w:lang w:val="pt-PT" w:eastAsia="pt-PT"/>
        </w:rPr>
        <w:drawing>
          <wp:anchor distT="0" distB="0" distL="114300" distR="114300" simplePos="0" relativeHeight="251658274" behindDoc="1" locked="0" layoutInCell="1" allowOverlap="1" wp14:anchorId="7B0A7700" wp14:editId="1822E482">
            <wp:simplePos x="0" y="0"/>
            <wp:positionH relativeFrom="column">
              <wp:posOffset>-121920</wp:posOffset>
            </wp:positionH>
            <wp:positionV relativeFrom="paragraph">
              <wp:posOffset>1375410</wp:posOffset>
            </wp:positionV>
            <wp:extent cx="6016625" cy="3644900"/>
            <wp:effectExtent l="25400" t="25400" r="28575" b="38100"/>
            <wp:wrapTight wrapText="bothSides">
              <wp:wrapPolygon edited="0">
                <wp:start x="-91" y="-151"/>
                <wp:lineTo x="-91" y="21675"/>
                <wp:lineTo x="21611" y="21675"/>
                <wp:lineTo x="21611" y="-151"/>
                <wp:lineTo x="-91" y="-151"/>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val="0"/>
                        </a:ext>
                      </a:extLst>
                    </a:blip>
                    <a:stretch>
                      <a:fillRect/>
                    </a:stretch>
                  </pic:blipFill>
                  <pic:spPr>
                    <a:xfrm>
                      <a:off x="0" y="0"/>
                      <a:ext cx="6016625" cy="364490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7C0EBB" w:rsidRPr="00A05698">
        <w:t>Les ressources en eau souterraines sont essentiellement utilisées pour le ravitaillement en eau potable, et, dans une certaine mesure, par certaines industries et fermes. Les baisses altitudes du territoire conjugués avec la forte amplitude de la marée font que l’effet de la marée se fait sentir jusqu’à 150 Km à l’intérieur du pays. Le pays dispose de ressources halieutiques marines et d’eau douce considérable avec une pluviométrie pouvant atteindre 2.500 mm de précipitations dans certaines z</w:t>
      </w:r>
      <w:r w:rsidR="00681BD5">
        <w:t>ones au sud du pays. La figure 8</w:t>
      </w:r>
      <w:r w:rsidR="007C0EBB" w:rsidRPr="00A05698">
        <w:t xml:space="preserve"> ci-dessous montre le réseau hydrographique de la guinée Bissau.</w:t>
      </w:r>
    </w:p>
    <w:p w:rsidR="0085067F" w:rsidRPr="00A05698" w:rsidRDefault="0085067F" w:rsidP="008E40D9">
      <w:pPr>
        <w:jc w:val="both"/>
      </w:pPr>
    </w:p>
    <w:p w:rsidR="007C0EBB" w:rsidRPr="00A05698" w:rsidRDefault="007C0EBB" w:rsidP="00745491">
      <w:pPr>
        <w:pStyle w:val="Legenda"/>
        <w:jc w:val="center"/>
      </w:pPr>
      <w:bookmarkStart w:id="216" w:name="_Toc4770176"/>
      <w:bookmarkStart w:id="217" w:name="_Toc34921335"/>
      <w:bookmarkStart w:id="218" w:name="_Toc75433069"/>
      <w:r w:rsidRPr="00A05698">
        <w:t xml:space="preserve">Figure </w:t>
      </w:r>
      <w:r w:rsidR="001C4071">
        <w:fldChar w:fldCharType="begin"/>
      </w:r>
      <w:r w:rsidR="001C4071">
        <w:instrText xml:space="preserve"> </w:instrText>
      </w:r>
      <w:r w:rsidR="006C5620">
        <w:instrText>SEQ</w:instrText>
      </w:r>
      <w:r w:rsidR="001C4071">
        <w:instrText xml:space="preserve"> Figure \* ARABIC </w:instrText>
      </w:r>
      <w:r w:rsidR="001C4071">
        <w:fldChar w:fldCharType="separate"/>
      </w:r>
      <w:r w:rsidR="00BE0248">
        <w:rPr>
          <w:noProof/>
        </w:rPr>
        <w:t>4</w:t>
      </w:r>
      <w:r w:rsidR="001C4071">
        <w:rPr>
          <w:noProof/>
        </w:rPr>
        <w:fldChar w:fldCharType="end"/>
      </w:r>
      <w:r w:rsidRPr="00A05698">
        <w:t xml:space="preserve"> : Réseau hydrographique de la Guinée-Bissau, adapté de G. Pennober, in 1ª CNSMC, 2004</w:t>
      </w:r>
      <w:bookmarkEnd w:id="216"/>
      <w:bookmarkEnd w:id="217"/>
      <w:bookmarkEnd w:id="218"/>
    </w:p>
    <w:p w:rsidR="007C0EBB" w:rsidRPr="00A05698" w:rsidRDefault="009A7392" w:rsidP="004F4212">
      <w:pPr>
        <w:pStyle w:val="PargrafodaLista"/>
        <w:keepNext/>
        <w:spacing w:before="240" w:after="240" w:line="240" w:lineRule="auto"/>
        <w:ind w:left="1158" w:right="284" w:firstLine="258"/>
        <w:jc w:val="both"/>
        <w:outlineLvl w:val="2"/>
        <w:rPr>
          <w:rFonts w:ascii="Times New Roman" w:hAnsi="Times New Roman"/>
          <w:b/>
          <w:sz w:val="24"/>
          <w:szCs w:val="24"/>
        </w:rPr>
      </w:pPr>
      <w:bookmarkStart w:id="219" w:name="_Toc532558490"/>
      <w:bookmarkStart w:id="220" w:name="_Toc535396927"/>
      <w:bookmarkStart w:id="221" w:name="_Toc6310466"/>
      <w:bookmarkStart w:id="222" w:name="_Toc51084439"/>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2</w:t>
      </w:r>
      <w:r w:rsidR="007C0EBB" w:rsidRPr="00A05698">
        <w:rPr>
          <w:rFonts w:ascii="Times New Roman" w:hAnsi="Times New Roman"/>
          <w:b/>
          <w:sz w:val="24"/>
          <w:szCs w:val="24"/>
        </w:rPr>
        <w:t>.7. Disponibilité de la ressource en Eau</w:t>
      </w:r>
      <w:bookmarkEnd w:id="219"/>
      <w:bookmarkEnd w:id="220"/>
      <w:bookmarkEnd w:id="221"/>
      <w:bookmarkEnd w:id="222"/>
    </w:p>
    <w:p w:rsidR="007C0EBB" w:rsidRPr="00A05698" w:rsidRDefault="007C0EBB" w:rsidP="00E058CB">
      <w:pPr>
        <w:pStyle w:val="PargrafodaLista"/>
        <w:keepNext/>
        <w:numPr>
          <w:ilvl w:val="0"/>
          <w:numId w:val="30"/>
        </w:numPr>
        <w:spacing w:before="240" w:after="0" w:line="240" w:lineRule="auto"/>
        <w:ind w:right="284"/>
        <w:jc w:val="both"/>
        <w:rPr>
          <w:rFonts w:ascii="Times New Roman" w:hAnsi="Times New Roman"/>
          <w:b/>
          <w:sz w:val="24"/>
          <w:szCs w:val="24"/>
        </w:rPr>
      </w:pPr>
      <w:r w:rsidRPr="00A05698">
        <w:rPr>
          <w:rFonts w:ascii="Times New Roman" w:hAnsi="Times New Roman"/>
          <w:b/>
          <w:sz w:val="24"/>
          <w:szCs w:val="24"/>
        </w:rPr>
        <w:t>Eaux de surface</w:t>
      </w:r>
    </w:p>
    <w:p w:rsidR="007C0EBB" w:rsidRDefault="007C0EBB" w:rsidP="008E40D9">
      <w:pPr>
        <w:jc w:val="both"/>
      </w:pPr>
      <w:r w:rsidRPr="00A05698">
        <w:t>D’âpres la documentation obtenue par les services en charge de la gestion des eaux de surface et souterraine précise que la Guinée-Bissau</w:t>
      </w:r>
      <w:bookmarkEnd w:id="209"/>
      <w:r w:rsidRPr="00A05698">
        <w:t xml:space="preserve"> est coupée par plusieurs rivières, dont la plupart sont profondément traversées par la mer, ce qui donne l</w:t>
      </w:r>
      <w:r w:rsidR="00A05714" w:rsidRPr="00A05698">
        <w:t>’</w:t>
      </w:r>
      <w:r w:rsidRPr="00A05698">
        <w:t>impression que les marées se déroulent loin dans l</w:t>
      </w:r>
      <w:r w:rsidR="00A05714" w:rsidRPr="00A05698">
        <w:t>’</w:t>
      </w:r>
      <w:r w:rsidRPr="00A05698">
        <w:t>intérieur du pays. Du nord au sud, les principales rivières sont : la rivière Cacheu, la rivière Geba, la rivière Corubal, la rivière Tombal, la rivière Cumbija et la rivière Cacine, toutes comportant de nombreux affluents et sous-affluents. Presque toutes les rivières offrent d’énormes possibilités de navigation, ce qui est extrêmement important pour la communication dans un pays où les routes sont très peu nombreuses.</w:t>
      </w:r>
    </w:p>
    <w:p w:rsidR="00B956CD" w:rsidRPr="00A05698" w:rsidRDefault="00B956CD" w:rsidP="008E40D9">
      <w:pPr>
        <w:jc w:val="both"/>
      </w:pPr>
    </w:p>
    <w:p w:rsidR="007C0EBB" w:rsidRPr="00A05698" w:rsidRDefault="007C0EBB" w:rsidP="008E40D9">
      <w:pPr>
        <w:jc w:val="both"/>
      </w:pPr>
      <w:r w:rsidRPr="00A05698">
        <w:t>Les sources de pollution de ces eaux sont souvent l’agriculture, les ordures ménagères, le lessivage des sols et les faibles activités industrielles. Ceci fait que, avec les fortes précipitations caractérisées par une moyenne annuelle de 1 400 à 1 800 mm, les eaux de surface sont peu polluées.</w:t>
      </w:r>
    </w:p>
    <w:p w:rsidR="007C0EBB" w:rsidRPr="00A05698" w:rsidRDefault="007C0EBB" w:rsidP="008E40D9">
      <w:pPr>
        <w:jc w:val="both"/>
      </w:pPr>
      <w:r w:rsidRPr="00A05698">
        <w:lastRenderedPageBreak/>
        <w:t>Certaines de ces rivières sont des forages et des équipements d</w:t>
      </w:r>
      <w:r w:rsidR="00A05714" w:rsidRPr="00A05698">
        <w:t>’</w:t>
      </w:r>
      <w:r w:rsidRPr="00A05698">
        <w:t>eau douce pouvant alimenter les populations.</w:t>
      </w:r>
    </w:p>
    <w:p w:rsidR="007C0EBB" w:rsidRPr="00A05698" w:rsidRDefault="007C0EBB" w:rsidP="008E40D9">
      <w:pPr>
        <w:jc w:val="both"/>
      </w:pPr>
      <w:r w:rsidRPr="00A05698">
        <w:t>Du point de vue de la sécurité alimentaire, les rivières contribuent à améliorer le régime alimentaire des populations, qui extraient une grande quantité de poisson pour leur nourriture. </w:t>
      </w:r>
    </w:p>
    <w:p w:rsidR="000243C0" w:rsidRPr="000243C0" w:rsidRDefault="007C0EBB" w:rsidP="000243C0">
      <w:pPr>
        <w:pStyle w:val="PargrafodaLista"/>
        <w:keepNext/>
        <w:numPr>
          <w:ilvl w:val="0"/>
          <w:numId w:val="30"/>
        </w:numPr>
        <w:spacing w:before="240" w:after="0" w:line="240" w:lineRule="auto"/>
        <w:ind w:right="284"/>
        <w:jc w:val="both"/>
        <w:rPr>
          <w:rFonts w:ascii="Times New Roman" w:hAnsi="Times New Roman"/>
          <w:b/>
          <w:sz w:val="24"/>
          <w:szCs w:val="24"/>
        </w:rPr>
      </w:pPr>
      <w:r w:rsidRPr="00A05698">
        <w:rPr>
          <w:rFonts w:ascii="Times New Roman" w:hAnsi="Times New Roman"/>
          <w:b/>
          <w:sz w:val="24"/>
          <w:szCs w:val="24"/>
        </w:rPr>
        <w:t>Eaux souterraines</w:t>
      </w:r>
    </w:p>
    <w:p w:rsidR="007C0EBB" w:rsidRDefault="007C0EBB" w:rsidP="000243C0">
      <w:pPr>
        <w:jc w:val="both"/>
      </w:pPr>
      <w:r w:rsidRPr="00A05698">
        <w:t>Aujourd</w:t>
      </w:r>
      <w:r w:rsidR="00A05714" w:rsidRPr="00A05698">
        <w:t>’</w:t>
      </w:r>
      <w:r w:rsidRPr="00A05698">
        <w:t>hui, l</w:t>
      </w:r>
      <w:r w:rsidR="00A05714" w:rsidRPr="00A05698">
        <w:t>’</w:t>
      </w:r>
      <w:r w:rsidRPr="00A05698">
        <w:t>eau devient de plus en plus importante. De ce point de vue, la Guinée-Bissau est un pays riche en eau avec des précipitations d’environ 1800 mm par an. Toutefois, l’extrême concentration des pluies certains mois de l’année entraîne un manque d’eau pour la population pendant au moins la moitié de l’année, en particulier dans le Nord-Est du pays.</w:t>
      </w:r>
    </w:p>
    <w:p w:rsidR="00B956CD" w:rsidRPr="00A05698" w:rsidRDefault="00B956CD" w:rsidP="000243C0">
      <w:pPr>
        <w:jc w:val="both"/>
      </w:pPr>
    </w:p>
    <w:p w:rsidR="007C0EBB" w:rsidRPr="00A05698" w:rsidRDefault="007C0EBB" w:rsidP="000243C0">
      <w:pPr>
        <w:jc w:val="both"/>
      </w:pPr>
      <w:r w:rsidRPr="00A05698">
        <w:t>Ainsi, une écrasante population paysanne est laissée sans eau, et par conséquent sans travail de la terre pendant plus de la moitié de l</w:t>
      </w:r>
      <w:r w:rsidR="00A05714" w:rsidRPr="00A05698">
        <w:t>’</w:t>
      </w:r>
      <w:r w:rsidRPr="00A05698">
        <w:t>année, ce qui renforce la nécessité de mieux utiliser l</w:t>
      </w:r>
      <w:r w:rsidR="00A05714" w:rsidRPr="00A05698">
        <w:t>’</w:t>
      </w:r>
      <w:r w:rsidRPr="00A05698">
        <w:t>eau de pluie s</w:t>
      </w:r>
      <w:r w:rsidR="00A05714" w:rsidRPr="00A05698">
        <w:t>’</w:t>
      </w:r>
      <w:r w:rsidRPr="00A05698">
        <w:t xml:space="preserve">écoulant dans les petites vallées et les nappes souterraines de chaque pays, assurant ainsi l’approvisionnement en eau de la population et les cultures irriguées en période de sécheresse. La réalité est qu’il y a un gros effort à faire en termes d’extension du réseau d’eau, de multiplication du fourrage au niveau de la région de Biombo et principalement Prabis. </w:t>
      </w:r>
    </w:p>
    <w:p w:rsidR="000243C0" w:rsidRPr="000243C0" w:rsidRDefault="009A7392" w:rsidP="000243C0">
      <w:pPr>
        <w:pStyle w:val="PargrafodaLista"/>
        <w:keepNext/>
        <w:spacing w:before="240" w:after="0" w:line="240" w:lineRule="auto"/>
        <w:ind w:left="1158" w:right="284" w:firstLine="258"/>
        <w:jc w:val="both"/>
        <w:outlineLvl w:val="2"/>
        <w:rPr>
          <w:rFonts w:ascii="Times New Roman" w:hAnsi="Times New Roman"/>
          <w:b/>
          <w:sz w:val="24"/>
          <w:szCs w:val="24"/>
        </w:rPr>
      </w:pPr>
      <w:bookmarkStart w:id="223" w:name="_Toc535396928"/>
      <w:bookmarkStart w:id="224" w:name="_Toc6310468"/>
      <w:bookmarkStart w:id="225" w:name="_Toc51084440"/>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2</w:t>
      </w:r>
      <w:r w:rsidR="007C0EBB" w:rsidRPr="00A05698">
        <w:rPr>
          <w:rFonts w:ascii="Times New Roman" w:hAnsi="Times New Roman"/>
          <w:b/>
          <w:sz w:val="24"/>
          <w:szCs w:val="24"/>
        </w:rPr>
        <w:t>.8. Couvertures végétales et ressources forestières</w:t>
      </w:r>
      <w:bookmarkEnd w:id="223"/>
      <w:bookmarkEnd w:id="224"/>
      <w:bookmarkEnd w:id="225"/>
    </w:p>
    <w:p w:rsidR="007C0EBB" w:rsidRDefault="007C0EBB" w:rsidP="000243C0">
      <w:pPr>
        <w:jc w:val="both"/>
      </w:pPr>
      <w:r w:rsidRPr="00A05698">
        <w:t xml:space="preserve">Des consultations des services </w:t>
      </w:r>
      <w:r w:rsidR="00F7107C">
        <w:t xml:space="preserve">(IBAP, </w:t>
      </w:r>
      <w:r w:rsidR="00604B1B" w:rsidRPr="001A3951">
        <w:t>Direction Générale de la Faune et Flore</w:t>
      </w:r>
      <w:r w:rsidR="001A3951" w:rsidRPr="001A3951">
        <w:t xml:space="preserve">) </w:t>
      </w:r>
      <w:r w:rsidRPr="00A05698">
        <w:t>ont permis de collecter la documentation existante des données sur la couverture végétale et les ressources</w:t>
      </w:r>
      <w:r w:rsidR="001A3951">
        <w:t xml:space="preserve"> </w:t>
      </w:r>
      <w:r w:rsidRPr="00A05698">
        <w:t>forestières dans les zones influences.</w:t>
      </w:r>
    </w:p>
    <w:p w:rsidR="000243C0" w:rsidRPr="001A3951" w:rsidRDefault="000243C0" w:rsidP="000243C0">
      <w:pPr>
        <w:jc w:val="both"/>
      </w:pPr>
    </w:p>
    <w:p w:rsidR="007C0EBB" w:rsidRDefault="007C0EBB" w:rsidP="000243C0">
      <w:pPr>
        <w:jc w:val="both"/>
      </w:pPr>
      <w:r w:rsidRPr="00A05698">
        <w:t xml:space="preserve">C’est ainsi qu’il a été noté que les bois qui dominent en région de Biombo sont les palmiers et le bâton de poilão Bissilão. Il représente la majeure partie des bois exportés et consommés sur le marché local. Les principales ressources forestières sont situées au Sud et au Nord de </w:t>
      </w:r>
      <w:r w:rsidR="00561D67" w:rsidRPr="00A05698">
        <w:t>Bafata</w:t>
      </w:r>
      <w:r w:rsidRPr="00A05698">
        <w:t xml:space="preserve"> (la seule zone rationnellement exploitée), entre le fleuve Cacheu et la frontière </w:t>
      </w:r>
      <w:r w:rsidR="00891849">
        <w:t>Sénégal</w:t>
      </w:r>
      <w:r w:rsidRPr="00A05698">
        <w:t>aise, ainsi que dans les régions de Quinara et de Tombali.</w:t>
      </w:r>
    </w:p>
    <w:p w:rsidR="000243C0" w:rsidRPr="00A05698" w:rsidRDefault="000243C0" w:rsidP="000243C0">
      <w:pPr>
        <w:jc w:val="both"/>
      </w:pPr>
    </w:p>
    <w:p w:rsidR="006D420E" w:rsidRDefault="007C0EBB" w:rsidP="000243C0">
      <w:pPr>
        <w:jc w:val="both"/>
      </w:pPr>
      <w:r w:rsidRPr="00A05698">
        <w:t xml:space="preserve">Selon les études réalisées dans le cadre </w:t>
      </w:r>
      <w:r w:rsidR="00E55CE7">
        <w:t>de l’</w:t>
      </w:r>
      <w:r w:rsidR="00E55CE7" w:rsidRPr="006D420E">
        <w:t xml:space="preserve">évaluation des ressources </w:t>
      </w:r>
      <w:r w:rsidR="00137965" w:rsidRPr="006D420E">
        <w:t>forestières</w:t>
      </w:r>
      <w:r w:rsidR="00E55CE7" w:rsidRPr="006D420E">
        <w:t xml:space="preserve"> mondiales 2010</w:t>
      </w:r>
      <w:r w:rsidR="00E55CE7">
        <w:t xml:space="preserve"> en Guinée Bissau par le département des forets d</w:t>
      </w:r>
      <w:r w:rsidR="00137965">
        <w:t>e la FAO</w:t>
      </w:r>
      <w:r w:rsidR="00982C09">
        <w:t>,</w:t>
      </w:r>
      <w:r w:rsidR="00B86BA2">
        <w:t xml:space="preserve"> on peut noter ces données ci-dessous :</w:t>
      </w:r>
    </w:p>
    <w:p w:rsidR="000243C0" w:rsidRPr="006D420E" w:rsidRDefault="000243C0" w:rsidP="000243C0">
      <w:pPr>
        <w:jc w:val="both"/>
      </w:pPr>
    </w:p>
    <w:tbl>
      <w:tblPr>
        <w:tblW w:w="9420" w:type="dxa"/>
        <w:jc w:val="center"/>
        <w:tblLayout w:type="fixed"/>
        <w:tblCellMar>
          <w:left w:w="0" w:type="dxa"/>
          <w:right w:w="0" w:type="dxa"/>
        </w:tblCellMar>
        <w:tblLook w:val="04A0" w:firstRow="1" w:lastRow="0" w:firstColumn="1" w:lastColumn="0" w:noHBand="0" w:noVBand="1"/>
      </w:tblPr>
      <w:tblGrid>
        <w:gridCol w:w="146"/>
        <w:gridCol w:w="3371"/>
        <w:gridCol w:w="156"/>
        <w:gridCol w:w="113"/>
        <w:gridCol w:w="1173"/>
        <w:gridCol w:w="147"/>
        <w:gridCol w:w="122"/>
        <w:gridCol w:w="1148"/>
        <w:gridCol w:w="147"/>
        <w:gridCol w:w="122"/>
        <w:gridCol w:w="1173"/>
        <w:gridCol w:w="147"/>
        <w:gridCol w:w="98"/>
        <w:gridCol w:w="1173"/>
        <w:gridCol w:w="147"/>
        <w:gridCol w:w="37"/>
      </w:tblGrid>
      <w:tr w:rsidR="00277292" w:rsidTr="00B956CD">
        <w:trPr>
          <w:trHeight w:val="197"/>
          <w:jc w:val="center"/>
        </w:trPr>
        <w:tc>
          <w:tcPr>
            <w:tcW w:w="146" w:type="dxa"/>
            <w:tcBorders>
              <w:top w:val="single" w:sz="8" w:space="0" w:color="auto"/>
              <w:left w:val="single" w:sz="8" w:space="0" w:color="auto"/>
            </w:tcBorders>
            <w:shd w:val="clear" w:color="auto" w:fill="CCFFCC"/>
            <w:vAlign w:val="bottom"/>
          </w:tcPr>
          <w:p w:rsidR="00B86BA2" w:rsidRDefault="00B86BA2" w:rsidP="00654E14">
            <w:pPr>
              <w:rPr>
                <w:sz w:val="17"/>
                <w:szCs w:val="17"/>
              </w:rPr>
            </w:pPr>
          </w:p>
        </w:tc>
        <w:tc>
          <w:tcPr>
            <w:tcW w:w="3371" w:type="dxa"/>
            <w:tcBorders>
              <w:top w:val="single" w:sz="8" w:space="0" w:color="auto"/>
            </w:tcBorders>
            <w:shd w:val="clear" w:color="auto" w:fill="CCFFCC"/>
            <w:vAlign w:val="bottom"/>
          </w:tcPr>
          <w:p w:rsidR="00B86BA2" w:rsidRDefault="00B86BA2" w:rsidP="00654E14">
            <w:pPr>
              <w:rPr>
                <w:sz w:val="17"/>
                <w:szCs w:val="17"/>
              </w:rPr>
            </w:pPr>
          </w:p>
        </w:tc>
        <w:tc>
          <w:tcPr>
            <w:tcW w:w="156" w:type="dxa"/>
            <w:tcBorders>
              <w:top w:val="single" w:sz="8" w:space="0" w:color="auto"/>
              <w:right w:val="single" w:sz="8" w:space="0" w:color="auto"/>
            </w:tcBorders>
            <w:shd w:val="clear" w:color="auto" w:fill="CCFFCC"/>
            <w:vAlign w:val="bottom"/>
          </w:tcPr>
          <w:p w:rsidR="00B86BA2" w:rsidRDefault="00B86BA2" w:rsidP="00654E14">
            <w:pPr>
              <w:rPr>
                <w:sz w:val="17"/>
                <w:szCs w:val="17"/>
              </w:rPr>
            </w:pPr>
          </w:p>
        </w:tc>
        <w:tc>
          <w:tcPr>
            <w:tcW w:w="113" w:type="dxa"/>
            <w:tcBorders>
              <w:top w:val="single" w:sz="8" w:space="0" w:color="auto"/>
            </w:tcBorders>
            <w:shd w:val="clear" w:color="auto" w:fill="CCFFCC"/>
            <w:vAlign w:val="bottom"/>
          </w:tcPr>
          <w:p w:rsidR="00B86BA2" w:rsidRDefault="00B86BA2" w:rsidP="00654E14">
            <w:pPr>
              <w:rPr>
                <w:sz w:val="17"/>
                <w:szCs w:val="17"/>
              </w:rPr>
            </w:pPr>
          </w:p>
        </w:tc>
        <w:tc>
          <w:tcPr>
            <w:tcW w:w="1173" w:type="dxa"/>
            <w:tcBorders>
              <w:top w:val="single" w:sz="8" w:space="0" w:color="auto"/>
            </w:tcBorders>
            <w:shd w:val="clear" w:color="auto" w:fill="CCFFCC"/>
            <w:vAlign w:val="bottom"/>
          </w:tcPr>
          <w:p w:rsidR="00B86BA2" w:rsidRDefault="00B86BA2" w:rsidP="00654E14">
            <w:pPr>
              <w:rPr>
                <w:sz w:val="17"/>
                <w:szCs w:val="17"/>
              </w:rPr>
            </w:pPr>
          </w:p>
        </w:tc>
        <w:tc>
          <w:tcPr>
            <w:tcW w:w="147" w:type="dxa"/>
            <w:tcBorders>
              <w:top w:val="single" w:sz="8" w:space="0" w:color="auto"/>
              <w:right w:val="single" w:sz="8" w:space="0" w:color="CCFFCC"/>
            </w:tcBorders>
            <w:shd w:val="clear" w:color="auto" w:fill="CCFFCC"/>
            <w:vAlign w:val="bottom"/>
          </w:tcPr>
          <w:p w:rsidR="00B86BA2" w:rsidRDefault="00B86BA2" w:rsidP="00654E14">
            <w:pPr>
              <w:rPr>
                <w:sz w:val="17"/>
                <w:szCs w:val="17"/>
              </w:rPr>
            </w:pPr>
          </w:p>
        </w:tc>
        <w:tc>
          <w:tcPr>
            <w:tcW w:w="2859" w:type="dxa"/>
            <w:gridSpan w:val="6"/>
            <w:vMerge w:val="restart"/>
            <w:tcBorders>
              <w:top w:val="single" w:sz="8" w:space="0" w:color="auto"/>
              <w:right w:val="single" w:sz="8" w:space="0" w:color="CCFFCC"/>
            </w:tcBorders>
            <w:shd w:val="clear" w:color="auto" w:fill="CCFFCC"/>
            <w:vAlign w:val="bottom"/>
          </w:tcPr>
          <w:p w:rsidR="00B86BA2" w:rsidRDefault="00B86BA2" w:rsidP="00654E14">
            <w:pPr>
              <w:ind w:left="40"/>
              <w:rPr>
                <w:sz w:val="20"/>
                <w:szCs w:val="20"/>
              </w:rPr>
            </w:pPr>
            <w:r>
              <w:rPr>
                <w:rFonts w:eastAsia="Times New Roman"/>
                <w:b/>
                <w:bCs/>
                <w:sz w:val="20"/>
                <w:szCs w:val="20"/>
              </w:rPr>
              <w:t>Superficie (1000 hectares)</w:t>
            </w:r>
          </w:p>
        </w:tc>
        <w:tc>
          <w:tcPr>
            <w:tcW w:w="98" w:type="dxa"/>
            <w:tcBorders>
              <w:top w:val="single" w:sz="8" w:space="0" w:color="auto"/>
            </w:tcBorders>
            <w:shd w:val="clear" w:color="auto" w:fill="CCFFCC"/>
            <w:vAlign w:val="bottom"/>
          </w:tcPr>
          <w:p w:rsidR="00B86BA2" w:rsidRDefault="00B86BA2" w:rsidP="00654E14">
            <w:pPr>
              <w:rPr>
                <w:sz w:val="17"/>
                <w:szCs w:val="17"/>
              </w:rPr>
            </w:pPr>
          </w:p>
        </w:tc>
        <w:tc>
          <w:tcPr>
            <w:tcW w:w="1173" w:type="dxa"/>
            <w:tcBorders>
              <w:top w:val="single" w:sz="8" w:space="0" w:color="auto"/>
            </w:tcBorders>
            <w:shd w:val="clear" w:color="auto" w:fill="CCFFCC"/>
            <w:vAlign w:val="bottom"/>
          </w:tcPr>
          <w:p w:rsidR="00B86BA2" w:rsidRDefault="00B86BA2" w:rsidP="00654E14">
            <w:pPr>
              <w:rPr>
                <w:sz w:val="17"/>
                <w:szCs w:val="17"/>
              </w:rPr>
            </w:pPr>
          </w:p>
        </w:tc>
        <w:tc>
          <w:tcPr>
            <w:tcW w:w="147" w:type="dxa"/>
            <w:tcBorders>
              <w:top w:val="single" w:sz="8" w:space="0" w:color="auto"/>
              <w:right w:val="single" w:sz="8" w:space="0" w:color="auto"/>
            </w:tcBorders>
            <w:shd w:val="clear" w:color="auto" w:fill="CCFFCC"/>
            <w:vAlign w:val="bottom"/>
          </w:tcPr>
          <w:p w:rsidR="00B86BA2" w:rsidRDefault="00B86BA2" w:rsidP="00654E14">
            <w:pPr>
              <w:rPr>
                <w:sz w:val="17"/>
                <w:szCs w:val="17"/>
              </w:rPr>
            </w:pPr>
          </w:p>
        </w:tc>
        <w:tc>
          <w:tcPr>
            <w:tcW w:w="37" w:type="dxa"/>
            <w:vAlign w:val="bottom"/>
          </w:tcPr>
          <w:p w:rsidR="00B86BA2" w:rsidRDefault="00B86BA2" w:rsidP="00654E14">
            <w:pPr>
              <w:rPr>
                <w:sz w:val="1"/>
                <w:szCs w:val="1"/>
              </w:rPr>
            </w:pPr>
          </w:p>
        </w:tc>
      </w:tr>
      <w:tr w:rsidR="00277292" w:rsidTr="00B956CD">
        <w:trPr>
          <w:trHeight w:val="96"/>
          <w:jc w:val="center"/>
        </w:trPr>
        <w:tc>
          <w:tcPr>
            <w:tcW w:w="146" w:type="dxa"/>
            <w:tcBorders>
              <w:left w:val="single" w:sz="8" w:space="0" w:color="auto"/>
              <w:bottom w:val="single" w:sz="8" w:space="0" w:color="CCFFCC"/>
            </w:tcBorders>
            <w:shd w:val="clear" w:color="auto" w:fill="CCFFCC"/>
            <w:vAlign w:val="bottom"/>
          </w:tcPr>
          <w:p w:rsidR="00B86BA2" w:rsidRDefault="00B86BA2" w:rsidP="00654E14">
            <w:pPr>
              <w:rPr>
                <w:sz w:val="8"/>
                <w:szCs w:val="8"/>
              </w:rPr>
            </w:pPr>
          </w:p>
        </w:tc>
        <w:tc>
          <w:tcPr>
            <w:tcW w:w="3371" w:type="dxa"/>
            <w:vMerge w:val="restart"/>
            <w:tcBorders>
              <w:bottom w:val="single" w:sz="8" w:space="0" w:color="CCFFCC"/>
            </w:tcBorders>
            <w:shd w:val="clear" w:color="auto" w:fill="CCFFCC"/>
            <w:vAlign w:val="bottom"/>
          </w:tcPr>
          <w:p w:rsidR="00B86BA2" w:rsidRDefault="00B86BA2" w:rsidP="00654E14">
            <w:pPr>
              <w:spacing w:line="227" w:lineRule="exact"/>
              <w:rPr>
                <w:sz w:val="20"/>
                <w:szCs w:val="20"/>
              </w:rPr>
            </w:pPr>
            <w:r>
              <w:rPr>
                <w:rFonts w:eastAsia="Times New Roman"/>
                <w:b/>
                <w:bCs/>
                <w:sz w:val="20"/>
                <w:szCs w:val="20"/>
              </w:rPr>
              <w:t>Catégories de FRA 2010</w:t>
            </w:r>
          </w:p>
        </w:tc>
        <w:tc>
          <w:tcPr>
            <w:tcW w:w="156" w:type="dxa"/>
            <w:tcBorders>
              <w:bottom w:val="single" w:sz="8" w:space="0" w:color="CCFFCC"/>
              <w:right w:val="single" w:sz="8" w:space="0" w:color="auto"/>
            </w:tcBorders>
            <w:shd w:val="clear" w:color="auto" w:fill="CCFFCC"/>
            <w:vAlign w:val="bottom"/>
          </w:tcPr>
          <w:p w:rsidR="00B86BA2" w:rsidRDefault="00B86BA2" w:rsidP="00654E14">
            <w:pPr>
              <w:rPr>
                <w:sz w:val="8"/>
                <w:szCs w:val="8"/>
              </w:rPr>
            </w:pPr>
          </w:p>
        </w:tc>
        <w:tc>
          <w:tcPr>
            <w:tcW w:w="113" w:type="dxa"/>
            <w:tcBorders>
              <w:bottom w:val="single" w:sz="8" w:space="0" w:color="auto"/>
            </w:tcBorders>
            <w:shd w:val="clear" w:color="auto" w:fill="CCFFCC"/>
            <w:vAlign w:val="bottom"/>
          </w:tcPr>
          <w:p w:rsidR="00B86BA2" w:rsidRDefault="00B86BA2" w:rsidP="00654E14">
            <w:pPr>
              <w:rPr>
                <w:sz w:val="8"/>
                <w:szCs w:val="8"/>
              </w:rPr>
            </w:pPr>
          </w:p>
        </w:tc>
        <w:tc>
          <w:tcPr>
            <w:tcW w:w="1173" w:type="dxa"/>
            <w:tcBorders>
              <w:bottom w:val="single" w:sz="8" w:space="0" w:color="auto"/>
            </w:tcBorders>
            <w:shd w:val="clear" w:color="auto" w:fill="CCFFCC"/>
            <w:vAlign w:val="bottom"/>
          </w:tcPr>
          <w:p w:rsidR="00B86BA2" w:rsidRDefault="00B86BA2" w:rsidP="00654E14">
            <w:pPr>
              <w:rPr>
                <w:sz w:val="8"/>
                <w:szCs w:val="8"/>
              </w:rPr>
            </w:pPr>
          </w:p>
        </w:tc>
        <w:tc>
          <w:tcPr>
            <w:tcW w:w="147" w:type="dxa"/>
            <w:tcBorders>
              <w:bottom w:val="single" w:sz="8" w:space="0" w:color="auto"/>
              <w:right w:val="single" w:sz="8" w:space="0" w:color="CCFFCC"/>
            </w:tcBorders>
            <w:shd w:val="clear" w:color="auto" w:fill="CCFFCC"/>
            <w:vAlign w:val="bottom"/>
          </w:tcPr>
          <w:p w:rsidR="00B86BA2" w:rsidRDefault="00B86BA2" w:rsidP="00654E14">
            <w:pPr>
              <w:rPr>
                <w:sz w:val="8"/>
                <w:szCs w:val="8"/>
              </w:rPr>
            </w:pPr>
          </w:p>
        </w:tc>
        <w:tc>
          <w:tcPr>
            <w:tcW w:w="2859" w:type="dxa"/>
            <w:gridSpan w:val="6"/>
            <w:vMerge/>
            <w:tcBorders>
              <w:bottom w:val="single" w:sz="8" w:space="0" w:color="auto"/>
              <w:right w:val="single" w:sz="8" w:space="0" w:color="CCFFCC"/>
            </w:tcBorders>
            <w:shd w:val="clear" w:color="auto" w:fill="CCFFCC"/>
            <w:vAlign w:val="bottom"/>
          </w:tcPr>
          <w:p w:rsidR="00B86BA2" w:rsidRDefault="00B86BA2" w:rsidP="00654E14">
            <w:pPr>
              <w:rPr>
                <w:sz w:val="8"/>
                <w:szCs w:val="8"/>
              </w:rPr>
            </w:pPr>
          </w:p>
        </w:tc>
        <w:tc>
          <w:tcPr>
            <w:tcW w:w="98" w:type="dxa"/>
            <w:tcBorders>
              <w:bottom w:val="single" w:sz="8" w:space="0" w:color="auto"/>
            </w:tcBorders>
            <w:shd w:val="clear" w:color="auto" w:fill="CCFFCC"/>
            <w:vAlign w:val="bottom"/>
          </w:tcPr>
          <w:p w:rsidR="00B86BA2" w:rsidRDefault="00B86BA2" w:rsidP="00654E14">
            <w:pPr>
              <w:rPr>
                <w:sz w:val="8"/>
                <w:szCs w:val="8"/>
              </w:rPr>
            </w:pPr>
          </w:p>
        </w:tc>
        <w:tc>
          <w:tcPr>
            <w:tcW w:w="1173" w:type="dxa"/>
            <w:tcBorders>
              <w:bottom w:val="single" w:sz="8" w:space="0" w:color="auto"/>
            </w:tcBorders>
            <w:shd w:val="clear" w:color="auto" w:fill="CCFFCC"/>
            <w:vAlign w:val="bottom"/>
          </w:tcPr>
          <w:p w:rsidR="00B86BA2" w:rsidRDefault="00B86BA2" w:rsidP="00654E14">
            <w:pPr>
              <w:rPr>
                <w:sz w:val="8"/>
                <w:szCs w:val="8"/>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8"/>
                <w:szCs w:val="8"/>
              </w:rPr>
            </w:pPr>
          </w:p>
        </w:tc>
        <w:tc>
          <w:tcPr>
            <w:tcW w:w="37" w:type="dxa"/>
            <w:vAlign w:val="bottom"/>
          </w:tcPr>
          <w:p w:rsidR="00B86BA2" w:rsidRDefault="00B86BA2" w:rsidP="00654E14">
            <w:pPr>
              <w:rPr>
                <w:sz w:val="1"/>
                <w:szCs w:val="1"/>
              </w:rPr>
            </w:pPr>
          </w:p>
        </w:tc>
      </w:tr>
      <w:tr w:rsidR="00B86BA2" w:rsidTr="00B956CD">
        <w:trPr>
          <w:trHeight w:val="111"/>
          <w:jc w:val="center"/>
        </w:trPr>
        <w:tc>
          <w:tcPr>
            <w:tcW w:w="146" w:type="dxa"/>
            <w:tcBorders>
              <w:top w:val="single" w:sz="8" w:space="0" w:color="CCFFCC"/>
              <w:left w:val="single" w:sz="8" w:space="0" w:color="auto"/>
            </w:tcBorders>
            <w:shd w:val="clear" w:color="auto" w:fill="CCFFCC"/>
            <w:vAlign w:val="bottom"/>
          </w:tcPr>
          <w:p w:rsidR="00B86BA2" w:rsidRDefault="00B86BA2" w:rsidP="00654E14">
            <w:pPr>
              <w:rPr>
                <w:sz w:val="9"/>
                <w:szCs w:val="9"/>
              </w:rPr>
            </w:pPr>
          </w:p>
        </w:tc>
        <w:tc>
          <w:tcPr>
            <w:tcW w:w="3371" w:type="dxa"/>
            <w:vMerge/>
            <w:tcBorders>
              <w:top w:val="single" w:sz="8" w:space="0" w:color="CCFFCC"/>
            </w:tcBorders>
            <w:shd w:val="clear" w:color="auto" w:fill="CCFFCC"/>
            <w:vAlign w:val="bottom"/>
          </w:tcPr>
          <w:p w:rsidR="00B86BA2" w:rsidRDefault="00B86BA2" w:rsidP="00654E14">
            <w:pPr>
              <w:rPr>
                <w:sz w:val="9"/>
                <w:szCs w:val="9"/>
              </w:rPr>
            </w:pPr>
          </w:p>
        </w:tc>
        <w:tc>
          <w:tcPr>
            <w:tcW w:w="156"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113" w:type="dxa"/>
            <w:tcBorders>
              <w:top w:val="single" w:sz="8" w:space="0" w:color="CCFFCC"/>
            </w:tcBorders>
            <w:shd w:val="clear" w:color="auto" w:fill="CCFFCC"/>
            <w:vAlign w:val="bottom"/>
          </w:tcPr>
          <w:p w:rsidR="00B86BA2" w:rsidRDefault="00B86BA2" w:rsidP="00654E14">
            <w:pPr>
              <w:rPr>
                <w:sz w:val="9"/>
                <w:szCs w:val="9"/>
              </w:rPr>
            </w:pPr>
          </w:p>
        </w:tc>
        <w:tc>
          <w:tcPr>
            <w:tcW w:w="1173" w:type="dxa"/>
            <w:vMerge w:val="restart"/>
            <w:tcBorders>
              <w:top w:val="single" w:sz="8" w:space="0" w:color="CCFFCC"/>
            </w:tcBorders>
            <w:shd w:val="clear" w:color="auto" w:fill="CCFFCC"/>
            <w:vAlign w:val="bottom"/>
          </w:tcPr>
          <w:p w:rsidR="00B86BA2" w:rsidRDefault="00B86BA2" w:rsidP="00654E14">
            <w:pPr>
              <w:spacing w:line="216" w:lineRule="exact"/>
              <w:ind w:right="180"/>
              <w:jc w:val="right"/>
              <w:rPr>
                <w:sz w:val="20"/>
                <w:szCs w:val="20"/>
              </w:rPr>
            </w:pPr>
            <w:r>
              <w:rPr>
                <w:rFonts w:eastAsia="Times New Roman"/>
                <w:b/>
                <w:bCs/>
                <w:sz w:val="20"/>
                <w:szCs w:val="20"/>
              </w:rPr>
              <w:t>1990</w:t>
            </w:r>
          </w:p>
        </w:tc>
        <w:tc>
          <w:tcPr>
            <w:tcW w:w="147"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122" w:type="dxa"/>
            <w:tcBorders>
              <w:top w:val="single" w:sz="8" w:space="0" w:color="CCFFCC"/>
            </w:tcBorders>
            <w:shd w:val="clear" w:color="auto" w:fill="CCFFCC"/>
            <w:vAlign w:val="bottom"/>
          </w:tcPr>
          <w:p w:rsidR="00B86BA2" w:rsidRDefault="00B86BA2" w:rsidP="00654E14">
            <w:pPr>
              <w:rPr>
                <w:sz w:val="9"/>
                <w:szCs w:val="9"/>
              </w:rPr>
            </w:pPr>
          </w:p>
        </w:tc>
        <w:tc>
          <w:tcPr>
            <w:tcW w:w="1148" w:type="dxa"/>
            <w:vMerge w:val="restart"/>
            <w:tcBorders>
              <w:top w:val="single" w:sz="8" w:space="0" w:color="CCFFCC"/>
            </w:tcBorders>
            <w:shd w:val="clear" w:color="auto" w:fill="CCFFCC"/>
            <w:vAlign w:val="bottom"/>
          </w:tcPr>
          <w:p w:rsidR="00B86BA2" w:rsidRDefault="00B86BA2" w:rsidP="00654E14">
            <w:pPr>
              <w:spacing w:line="216" w:lineRule="exact"/>
              <w:ind w:right="180"/>
              <w:jc w:val="right"/>
              <w:rPr>
                <w:sz w:val="20"/>
                <w:szCs w:val="20"/>
              </w:rPr>
            </w:pPr>
            <w:r>
              <w:rPr>
                <w:rFonts w:eastAsia="Times New Roman"/>
                <w:b/>
                <w:bCs/>
                <w:sz w:val="20"/>
                <w:szCs w:val="20"/>
              </w:rPr>
              <w:t>2000</w:t>
            </w:r>
          </w:p>
        </w:tc>
        <w:tc>
          <w:tcPr>
            <w:tcW w:w="147"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122" w:type="dxa"/>
            <w:tcBorders>
              <w:top w:val="single" w:sz="8" w:space="0" w:color="CCFFCC"/>
            </w:tcBorders>
            <w:shd w:val="clear" w:color="auto" w:fill="CCFFCC"/>
            <w:vAlign w:val="bottom"/>
          </w:tcPr>
          <w:p w:rsidR="00B86BA2" w:rsidRDefault="00B86BA2" w:rsidP="00654E14">
            <w:pPr>
              <w:rPr>
                <w:sz w:val="9"/>
                <w:szCs w:val="9"/>
              </w:rPr>
            </w:pPr>
          </w:p>
        </w:tc>
        <w:tc>
          <w:tcPr>
            <w:tcW w:w="1173" w:type="dxa"/>
            <w:vMerge w:val="restart"/>
            <w:tcBorders>
              <w:top w:val="single" w:sz="8" w:space="0" w:color="CCFFCC"/>
            </w:tcBorders>
            <w:shd w:val="clear" w:color="auto" w:fill="CCFFCC"/>
            <w:vAlign w:val="bottom"/>
          </w:tcPr>
          <w:p w:rsidR="00B86BA2" w:rsidRDefault="00B86BA2" w:rsidP="00654E14">
            <w:pPr>
              <w:spacing w:line="216" w:lineRule="exact"/>
              <w:ind w:right="180"/>
              <w:jc w:val="right"/>
              <w:rPr>
                <w:sz w:val="20"/>
                <w:szCs w:val="20"/>
              </w:rPr>
            </w:pPr>
            <w:r>
              <w:rPr>
                <w:rFonts w:eastAsia="Times New Roman"/>
                <w:b/>
                <w:bCs/>
                <w:sz w:val="20"/>
                <w:szCs w:val="20"/>
              </w:rPr>
              <w:t>2005</w:t>
            </w:r>
          </w:p>
        </w:tc>
        <w:tc>
          <w:tcPr>
            <w:tcW w:w="147"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98" w:type="dxa"/>
            <w:tcBorders>
              <w:top w:val="single" w:sz="8" w:space="0" w:color="CCFFCC"/>
            </w:tcBorders>
            <w:shd w:val="clear" w:color="auto" w:fill="CCFFCC"/>
            <w:vAlign w:val="bottom"/>
          </w:tcPr>
          <w:p w:rsidR="00B86BA2" w:rsidRDefault="00B86BA2" w:rsidP="00654E14">
            <w:pPr>
              <w:rPr>
                <w:sz w:val="9"/>
                <w:szCs w:val="9"/>
              </w:rPr>
            </w:pPr>
          </w:p>
        </w:tc>
        <w:tc>
          <w:tcPr>
            <w:tcW w:w="1173" w:type="dxa"/>
            <w:vMerge w:val="restart"/>
            <w:tcBorders>
              <w:top w:val="single" w:sz="8" w:space="0" w:color="CCFFCC"/>
            </w:tcBorders>
            <w:shd w:val="clear" w:color="auto" w:fill="CCFFCC"/>
            <w:vAlign w:val="bottom"/>
          </w:tcPr>
          <w:p w:rsidR="00B86BA2" w:rsidRDefault="00B86BA2" w:rsidP="00654E14">
            <w:pPr>
              <w:spacing w:line="216" w:lineRule="exact"/>
              <w:ind w:right="180"/>
              <w:jc w:val="right"/>
              <w:rPr>
                <w:sz w:val="20"/>
                <w:szCs w:val="20"/>
              </w:rPr>
            </w:pPr>
            <w:r>
              <w:rPr>
                <w:rFonts w:eastAsia="Times New Roman"/>
                <w:b/>
                <w:bCs/>
                <w:sz w:val="20"/>
                <w:szCs w:val="20"/>
              </w:rPr>
              <w:t>2010</w:t>
            </w:r>
          </w:p>
        </w:tc>
        <w:tc>
          <w:tcPr>
            <w:tcW w:w="147" w:type="dxa"/>
            <w:tcBorders>
              <w:top w:val="single" w:sz="8" w:space="0" w:color="CCFFCC"/>
              <w:right w:val="single" w:sz="8" w:space="0" w:color="auto"/>
            </w:tcBorders>
            <w:shd w:val="clear" w:color="auto" w:fill="CCFFCC"/>
            <w:vAlign w:val="bottom"/>
          </w:tcPr>
          <w:p w:rsidR="00B86BA2" w:rsidRDefault="00B86BA2" w:rsidP="00654E14">
            <w:pPr>
              <w:rPr>
                <w:sz w:val="9"/>
                <w:szCs w:val="9"/>
              </w:rPr>
            </w:pPr>
          </w:p>
        </w:tc>
        <w:tc>
          <w:tcPr>
            <w:tcW w:w="37" w:type="dxa"/>
            <w:vAlign w:val="bottom"/>
          </w:tcPr>
          <w:p w:rsidR="00B86BA2" w:rsidRDefault="00B86BA2" w:rsidP="00654E14">
            <w:pPr>
              <w:rPr>
                <w:sz w:val="1"/>
                <w:szCs w:val="1"/>
              </w:rPr>
            </w:pPr>
          </w:p>
        </w:tc>
      </w:tr>
      <w:tr w:rsidR="00B86BA2" w:rsidTr="00B956CD">
        <w:trPr>
          <w:trHeight w:val="114"/>
          <w:jc w:val="center"/>
        </w:trPr>
        <w:tc>
          <w:tcPr>
            <w:tcW w:w="146" w:type="dxa"/>
            <w:tcBorders>
              <w:left w:val="single" w:sz="8" w:space="0" w:color="auto"/>
              <w:bottom w:val="single" w:sz="8" w:space="0" w:color="auto"/>
            </w:tcBorders>
            <w:shd w:val="clear" w:color="auto" w:fill="CCFFCC"/>
            <w:vAlign w:val="bottom"/>
          </w:tcPr>
          <w:p w:rsidR="00B86BA2" w:rsidRDefault="00B86BA2" w:rsidP="00654E14">
            <w:pPr>
              <w:rPr>
                <w:sz w:val="9"/>
                <w:szCs w:val="9"/>
              </w:rPr>
            </w:pPr>
          </w:p>
        </w:tc>
        <w:tc>
          <w:tcPr>
            <w:tcW w:w="3371" w:type="dxa"/>
            <w:tcBorders>
              <w:bottom w:val="single" w:sz="8" w:space="0" w:color="auto"/>
            </w:tcBorders>
            <w:shd w:val="clear" w:color="auto" w:fill="CCFFCC"/>
            <w:vAlign w:val="bottom"/>
          </w:tcPr>
          <w:p w:rsidR="00B86BA2" w:rsidRDefault="00B86BA2" w:rsidP="00654E14">
            <w:pPr>
              <w:rPr>
                <w:sz w:val="9"/>
                <w:szCs w:val="9"/>
              </w:rPr>
            </w:pPr>
          </w:p>
        </w:tc>
        <w:tc>
          <w:tcPr>
            <w:tcW w:w="156"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113" w:type="dxa"/>
            <w:tcBorders>
              <w:bottom w:val="single" w:sz="8" w:space="0" w:color="auto"/>
            </w:tcBorders>
            <w:shd w:val="clear" w:color="auto" w:fill="CCFFCC"/>
            <w:vAlign w:val="bottom"/>
          </w:tcPr>
          <w:p w:rsidR="00B86BA2" w:rsidRDefault="00B86BA2" w:rsidP="00654E14">
            <w:pPr>
              <w:rPr>
                <w:sz w:val="9"/>
                <w:szCs w:val="9"/>
              </w:rPr>
            </w:pPr>
          </w:p>
        </w:tc>
        <w:tc>
          <w:tcPr>
            <w:tcW w:w="1173" w:type="dxa"/>
            <w:vMerge/>
            <w:tcBorders>
              <w:bottom w:val="single" w:sz="8" w:space="0" w:color="auto"/>
            </w:tcBorders>
            <w:shd w:val="clear" w:color="auto" w:fill="CCFFCC"/>
            <w:vAlign w:val="bottom"/>
          </w:tcPr>
          <w:p w:rsidR="00B86BA2" w:rsidRDefault="00B86BA2" w:rsidP="00654E14">
            <w:pPr>
              <w:rPr>
                <w:sz w:val="9"/>
                <w:szCs w:val="9"/>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122" w:type="dxa"/>
            <w:tcBorders>
              <w:bottom w:val="single" w:sz="8" w:space="0" w:color="auto"/>
            </w:tcBorders>
            <w:shd w:val="clear" w:color="auto" w:fill="CCFFCC"/>
            <w:vAlign w:val="bottom"/>
          </w:tcPr>
          <w:p w:rsidR="00B86BA2" w:rsidRDefault="00B86BA2" w:rsidP="00654E14">
            <w:pPr>
              <w:rPr>
                <w:sz w:val="9"/>
                <w:szCs w:val="9"/>
              </w:rPr>
            </w:pPr>
          </w:p>
        </w:tc>
        <w:tc>
          <w:tcPr>
            <w:tcW w:w="1148" w:type="dxa"/>
            <w:vMerge/>
            <w:tcBorders>
              <w:bottom w:val="single" w:sz="8" w:space="0" w:color="auto"/>
            </w:tcBorders>
            <w:shd w:val="clear" w:color="auto" w:fill="CCFFCC"/>
            <w:vAlign w:val="bottom"/>
          </w:tcPr>
          <w:p w:rsidR="00B86BA2" w:rsidRDefault="00B86BA2" w:rsidP="00654E14">
            <w:pPr>
              <w:rPr>
                <w:sz w:val="9"/>
                <w:szCs w:val="9"/>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122" w:type="dxa"/>
            <w:tcBorders>
              <w:bottom w:val="single" w:sz="8" w:space="0" w:color="auto"/>
            </w:tcBorders>
            <w:shd w:val="clear" w:color="auto" w:fill="CCFFCC"/>
            <w:vAlign w:val="bottom"/>
          </w:tcPr>
          <w:p w:rsidR="00B86BA2" w:rsidRDefault="00B86BA2" w:rsidP="00654E14">
            <w:pPr>
              <w:rPr>
                <w:sz w:val="9"/>
                <w:szCs w:val="9"/>
              </w:rPr>
            </w:pPr>
          </w:p>
        </w:tc>
        <w:tc>
          <w:tcPr>
            <w:tcW w:w="1173" w:type="dxa"/>
            <w:vMerge/>
            <w:tcBorders>
              <w:bottom w:val="single" w:sz="8" w:space="0" w:color="auto"/>
            </w:tcBorders>
            <w:shd w:val="clear" w:color="auto" w:fill="CCFFCC"/>
            <w:vAlign w:val="bottom"/>
          </w:tcPr>
          <w:p w:rsidR="00B86BA2" w:rsidRDefault="00B86BA2" w:rsidP="00654E14">
            <w:pPr>
              <w:rPr>
                <w:sz w:val="9"/>
                <w:szCs w:val="9"/>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98" w:type="dxa"/>
            <w:tcBorders>
              <w:bottom w:val="single" w:sz="8" w:space="0" w:color="auto"/>
            </w:tcBorders>
            <w:shd w:val="clear" w:color="auto" w:fill="CCFFCC"/>
            <w:vAlign w:val="bottom"/>
          </w:tcPr>
          <w:p w:rsidR="00B86BA2" w:rsidRDefault="00B86BA2" w:rsidP="00654E14">
            <w:pPr>
              <w:rPr>
                <w:sz w:val="9"/>
                <w:szCs w:val="9"/>
              </w:rPr>
            </w:pPr>
          </w:p>
        </w:tc>
        <w:tc>
          <w:tcPr>
            <w:tcW w:w="1173" w:type="dxa"/>
            <w:vMerge/>
            <w:tcBorders>
              <w:bottom w:val="single" w:sz="8" w:space="0" w:color="auto"/>
            </w:tcBorders>
            <w:shd w:val="clear" w:color="auto" w:fill="CCFFCC"/>
            <w:vAlign w:val="bottom"/>
          </w:tcPr>
          <w:p w:rsidR="00B86BA2" w:rsidRDefault="00B86BA2" w:rsidP="00654E14">
            <w:pPr>
              <w:rPr>
                <w:sz w:val="9"/>
                <w:szCs w:val="9"/>
              </w:rPr>
            </w:pPr>
          </w:p>
        </w:tc>
        <w:tc>
          <w:tcPr>
            <w:tcW w:w="147" w:type="dxa"/>
            <w:tcBorders>
              <w:bottom w:val="single" w:sz="8" w:space="0" w:color="auto"/>
              <w:right w:val="single" w:sz="8" w:space="0" w:color="auto"/>
            </w:tcBorders>
            <w:shd w:val="clear" w:color="auto" w:fill="CCFFCC"/>
            <w:vAlign w:val="bottom"/>
          </w:tcPr>
          <w:p w:rsidR="00B86BA2" w:rsidRDefault="00B86BA2" w:rsidP="00654E14">
            <w:pPr>
              <w:rPr>
                <w:sz w:val="9"/>
                <w:szCs w:val="9"/>
              </w:rPr>
            </w:pPr>
          </w:p>
        </w:tc>
        <w:tc>
          <w:tcPr>
            <w:tcW w:w="37" w:type="dxa"/>
            <w:vAlign w:val="bottom"/>
          </w:tcPr>
          <w:p w:rsidR="00B86BA2" w:rsidRDefault="00B86BA2" w:rsidP="00654E14">
            <w:pPr>
              <w:rPr>
                <w:sz w:val="1"/>
                <w:szCs w:val="1"/>
              </w:rPr>
            </w:pPr>
          </w:p>
        </w:tc>
      </w:tr>
      <w:tr w:rsidR="00B86BA2" w:rsidTr="00B956CD">
        <w:trPr>
          <w:trHeight w:val="260"/>
          <w:jc w:val="center"/>
        </w:trPr>
        <w:tc>
          <w:tcPr>
            <w:tcW w:w="3673" w:type="dxa"/>
            <w:gridSpan w:val="3"/>
            <w:tcBorders>
              <w:left w:val="single" w:sz="8" w:space="0" w:color="auto"/>
              <w:bottom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Forêt</w:t>
            </w:r>
          </w:p>
        </w:tc>
        <w:tc>
          <w:tcPr>
            <w:tcW w:w="1433"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2 216</w:t>
            </w:r>
          </w:p>
        </w:tc>
        <w:tc>
          <w:tcPr>
            <w:tcW w:w="1417"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2 120</w:t>
            </w:r>
          </w:p>
        </w:tc>
        <w:tc>
          <w:tcPr>
            <w:tcW w:w="1295" w:type="dxa"/>
            <w:gridSpan w:val="2"/>
            <w:tcBorders>
              <w:bottom w:val="single" w:sz="8" w:space="0" w:color="auto"/>
            </w:tcBorders>
            <w:vAlign w:val="bottom"/>
          </w:tcPr>
          <w:p w:rsidR="00B86BA2" w:rsidRDefault="00B86BA2" w:rsidP="00654E14">
            <w:pPr>
              <w:jc w:val="right"/>
              <w:rPr>
                <w:sz w:val="20"/>
                <w:szCs w:val="20"/>
              </w:rPr>
            </w:pPr>
            <w:r>
              <w:rPr>
                <w:rFonts w:eastAsia="Times New Roman"/>
                <w:sz w:val="20"/>
                <w:szCs w:val="20"/>
              </w:rPr>
              <w:t>2 072</w:t>
            </w:r>
          </w:p>
        </w:tc>
        <w:tc>
          <w:tcPr>
            <w:tcW w:w="147" w:type="dxa"/>
            <w:tcBorders>
              <w:bottom w:val="single" w:sz="8" w:space="0" w:color="auto"/>
              <w:right w:val="single" w:sz="8" w:space="0" w:color="auto"/>
            </w:tcBorders>
            <w:vAlign w:val="bottom"/>
          </w:tcPr>
          <w:p w:rsidR="00B86BA2" w:rsidRDefault="00B86BA2" w:rsidP="00654E14"/>
        </w:tc>
        <w:tc>
          <w:tcPr>
            <w:tcW w:w="1418"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2022</w:t>
            </w:r>
          </w:p>
        </w:tc>
        <w:tc>
          <w:tcPr>
            <w:tcW w:w="37" w:type="dxa"/>
            <w:vAlign w:val="bottom"/>
          </w:tcPr>
          <w:p w:rsidR="00B86BA2" w:rsidRDefault="00B86BA2" w:rsidP="00654E14">
            <w:pPr>
              <w:rPr>
                <w:sz w:val="1"/>
                <w:szCs w:val="1"/>
              </w:rPr>
            </w:pPr>
          </w:p>
        </w:tc>
      </w:tr>
      <w:tr w:rsidR="00B86BA2" w:rsidTr="00B956CD">
        <w:trPr>
          <w:trHeight w:val="255"/>
          <w:jc w:val="center"/>
        </w:trPr>
        <w:tc>
          <w:tcPr>
            <w:tcW w:w="3673" w:type="dxa"/>
            <w:gridSpan w:val="3"/>
            <w:tcBorders>
              <w:left w:val="single" w:sz="8" w:space="0" w:color="auto"/>
              <w:bottom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Autres terres boisées</w:t>
            </w:r>
          </w:p>
        </w:tc>
        <w:tc>
          <w:tcPr>
            <w:tcW w:w="1433"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293</w:t>
            </w:r>
          </w:p>
        </w:tc>
        <w:tc>
          <w:tcPr>
            <w:tcW w:w="1417"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241</w:t>
            </w:r>
          </w:p>
        </w:tc>
        <w:tc>
          <w:tcPr>
            <w:tcW w:w="144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236</w:t>
            </w:r>
          </w:p>
        </w:tc>
        <w:tc>
          <w:tcPr>
            <w:tcW w:w="1418"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230</w:t>
            </w:r>
          </w:p>
        </w:tc>
        <w:tc>
          <w:tcPr>
            <w:tcW w:w="37" w:type="dxa"/>
            <w:vAlign w:val="bottom"/>
          </w:tcPr>
          <w:p w:rsidR="00B86BA2" w:rsidRDefault="00B86BA2" w:rsidP="00654E14">
            <w:pPr>
              <w:rPr>
                <w:sz w:val="1"/>
                <w:szCs w:val="1"/>
              </w:rPr>
            </w:pPr>
          </w:p>
        </w:tc>
      </w:tr>
      <w:tr w:rsidR="00B86BA2" w:rsidTr="00B956CD">
        <w:trPr>
          <w:trHeight w:val="255"/>
          <w:jc w:val="center"/>
        </w:trPr>
        <w:tc>
          <w:tcPr>
            <w:tcW w:w="3673" w:type="dxa"/>
            <w:gridSpan w:val="3"/>
            <w:tcBorders>
              <w:left w:val="single" w:sz="8" w:space="0" w:color="auto"/>
              <w:bottom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Autres terres</w:t>
            </w:r>
          </w:p>
        </w:tc>
        <w:tc>
          <w:tcPr>
            <w:tcW w:w="1433"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303</w:t>
            </w:r>
          </w:p>
        </w:tc>
        <w:tc>
          <w:tcPr>
            <w:tcW w:w="1417"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451</w:t>
            </w:r>
          </w:p>
        </w:tc>
        <w:tc>
          <w:tcPr>
            <w:tcW w:w="144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504</w:t>
            </w:r>
          </w:p>
        </w:tc>
        <w:tc>
          <w:tcPr>
            <w:tcW w:w="1418"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560</w:t>
            </w:r>
          </w:p>
        </w:tc>
        <w:tc>
          <w:tcPr>
            <w:tcW w:w="37" w:type="dxa"/>
            <w:vAlign w:val="bottom"/>
          </w:tcPr>
          <w:p w:rsidR="00B86BA2" w:rsidRDefault="00B86BA2" w:rsidP="00654E14">
            <w:pPr>
              <w:rPr>
                <w:sz w:val="1"/>
                <w:szCs w:val="1"/>
              </w:rPr>
            </w:pPr>
          </w:p>
        </w:tc>
      </w:tr>
      <w:tr w:rsidR="00B86BA2" w:rsidTr="00B956CD">
        <w:trPr>
          <w:trHeight w:val="216"/>
          <w:jc w:val="center"/>
        </w:trPr>
        <w:tc>
          <w:tcPr>
            <w:tcW w:w="146" w:type="dxa"/>
            <w:tcBorders>
              <w:left w:val="single" w:sz="8" w:space="0" w:color="auto"/>
            </w:tcBorders>
            <w:vAlign w:val="bottom"/>
          </w:tcPr>
          <w:p w:rsidR="00B86BA2" w:rsidRDefault="00B86BA2" w:rsidP="00654E14">
            <w:pPr>
              <w:rPr>
                <w:sz w:val="18"/>
                <w:szCs w:val="18"/>
              </w:rPr>
            </w:pPr>
          </w:p>
        </w:tc>
        <w:tc>
          <w:tcPr>
            <w:tcW w:w="3527" w:type="dxa"/>
            <w:gridSpan w:val="2"/>
            <w:tcBorders>
              <w:right w:val="single" w:sz="8" w:space="0" w:color="auto"/>
            </w:tcBorders>
            <w:vAlign w:val="bottom"/>
          </w:tcPr>
          <w:p w:rsidR="00B86BA2" w:rsidRDefault="00B86BA2" w:rsidP="00654E14">
            <w:pPr>
              <w:spacing w:line="216" w:lineRule="exact"/>
              <w:ind w:left="140"/>
              <w:rPr>
                <w:sz w:val="20"/>
                <w:szCs w:val="20"/>
              </w:rPr>
            </w:pPr>
            <w:r>
              <w:rPr>
                <w:rFonts w:eastAsia="Times New Roman"/>
                <w:sz w:val="20"/>
                <w:szCs w:val="20"/>
              </w:rPr>
              <w:t>...dont dotées de couvert</w:t>
            </w:r>
          </w:p>
        </w:tc>
        <w:tc>
          <w:tcPr>
            <w:tcW w:w="113" w:type="dxa"/>
            <w:vAlign w:val="bottom"/>
          </w:tcPr>
          <w:p w:rsidR="00B86BA2" w:rsidRDefault="00B86BA2" w:rsidP="00654E14">
            <w:pPr>
              <w:rPr>
                <w:sz w:val="18"/>
                <w:szCs w:val="18"/>
              </w:rPr>
            </w:pPr>
          </w:p>
        </w:tc>
        <w:tc>
          <w:tcPr>
            <w:tcW w:w="1173" w:type="dxa"/>
            <w:vAlign w:val="bottom"/>
          </w:tcPr>
          <w:p w:rsidR="00B86BA2" w:rsidRDefault="00B86BA2" w:rsidP="00654E14">
            <w:pPr>
              <w:rPr>
                <w:sz w:val="18"/>
                <w:szCs w:val="18"/>
              </w:rPr>
            </w:pPr>
          </w:p>
        </w:tc>
        <w:tc>
          <w:tcPr>
            <w:tcW w:w="147" w:type="dxa"/>
            <w:tcBorders>
              <w:right w:val="single" w:sz="8" w:space="0" w:color="auto"/>
            </w:tcBorders>
            <w:vAlign w:val="bottom"/>
          </w:tcPr>
          <w:p w:rsidR="00B86BA2" w:rsidRDefault="00B86BA2" w:rsidP="00654E14">
            <w:pPr>
              <w:rPr>
                <w:sz w:val="18"/>
                <w:szCs w:val="18"/>
              </w:rPr>
            </w:pPr>
          </w:p>
        </w:tc>
        <w:tc>
          <w:tcPr>
            <w:tcW w:w="122" w:type="dxa"/>
            <w:vAlign w:val="bottom"/>
          </w:tcPr>
          <w:p w:rsidR="00B86BA2" w:rsidRDefault="00B86BA2" w:rsidP="00654E14">
            <w:pPr>
              <w:rPr>
                <w:sz w:val="18"/>
                <w:szCs w:val="18"/>
              </w:rPr>
            </w:pPr>
          </w:p>
        </w:tc>
        <w:tc>
          <w:tcPr>
            <w:tcW w:w="1148" w:type="dxa"/>
            <w:vAlign w:val="bottom"/>
          </w:tcPr>
          <w:p w:rsidR="00B86BA2" w:rsidRDefault="00B86BA2" w:rsidP="00654E14">
            <w:pPr>
              <w:rPr>
                <w:sz w:val="18"/>
                <w:szCs w:val="18"/>
              </w:rPr>
            </w:pPr>
          </w:p>
        </w:tc>
        <w:tc>
          <w:tcPr>
            <w:tcW w:w="147" w:type="dxa"/>
            <w:tcBorders>
              <w:right w:val="single" w:sz="8" w:space="0" w:color="auto"/>
            </w:tcBorders>
            <w:vAlign w:val="bottom"/>
          </w:tcPr>
          <w:p w:rsidR="00B86BA2" w:rsidRDefault="00B86BA2" w:rsidP="00654E14">
            <w:pPr>
              <w:rPr>
                <w:sz w:val="18"/>
                <w:szCs w:val="18"/>
              </w:rPr>
            </w:pPr>
          </w:p>
        </w:tc>
        <w:tc>
          <w:tcPr>
            <w:tcW w:w="122" w:type="dxa"/>
            <w:vAlign w:val="bottom"/>
          </w:tcPr>
          <w:p w:rsidR="00B86BA2" w:rsidRDefault="00B86BA2" w:rsidP="00654E14">
            <w:pPr>
              <w:rPr>
                <w:sz w:val="18"/>
                <w:szCs w:val="18"/>
              </w:rPr>
            </w:pPr>
          </w:p>
        </w:tc>
        <w:tc>
          <w:tcPr>
            <w:tcW w:w="1173" w:type="dxa"/>
            <w:vAlign w:val="bottom"/>
          </w:tcPr>
          <w:p w:rsidR="00B86BA2" w:rsidRDefault="00B86BA2" w:rsidP="00654E14">
            <w:pPr>
              <w:rPr>
                <w:sz w:val="18"/>
                <w:szCs w:val="18"/>
              </w:rPr>
            </w:pPr>
          </w:p>
        </w:tc>
        <w:tc>
          <w:tcPr>
            <w:tcW w:w="147" w:type="dxa"/>
            <w:tcBorders>
              <w:right w:val="single" w:sz="8" w:space="0" w:color="auto"/>
            </w:tcBorders>
            <w:vAlign w:val="bottom"/>
          </w:tcPr>
          <w:p w:rsidR="00B86BA2" w:rsidRDefault="00B86BA2" w:rsidP="00654E14">
            <w:pPr>
              <w:rPr>
                <w:sz w:val="18"/>
                <w:szCs w:val="18"/>
              </w:rPr>
            </w:pPr>
          </w:p>
        </w:tc>
        <w:tc>
          <w:tcPr>
            <w:tcW w:w="98" w:type="dxa"/>
            <w:vAlign w:val="bottom"/>
          </w:tcPr>
          <w:p w:rsidR="00B86BA2" w:rsidRDefault="00B86BA2" w:rsidP="00654E14">
            <w:pPr>
              <w:rPr>
                <w:sz w:val="18"/>
                <w:szCs w:val="18"/>
              </w:rPr>
            </w:pPr>
          </w:p>
        </w:tc>
        <w:tc>
          <w:tcPr>
            <w:tcW w:w="1320" w:type="dxa"/>
            <w:gridSpan w:val="2"/>
            <w:vMerge w:val="restart"/>
            <w:tcBorders>
              <w:right w:val="single" w:sz="8" w:space="0" w:color="auto"/>
            </w:tcBorders>
            <w:vAlign w:val="bottom"/>
          </w:tcPr>
          <w:p w:rsidR="00B86BA2" w:rsidRDefault="00B86BA2" w:rsidP="00654E14">
            <w:pPr>
              <w:ind w:right="120"/>
              <w:jc w:val="right"/>
              <w:rPr>
                <w:sz w:val="20"/>
                <w:szCs w:val="20"/>
              </w:rPr>
            </w:pPr>
            <w:r>
              <w:rPr>
                <w:rFonts w:eastAsia="Times New Roman"/>
                <w:sz w:val="20"/>
                <w:szCs w:val="20"/>
              </w:rPr>
              <w:t>ND</w:t>
            </w:r>
          </w:p>
        </w:tc>
        <w:tc>
          <w:tcPr>
            <w:tcW w:w="37" w:type="dxa"/>
            <w:vAlign w:val="bottom"/>
          </w:tcPr>
          <w:p w:rsidR="00B86BA2" w:rsidRDefault="00B86BA2" w:rsidP="00654E14">
            <w:pPr>
              <w:rPr>
                <w:sz w:val="1"/>
                <w:szCs w:val="1"/>
              </w:rPr>
            </w:pPr>
          </w:p>
        </w:tc>
      </w:tr>
      <w:tr w:rsidR="00B86BA2" w:rsidTr="00B956CD">
        <w:trPr>
          <w:trHeight w:val="115"/>
          <w:jc w:val="center"/>
        </w:trPr>
        <w:tc>
          <w:tcPr>
            <w:tcW w:w="3673" w:type="dxa"/>
            <w:gridSpan w:val="3"/>
            <w:vMerge w:val="restart"/>
            <w:tcBorders>
              <w:left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d’arbres</w:t>
            </w:r>
          </w:p>
        </w:tc>
        <w:tc>
          <w:tcPr>
            <w:tcW w:w="113" w:type="dxa"/>
            <w:vAlign w:val="bottom"/>
          </w:tcPr>
          <w:p w:rsidR="00B86BA2" w:rsidRDefault="00B86BA2" w:rsidP="00654E14">
            <w:pPr>
              <w:rPr>
                <w:sz w:val="10"/>
                <w:szCs w:val="10"/>
              </w:rPr>
            </w:pPr>
          </w:p>
        </w:tc>
        <w:tc>
          <w:tcPr>
            <w:tcW w:w="1320" w:type="dxa"/>
            <w:gridSpan w:val="2"/>
            <w:vMerge w:val="restart"/>
            <w:tcBorders>
              <w:right w:val="single" w:sz="8" w:space="0" w:color="auto"/>
            </w:tcBorders>
            <w:vAlign w:val="bottom"/>
          </w:tcPr>
          <w:p w:rsidR="00B86BA2" w:rsidRDefault="00B86BA2" w:rsidP="00654E14">
            <w:pPr>
              <w:ind w:left="620"/>
              <w:rPr>
                <w:sz w:val="20"/>
                <w:szCs w:val="20"/>
              </w:rPr>
            </w:pPr>
            <w:r>
              <w:rPr>
                <w:rFonts w:eastAsia="Times New Roman"/>
                <w:sz w:val="20"/>
                <w:szCs w:val="20"/>
              </w:rPr>
              <w:t>ND</w:t>
            </w:r>
          </w:p>
        </w:tc>
        <w:tc>
          <w:tcPr>
            <w:tcW w:w="122" w:type="dxa"/>
            <w:vAlign w:val="bottom"/>
          </w:tcPr>
          <w:p w:rsidR="00B86BA2" w:rsidRDefault="00B86BA2" w:rsidP="00654E14">
            <w:pPr>
              <w:rPr>
                <w:sz w:val="10"/>
                <w:szCs w:val="10"/>
              </w:rPr>
            </w:pPr>
          </w:p>
        </w:tc>
        <w:tc>
          <w:tcPr>
            <w:tcW w:w="1295" w:type="dxa"/>
            <w:gridSpan w:val="2"/>
            <w:vMerge w:val="restart"/>
            <w:tcBorders>
              <w:right w:val="single" w:sz="8" w:space="0" w:color="auto"/>
            </w:tcBorders>
            <w:vAlign w:val="bottom"/>
          </w:tcPr>
          <w:p w:rsidR="00B86BA2" w:rsidRDefault="00B86BA2" w:rsidP="00654E14">
            <w:pPr>
              <w:ind w:right="160"/>
              <w:jc w:val="right"/>
              <w:rPr>
                <w:sz w:val="20"/>
                <w:szCs w:val="20"/>
              </w:rPr>
            </w:pPr>
            <w:r>
              <w:rPr>
                <w:rFonts w:eastAsia="Times New Roman"/>
                <w:sz w:val="20"/>
                <w:szCs w:val="20"/>
              </w:rPr>
              <w:t>ND</w:t>
            </w:r>
          </w:p>
        </w:tc>
        <w:tc>
          <w:tcPr>
            <w:tcW w:w="122" w:type="dxa"/>
            <w:vAlign w:val="bottom"/>
          </w:tcPr>
          <w:p w:rsidR="00B86BA2" w:rsidRDefault="00B86BA2" w:rsidP="00654E14">
            <w:pPr>
              <w:rPr>
                <w:sz w:val="10"/>
                <w:szCs w:val="10"/>
              </w:rPr>
            </w:pPr>
          </w:p>
        </w:tc>
        <w:tc>
          <w:tcPr>
            <w:tcW w:w="1320" w:type="dxa"/>
            <w:gridSpan w:val="2"/>
            <w:vMerge w:val="restart"/>
            <w:tcBorders>
              <w:right w:val="single" w:sz="8" w:space="0" w:color="auto"/>
            </w:tcBorders>
            <w:vAlign w:val="bottom"/>
          </w:tcPr>
          <w:p w:rsidR="00B86BA2" w:rsidRDefault="00B86BA2" w:rsidP="00654E14">
            <w:pPr>
              <w:ind w:left="620"/>
              <w:rPr>
                <w:sz w:val="20"/>
                <w:szCs w:val="20"/>
              </w:rPr>
            </w:pPr>
            <w:r>
              <w:rPr>
                <w:rFonts w:eastAsia="Times New Roman"/>
                <w:sz w:val="20"/>
                <w:szCs w:val="20"/>
              </w:rPr>
              <w:t>ND</w:t>
            </w:r>
          </w:p>
        </w:tc>
        <w:tc>
          <w:tcPr>
            <w:tcW w:w="98" w:type="dxa"/>
            <w:vAlign w:val="bottom"/>
          </w:tcPr>
          <w:p w:rsidR="00B86BA2" w:rsidRDefault="00B86BA2" w:rsidP="00654E14">
            <w:pPr>
              <w:rPr>
                <w:sz w:val="10"/>
                <w:szCs w:val="10"/>
              </w:rPr>
            </w:pPr>
          </w:p>
        </w:tc>
        <w:tc>
          <w:tcPr>
            <w:tcW w:w="1320" w:type="dxa"/>
            <w:gridSpan w:val="2"/>
            <w:vMerge/>
            <w:tcBorders>
              <w:right w:val="single" w:sz="8" w:space="0" w:color="auto"/>
            </w:tcBorders>
            <w:vAlign w:val="bottom"/>
          </w:tcPr>
          <w:p w:rsidR="00B86BA2" w:rsidRDefault="00B86BA2" w:rsidP="00654E14">
            <w:pPr>
              <w:rPr>
                <w:sz w:val="10"/>
                <w:szCs w:val="10"/>
              </w:rPr>
            </w:pPr>
          </w:p>
        </w:tc>
        <w:tc>
          <w:tcPr>
            <w:tcW w:w="37" w:type="dxa"/>
            <w:vAlign w:val="bottom"/>
          </w:tcPr>
          <w:p w:rsidR="00B86BA2" w:rsidRDefault="00B86BA2" w:rsidP="00654E14">
            <w:pPr>
              <w:rPr>
                <w:sz w:val="1"/>
                <w:szCs w:val="1"/>
              </w:rPr>
            </w:pPr>
          </w:p>
        </w:tc>
      </w:tr>
      <w:tr w:rsidR="00B86BA2" w:rsidTr="00B956CD">
        <w:trPr>
          <w:trHeight w:val="118"/>
          <w:jc w:val="center"/>
        </w:trPr>
        <w:tc>
          <w:tcPr>
            <w:tcW w:w="3673" w:type="dxa"/>
            <w:gridSpan w:val="3"/>
            <w:vMerge/>
            <w:tcBorders>
              <w:left w:val="single" w:sz="8" w:space="0" w:color="auto"/>
              <w:bottom w:val="single" w:sz="8" w:space="0" w:color="auto"/>
              <w:right w:val="single" w:sz="8" w:space="0" w:color="auto"/>
            </w:tcBorders>
            <w:vAlign w:val="bottom"/>
          </w:tcPr>
          <w:p w:rsidR="00B86BA2" w:rsidRDefault="00B86BA2" w:rsidP="00654E14">
            <w:pPr>
              <w:rPr>
                <w:sz w:val="10"/>
                <w:szCs w:val="10"/>
              </w:rPr>
            </w:pPr>
          </w:p>
        </w:tc>
        <w:tc>
          <w:tcPr>
            <w:tcW w:w="113" w:type="dxa"/>
            <w:tcBorders>
              <w:bottom w:val="single" w:sz="8" w:space="0" w:color="auto"/>
            </w:tcBorders>
            <w:vAlign w:val="bottom"/>
          </w:tcPr>
          <w:p w:rsidR="00B86BA2" w:rsidRDefault="00B86BA2" w:rsidP="00654E14">
            <w:pPr>
              <w:rPr>
                <w:sz w:val="10"/>
                <w:szCs w:val="10"/>
              </w:rPr>
            </w:pPr>
          </w:p>
        </w:tc>
        <w:tc>
          <w:tcPr>
            <w:tcW w:w="1320" w:type="dxa"/>
            <w:gridSpan w:val="2"/>
            <w:vMerge/>
            <w:tcBorders>
              <w:bottom w:val="single" w:sz="8" w:space="0" w:color="auto"/>
              <w:right w:val="single" w:sz="8" w:space="0" w:color="auto"/>
            </w:tcBorders>
            <w:vAlign w:val="bottom"/>
          </w:tcPr>
          <w:p w:rsidR="00B86BA2" w:rsidRDefault="00B86BA2" w:rsidP="00654E14">
            <w:pPr>
              <w:rPr>
                <w:sz w:val="10"/>
                <w:szCs w:val="10"/>
              </w:rPr>
            </w:pPr>
          </w:p>
        </w:tc>
        <w:tc>
          <w:tcPr>
            <w:tcW w:w="122" w:type="dxa"/>
            <w:tcBorders>
              <w:bottom w:val="single" w:sz="8" w:space="0" w:color="auto"/>
            </w:tcBorders>
            <w:vAlign w:val="bottom"/>
          </w:tcPr>
          <w:p w:rsidR="00B86BA2" w:rsidRDefault="00B86BA2" w:rsidP="00654E14">
            <w:pPr>
              <w:rPr>
                <w:sz w:val="10"/>
                <w:szCs w:val="10"/>
              </w:rPr>
            </w:pPr>
          </w:p>
        </w:tc>
        <w:tc>
          <w:tcPr>
            <w:tcW w:w="1295" w:type="dxa"/>
            <w:gridSpan w:val="2"/>
            <w:vMerge/>
            <w:tcBorders>
              <w:bottom w:val="single" w:sz="8" w:space="0" w:color="auto"/>
              <w:right w:val="single" w:sz="8" w:space="0" w:color="auto"/>
            </w:tcBorders>
            <w:vAlign w:val="bottom"/>
          </w:tcPr>
          <w:p w:rsidR="00B86BA2" w:rsidRDefault="00B86BA2" w:rsidP="00654E14">
            <w:pPr>
              <w:rPr>
                <w:sz w:val="10"/>
                <w:szCs w:val="10"/>
              </w:rPr>
            </w:pPr>
          </w:p>
        </w:tc>
        <w:tc>
          <w:tcPr>
            <w:tcW w:w="122" w:type="dxa"/>
            <w:tcBorders>
              <w:bottom w:val="single" w:sz="8" w:space="0" w:color="auto"/>
            </w:tcBorders>
            <w:vAlign w:val="bottom"/>
          </w:tcPr>
          <w:p w:rsidR="00B86BA2" w:rsidRDefault="00B86BA2" w:rsidP="00654E14">
            <w:pPr>
              <w:rPr>
                <w:sz w:val="10"/>
                <w:szCs w:val="10"/>
              </w:rPr>
            </w:pPr>
          </w:p>
        </w:tc>
        <w:tc>
          <w:tcPr>
            <w:tcW w:w="1320" w:type="dxa"/>
            <w:gridSpan w:val="2"/>
            <w:vMerge/>
            <w:tcBorders>
              <w:bottom w:val="single" w:sz="8" w:space="0" w:color="auto"/>
              <w:right w:val="single" w:sz="8" w:space="0" w:color="auto"/>
            </w:tcBorders>
            <w:vAlign w:val="bottom"/>
          </w:tcPr>
          <w:p w:rsidR="00B86BA2" w:rsidRDefault="00B86BA2" w:rsidP="00654E14">
            <w:pPr>
              <w:rPr>
                <w:sz w:val="10"/>
                <w:szCs w:val="10"/>
              </w:rPr>
            </w:pPr>
          </w:p>
        </w:tc>
        <w:tc>
          <w:tcPr>
            <w:tcW w:w="98" w:type="dxa"/>
            <w:tcBorders>
              <w:bottom w:val="single" w:sz="8" w:space="0" w:color="auto"/>
            </w:tcBorders>
            <w:vAlign w:val="bottom"/>
          </w:tcPr>
          <w:p w:rsidR="00B86BA2" w:rsidRDefault="00B86BA2" w:rsidP="00654E14">
            <w:pPr>
              <w:rPr>
                <w:sz w:val="10"/>
                <w:szCs w:val="10"/>
              </w:rPr>
            </w:pPr>
          </w:p>
        </w:tc>
        <w:tc>
          <w:tcPr>
            <w:tcW w:w="1173" w:type="dxa"/>
            <w:tcBorders>
              <w:bottom w:val="single" w:sz="8" w:space="0" w:color="auto"/>
            </w:tcBorders>
            <w:vAlign w:val="bottom"/>
          </w:tcPr>
          <w:p w:rsidR="00B86BA2" w:rsidRDefault="00B86BA2" w:rsidP="00654E14">
            <w:pPr>
              <w:rPr>
                <w:sz w:val="10"/>
                <w:szCs w:val="10"/>
              </w:rPr>
            </w:pPr>
          </w:p>
        </w:tc>
        <w:tc>
          <w:tcPr>
            <w:tcW w:w="147" w:type="dxa"/>
            <w:tcBorders>
              <w:bottom w:val="single" w:sz="8" w:space="0" w:color="auto"/>
              <w:right w:val="single" w:sz="8" w:space="0" w:color="auto"/>
            </w:tcBorders>
            <w:vAlign w:val="bottom"/>
          </w:tcPr>
          <w:p w:rsidR="00B86BA2" w:rsidRDefault="00B86BA2" w:rsidP="00654E14">
            <w:pPr>
              <w:rPr>
                <w:sz w:val="10"/>
                <w:szCs w:val="10"/>
              </w:rPr>
            </w:pPr>
          </w:p>
        </w:tc>
        <w:tc>
          <w:tcPr>
            <w:tcW w:w="37" w:type="dxa"/>
            <w:vAlign w:val="bottom"/>
          </w:tcPr>
          <w:p w:rsidR="00B86BA2" w:rsidRDefault="00B86BA2" w:rsidP="00654E14">
            <w:pPr>
              <w:rPr>
                <w:sz w:val="1"/>
                <w:szCs w:val="1"/>
              </w:rPr>
            </w:pPr>
          </w:p>
        </w:tc>
      </w:tr>
      <w:tr w:rsidR="00B86BA2" w:rsidTr="00B956CD">
        <w:trPr>
          <w:trHeight w:val="255"/>
          <w:jc w:val="center"/>
        </w:trPr>
        <w:tc>
          <w:tcPr>
            <w:tcW w:w="3673" w:type="dxa"/>
            <w:gridSpan w:val="3"/>
            <w:tcBorders>
              <w:left w:val="single" w:sz="8" w:space="0" w:color="auto"/>
              <w:bottom w:val="single" w:sz="8" w:space="0" w:color="auto"/>
              <w:right w:val="single" w:sz="8" w:space="0" w:color="auto"/>
            </w:tcBorders>
            <w:vAlign w:val="bottom"/>
          </w:tcPr>
          <w:p w:rsidR="00B86BA2" w:rsidRDefault="00B86BA2" w:rsidP="00654E14">
            <w:pPr>
              <w:ind w:left="120"/>
              <w:rPr>
                <w:sz w:val="20"/>
                <w:szCs w:val="20"/>
              </w:rPr>
            </w:pPr>
            <w:r>
              <w:rPr>
                <w:rFonts w:eastAsia="Times New Roman"/>
                <w:sz w:val="20"/>
                <w:szCs w:val="20"/>
              </w:rPr>
              <w:t>Eaux intérieures</w:t>
            </w:r>
          </w:p>
        </w:tc>
        <w:tc>
          <w:tcPr>
            <w:tcW w:w="1433"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800</w:t>
            </w:r>
          </w:p>
        </w:tc>
        <w:tc>
          <w:tcPr>
            <w:tcW w:w="1417"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800</w:t>
            </w:r>
          </w:p>
        </w:tc>
        <w:tc>
          <w:tcPr>
            <w:tcW w:w="1442"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800</w:t>
            </w:r>
          </w:p>
        </w:tc>
        <w:tc>
          <w:tcPr>
            <w:tcW w:w="1418" w:type="dxa"/>
            <w:gridSpan w:val="3"/>
            <w:tcBorders>
              <w:bottom w:val="single" w:sz="8" w:space="0" w:color="auto"/>
              <w:right w:val="single" w:sz="8" w:space="0" w:color="auto"/>
            </w:tcBorders>
            <w:vAlign w:val="bottom"/>
          </w:tcPr>
          <w:p w:rsidR="00B86BA2" w:rsidRDefault="00B86BA2" w:rsidP="00654E14">
            <w:pPr>
              <w:ind w:right="120"/>
              <w:jc w:val="right"/>
              <w:rPr>
                <w:sz w:val="20"/>
                <w:szCs w:val="20"/>
              </w:rPr>
            </w:pPr>
            <w:r>
              <w:rPr>
                <w:rFonts w:eastAsia="Times New Roman"/>
                <w:sz w:val="20"/>
                <w:szCs w:val="20"/>
              </w:rPr>
              <w:t>800</w:t>
            </w:r>
          </w:p>
        </w:tc>
        <w:tc>
          <w:tcPr>
            <w:tcW w:w="37" w:type="dxa"/>
            <w:vAlign w:val="bottom"/>
          </w:tcPr>
          <w:p w:rsidR="00B86BA2" w:rsidRDefault="00B86BA2" w:rsidP="00654E14">
            <w:pPr>
              <w:rPr>
                <w:sz w:val="1"/>
                <w:szCs w:val="1"/>
              </w:rPr>
            </w:pPr>
          </w:p>
        </w:tc>
      </w:tr>
      <w:tr w:rsidR="00B86BA2" w:rsidTr="0007071D">
        <w:trPr>
          <w:trHeight w:val="256"/>
          <w:jc w:val="center"/>
        </w:trPr>
        <w:tc>
          <w:tcPr>
            <w:tcW w:w="3673" w:type="dxa"/>
            <w:gridSpan w:val="3"/>
            <w:tcBorders>
              <w:left w:val="single" w:sz="8" w:space="0" w:color="auto"/>
              <w:right w:val="single" w:sz="8" w:space="0" w:color="auto"/>
            </w:tcBorders>
            <w:vAlign w:val="bottom"/>
          </w:tcPr>
          <w:p w:rsidR="00B86BA2" w:rsidRDefault="00B86BA2" w:rsidP="00654E14">
            <w:pPr>
              <w:ind w:left="120"/>
              <w:rPr>
                <w:sz w:val="20"/>
                <w:szCs w:val="20"/>
              </w:rPr>
            </w:pPr>
            <w:r>
              <w:rPr>
                <w:rFonts w:eastAsia="Times New Roman"/>
                <w:b/>
                <w:bCs/>
                <w:sz w:val="20"/>
                <w:szCs w:val="20"/>
              </w:rPr>
              <w:t>TOTAL</w:t>
            </w:r>
          </w:p>
        </w:tc>
        <w:tc>
          <w:tcPr>
            <w:tcW w:w="1433" w:type="dxa"/>
            <w:gridSpan w:val="3"/>
            <w:tcBorders>
              <w:right w:val="single" w:sz="8" w:space="0" w:color="auto"/>
            </w:tcBorders>
            <w:vAlign w:val="bottom"/>
          </w:tcPr>
          <w:p w:rsidR="00B86BA2" w:rsidRDefault="00B86BA2" w:rsidP="00654E14">
            <w:pPr>
              <w:ind w:right="120"/>
              <w:jc w:val="right"/>
              <w:rPr>
                <w:sz w:val="20"/>
                <w:szCs w:val="20"/>
              </w:rPr>
            </w:pPr>
            <w:r>
              <w:rPr>
                <w:rFonts w:eastAsia="Times New Roman"/>
                <w:b/>
                <w:bCs/>
                <w:sz w:val="20"/>
                <w:szCs w:val="20"/>
              </w:rPr>
              <w:t>3 612</w:t>
            </w:r>
          </w:p>
        </w:tc>
        <w:tc>
          <w:tcPr>
            <w:tcW w:w="1417" w:type="dxa"/>
            <w:gridSpan w:val="3"/>
            <w:tcBorders>
              <w:right w:val="single" w:sz="8" w:space="0" w:color="auto"/>
            </w:tcBorders>
            <w:vAlign w:val="bottom"/>
          </w:tcPr>
          <w:p w:rsidR="00B86BA2" w:rsidRDefault="00B86BA2" w:rsidP="00654E14">
            <w:pPr>
              <w:ind w:right="120"/>
              <w:jc w:val="right"/>
              <w:rPr>
                <w:sz w:val="20"/>
                <w:szCs w:val="20"/>
              </w:rPr>
            </w:pPr>
            <w:r>
              <w:rPr>
                <w:rFonts w:eastAsia="Times New Roman"/>
                <w:b/>
                <w:bCs/>
                <w:sz w:val="20"/>
                <w:szCs w:val="20"/>
              </w:rPr>
              <w:t>3 612</w:t>
            </w:r>
          </w:p>
        </w:tc>
        <w:tc>
          <w:tcPr>
            <w:tcW w:w="1295" w:type="dxa"/>
            <w:gridSpan w:val="2"/>
            <w:vAlign w:val="bottom"/>
          </w:tcPr>
          <w:p w:rsidR="00B86BA2" w:rsidRDefault="00B86BA2" w:rsidP="00654E14">
            <w:pPr>
              <w:jc w:val="right"/>
              <w:rPr>
                <w:sz w:val="20"/>
                <w:szCs w:val="20"/>
              </w:rPr>
            </w:pPr>
            <w:r>
              <w:rPr>
                <w:rFonts w:eastAsia="Times New Roman"/>
                <w:b/>
                <w:bCs/>
                <w:sz w:val="20"/>
                <w:szCs w:val="20"/>
              </w:rPr>
              <w:t>3 612</w:t>
            </w:r>
          </w:p>
        </w:tc>
        <w:tc>
          <w:tcPr>
            <w:tcW w:w="147" w:type="dxa"/>
            <w:tcBorders>
              <w:right w:val="single" w:sz="8" w:space="0" w:color="auto"/>
            </w:tcBorders>
            <w:vAlign w:val="bottom"/>
          </w:tcPr>
          <w:p w:rsidR="00B86BA2" w:rsidRDefault="00B86BA2" w:rsidP="00654E14"/>
        </w:tc>
        <w:tc>
          <w:tcPr>
            <w:tcW w:w="1418" w:type="dxa"/>
            <w:gridSpan w:val="3"/>
            <w:tcBorders>
              <w:right w:val="single" w:sz="8" w:space="0" w:color="auto"/>
            </w:tcBorders>
            <w:vAlign w:val="bottom"/>
          </w:tcPr>
          <w:p w:rsidR="00B86BA2" w:rsidRDefault="00B86BA2" w:rsidP="00654E14">
            <w:pPr>
              <w:ind w:right="120"/>
              <w:jc w:val="right"/>
              <w:rPr>
                <w:sz w:val="20"/>
                <w:szCs w:val="20"/>
              </w:rPr>
            </w:pPr>
            <w:r>
              <w:rPr>
                <w:rFonts w:eastAsia="Times New Roman"/>
                <w:b/>
                <w:bCs/>
                <w:sz w:val="20"/>
                <w:szCs w:val="20"/>
              </w:rPr>
              <w:t>3 612</w:t>
            </w:r>
          </w:p>
        </w:tc>
        <w:tc>
          <w:tcPr>
            <w:tcW w:w="37" w:type="dxa"/>
            <w:vAlign w:val="bottom"/>
          </w:tcPr>
          <w:p w:rsidR="00B86BA2" w:rsidRDefault="00B86BA2" w:rsidP="00654E14">
            <w:pPr>
              <w:rPr>
                <w:sz w:val="1"/>
                <w:szCs w:val="1"/>
              </w:rPr>
            </w:pPr>
          </w:p>
        </w:tc>
      </w:tr>
      <w:tr w:rsidR="0007071D" w:rsidTr="0007071D">
        <w:trPr>
          <w:trHeight w:val="256"/>
          <w:jc w:val="center"/>
        </w:trPr>
        <w:tc>
          <w:tcPr>
            <w:tcW w:w="3673" w:type="dxa"/>
            <w:gridSpan w:val="3"/>
            <w:vAlign w:val="bottom"/>
          </w:tcPr>
          <w:p w:rsidR="0007071D" w:rsidRDefault="0007071D" w:rsidP="00654E14">
            <w:pPr>
              <w:ind w:left="120"/>
              <w:rPr>
                <w:rFonts w:eastAsia="Times New Roman"/>
                <w:b/>
                <w:bCs/>
                <w:sz w:val="20"/>
                <w:szCs w:val="20"/>
              </w:rPr>
            </w:pPr>
          </w:p>
          <w:p w:rsidR="0007071D" w:rsidRDefault="0007071D" w:rsidP="00654E14">
            <w:pPr>
              <w:ind w:left="120"/>
              <w:rPr>
                <w:rFonts w:eastAsia="Times New Roman"/>
                <w:b/>
                <w:bCs/>
                <w:sz w:val="20"/>
                <w:szCs w:val="20"/>
              </w:rPr>
            </w:pPr>
          </w:p>
          <w:p w:rsidR="0007071D" w:rsidRDefault="0007071D" w:rsidP="00654E14">
            <w:pPr>
              <w:ind w:left="120"/>
              <w:rPr>
                <w:rFonts w:eastAsia="Times New Roman"/>
                <w:b/>
                <w:bCs/>
                <w:sz w:val="20"/>
                <w:szCs w:val="20"/>
              </w:rPr>
            </w:pPr>
          </w:p>
          <w:p w:rsidR="0007071D" w:rsidRDefault="0007071D" w:rsidP="00654E14">
            <w:pPr>
              <w:ind w:left="120"/>
              <w:rPr>
                <w:rFonts w:eastAsia="Times New Roman"/>
                <w:b/>
                <w:bCs/>
                <w:sz w:val="20"/>
                <w:szCs w:val="20"/>
              </w:rPr>
            </w:pPr>
          </w:p>
        </w:tc>
        <w:tc>
          <w:tcPr>
            <w:tcW w:w="1433" w:type="dxa"/>
            <w:gridSpan w:val="3"/>
            <w:vAlign w:val="bottom"/>
          </w:tcPr>
          <w:p w:rsidR="0007071D" w:rsidRDefault="0007071D" w:rsidP="00654E14">
            <w:pPr>
              <w:ind w:right="120"/>
              <w:jc w:val="right"/>
              <w:rPr>
                <w:rFonts w:eastAsia="Times New Roman"/>
                <w:b/>
                <w:bCs/>
                <w:sz w:val="20"/>
                <w:szCs w:val="20"/>
              </w:rPr>
            </w:pPr>
          </w:p>
        </w:tc>
        <w:tc>
          <w:tcPr>
            <w:tcW w:w="1417" w:type="dxa"/>
            <w:gridSpan w:val="3"/>
            <w:vAlign w:val="bottom"/>
          </w:tcPr>
          <w:p w:rsidR="0007071D" w:rsidRDefault="0007071D" w:rsidP="00654E14">
            <w:pPr>
              <w:ind w:right="120"/>
              <w:jc w:val="right"/>
              <w:rPr>
                <w:rFonts w:eastAsia="Times New Roman"/>
                <w:b/>
                <w:bCs/>
                <w:sz w:val="20"/>
                <w:szCs w:val="20"/>
              </w:rPr>
            </w:pPr>
          </w:p>
        </w:tc>
        <w:tc>
          <w:tcPr>
            <w:tcW w:w="1295" w:type="dxa"/>
            <w:gridSpan w:val="2"/>
            <w:vAlign w:val="bottom"/>
          </w:tcPr>
          <w:p w:rsidR="0007071D" w:rsidRDefault="0007071D" w:rsidP="00654E14">
            <w:pPr>
              <w:jc w:val="right"/>
              <w:rPr>
                <w:rFonts w:eastAsia="Times New Roman"/>
                <w:b/>
                <w:bCs/>
                <w:sz w:val="20"/>
                <w:szCs w:val="20"/>
              </w:rPr>
            </w:pPr>
          </w:p>
        </w:tc>
        <w:tc>
          <w:tcPr>
            <w:tcW w:w="147" w:type="dxa"/>
            <w:vAlign w:val="bottom"/>
          </w:tcPr>
          <w:p w:rsidR="0007071D" w:rsidRDefault="0007071D" w:rsidP="00654E14"/>
        </w:tc>
        <w:tc>
          <w:tcPr>
            <w:tcW w:w="1418" w:type="dxa"/>
            <w:gridSpan w:val="3"/>
            <w:vAlign w:val="bottom"/>
          </w:tcPr>
          <w:p w:rsidR="0007071D" w:rsidRDefault="0007071D" w:rsidP="00654E14">
            <w:pPr>
              <w:ind w:right="120"/>
              <w:jc w:val="right"/>
              <w:rPr>
                <w:rFonts w:eastAsia="Times New Roman"/>
                <w:b/>
                <w:bCs/>
                <w:sz w:val="20"/>
                <w:szCs w:val="20"/>
              </w:rPr>
            </w:pPr>
          </w:p>
        </w:tc>
        <w:tc>
          <w:tcPr>
            <w:tcW w:w="37" w:type="dxa"/>
            <w:vAlign w:val="bottom"/>
          </w:tcPr>
          <w:p w:rsidR="0007071D" w:rsidRDefault="0007071D" w:rsidP="00654E14">
            <w:pPr>
              <w:rPr>
                <w:sz w:val="1"/>
                <w:szCs w:val="1"/>
              </w:rPr>
            </w:pPr>
          </w:p>
        </w:tc>
      </w:tr>
    </w:tbl>
    <w:p w:rsidR="0007071D" w:rsidRDefault="0007071D" w:rsidP="003F6CFB">
      <w:pPr>
        <w:tabs>
          <w:tab w:val="left" w:pos="380"/>
        </w:tabs>
        <w:spacing w:line="226" w:lineRule="auto"/>
        <w:ind w:left="-142" w:right="-851"/>
        <w:jc w:val="both"/>
        <w:rPr>
          <w:i/>
          <w:sz w:val="21"/>
          <w:szCs w:val="21"/>
        </w:rPr>
      </w:pPr>
    </w:p>
    <w:p w:rsidR="00F74E2F" w:rsidRDefault="00F74E2F" w:rsidP="003F6CFB">
      <w:pPr>
        <w:tabs>
          <w:tab w:val="left" w:pos="380"/>
        </w:tabs>
        <w:spacing w:line="226" w:lineRule="auto"/>
        <w:ind w:left="-142" w:right="-851"/>
        <w:jc w:val="both"/>
        <w:rPr>
          <w:i/>
          <w:sz w:val="21"/>
          <w:szCs w:val="21"/>
        </w:rPr>
      </w:pPr>
    </w:p>
    <w:p w:rsidR="00F74E2F" w:rsidRDefault="00F74E2F" w:rsidP="003F6CFB">
      <w:pPr>
        <w:tabs>
          <w:tab w:val="left" w:pos="380"/>
        </w:tabs>
        <w:spacing w:line="226" w:lineRule="auto"/>
        <w:ind w:left="-142" w:right="-851"/>
        <w:jc w:val="both"/>
        <w:rPr>
          <w:i/>
          <w:sz w:val="21"/>
          <w:szCs w:val="21"/>
        </w:rPr>
      </w:pPr>
    </w:p>
    <w:p w:rsidR="00F74E2F" w:rsidRDefault="00F74E2F" w:rsidP="003F6CFB">
      <w:pPr>
        <w:tabs>
          <w:tab w:val="left" w:pos="380"/>
        </w:tabs>
        <w:spacing w:line="226" w:lineRule="auto"/>
        <w:ind w:left="-142" w:right="-851"/>
        <w:jc w:val="both"/>
        <w:rPr>
          <w:i/>
          <w:sz w:val="21"/>
          <w:szCs w:val="21"/>
        </w:rPr>
      </w:pPr>
    </w:p>
    <w:p w:rsidR="0007071D" w:rsidRDefault="0007071D" w:rsidP="003F6CFB">
      <w:pPr>
        <w:tabs>
          <w:tab w:val="left" w:pos="380"/>
        </w:tabs>
        <w:spacing w:line="226" w:lineRule="auto"/>
        <w:ind w:left="-142" w:right="-851"/>
        <w:jc w:val="both"/>
        <w:rPr>
          <w:i/>
          <w:sz w:val="21"/>
          <w:szCs w:val="21"/>
        </w:rPr>
      </w:pPr>
    </w:p>
    <w:p w:rsidR="0007071D" w:rsidRDefault="0007071D" w:rsidP="003F6CFB">
      <w:pPr>
        <w:tabs>
          <w:tab w:val="left" w:pos="380"/>
        </w:tabs>
        <w:spacing w:line="226" w:lineRule="auto"/>
        <w:ind w:left="-142" w:right="-851"/>
        <w:jc w:val="both"/>
        <w:rPr>
          <w:i/>
          <w:sz w:val="21"/>
          <w:szCs w:val="21"/>
        </w:rPr>
      </w:pPr>
    </w:p>
    <w:tbl>
      <w:tblPr>
        <w:tblpPr w:leftFromText="141" w:rightFromText="141" w:vertAnchor="text" w:horzAnchor="page" w:tblpX="1462" w:tblpY="66"/>
        <w:tblW w:w="9420" w:type="dxa"/>
        <w:tblLayout w:type="fixed"/>
        <w:tblCellMar>
          <w:left w:w="0" w:type="dxa"/>
          <w:right w:w="0" w:type="dxa"/>
        </w:tblCellMar>
        <w:tblLook w:val="04A0" w:firstRow="1" w:lastRow="0" w:firstColumn="1" w:lastColumn="0" w:noHBand="0" w:noVBand="1"/>
      </w:tblPr>
      <w:tblGrid>
        <w:gridCol w:w="119"/>
        <w:gridCol w:w="859"/>
        <w:gridCol w:w="119"/>
        <w:gridCol w:w="2599"/>
        <w:gridCol w:w="25"/>
        <w:gridCol w:w="2679"/>
        <w:gridCol w:w="20"/>
        <w:gridCol w:w="100"/>
        <w:gridCol w:w="860"/>
        <w:gridCol w:w="100"/>
        <w:gridCol w:w="800"/>
        <w:gridCol w:w="100"/>
        <w:gridCol w:w="20"/>
        <w:gridCol w:w="100"/>
        <w:gridCol w:w="800"/>
        <w:gridCol w:w="100"/>
        <w:gridCol w:w="20"/>
      </w:tblGrid>
      <w:tr w:rsidR="0007071D" w:rsidTr="0007071D">
        <w:trPr>
          <w:trHeight w:val="298"/>
        </w:trPr>
        <w:tc>
          <w:tcPr>
            <w:tcW w:w="119" w:type="dxa"/>
            <w:tcBorders>
              <w:right w:val="single" w:sz="4" w:space="0" w:color="auto"/>
            </w:tcBorders>
            <w:shd w:val="clear" w:color="auto" w:fill="CCFFCC"/>
            <w:vAlign w:val="bottom"/>
          </w:tcPr>
          <w:p w:rsidR="0007071D" w:rsidRDefault="0007071D" w:rsidP="0007071D">
            <w:pPr>
              <w:rPr>
                <w:sz w:val="20"/>
                <w:szCs w:val="20"/>
              </w:rPr>
            </w:pPr>
          </w:p>
        </w:tc>
        <w:tc>
          <w:tcPr>
            <w:tcW w:w="3577" w:type="dxa"/>
            <w:gridSpan w:val="3"/>
            <w:vMerge w:val="restart"/>
            <w:tcBorders>
              <w:top w:val="single" w:sz="4" w:space="0" w:color="auto"/>
              <w:left w:val="single" w:sz="4" w:space="0" w:color="auto"/>
              <w:bottom w:val="single" w:sz="4" w:space="0" w:color="auto"/>
              <w:right w:val="single" w:sz="4" w:space="0" w:color="auto"/>
            </w:tcBorders>
            <w:shd w:val="clear" w:color="auto" w:fill="CCFFCC"/>
            <w:vAlign w:val="bottom"/>
          </w:tcPr>
          <w:p w:rsidR="0007071D" w:rsidRDefault="0007071D" w:rsidP="0007071D">
            <w:pPr>
              <w:rPr>
                <w:sz w:val="20"/>
                <w:szCs w:val="20"/>
              </w:rPr>
            </w:pPr>
            <w:r>
              <w:rPr>
                <w:rFonts w:eastAsia="Times New Roman"/>
                <w:b/>
                <w:bCs/>
                <w:sz w:val="20"/>
                <w:szCs w:val="20"/>
              </w:rPr>
              <w:t>Catégorie de FRA 2010 / Nom de l’espèce</w:t>
            </w:r>
          </w:p>
        </w:tc>
        <w:tc>
          <w:tcPr>
            <w:tcW w:w="25" w:type="dxa"/>
            <w:tcBorders>
              <w:left w:val="single" w:sz="4" w:space="0" w:color="auto"/>
            </w:tcBorders>
            <w:shd w:val="clear" w:color="auto" w:fill="CCFFCC"/>
            <w:vAlign w:val="bottom"/>
          </w:tcPr>
          <w:p w:rsidR="0007071D" w:rsidRDefault="0007071D" w:rsidP="0007071D">
            <w:pPr>
              <w:rPr>
                <w:sz w:val="20"/>
                <w:szCs w:val="20"/>
              </w:rPr>
            </w:pPr>
          </w:p>
        </w:tc>
        <w:tc>
          <w:tcPr>
            <w:tcW w:w="2679" w:type="dxa"/>
            <w:shd w:val="clear" w:color="auto" w:fill="CCFFCC"/>
            <w:vAlign w:val="bottom"/>
          </w:tcPr>
          <w:p w:rsidR="0007071D" w:rsidRDefault="0007071D" w:rsidP="0007071D">
            <w:pPr>
              <w:rPr>
                <w:sz w:val="20"/>
                <w:szCs w:val="20"/>
              </w:rPr>
            </w:pPr>
          </w:p>
        </w:tc>
        <w:tc>
          <w:tcPr>
            <w:tcW w:w="20" w:type="dxa"/>
            <w:vAlign w:val="bottom"/>
          </w:tcPr>
          <w:p w:rsidR="0007071D" w:rsidRDefault="0007071D" w:rsidP="0007071D">
            <w:pPr>
              <w:rPr>
                <w:sz w:val="20"/>
                <w:szCs w:val="20"/>
              </w:rPr>
            </w:pPr>
          </w:p>
        </w:tc>
        <w:tc>
          <w:tcPr>
            <w:tcW w:w="100" w:type="dxa"/>
            <w:shd w:val="clear" w:color="auto" w:fill="CCFFCC"/>
            <w:vAlign w:val="bottom"/>
          </w:tcPr>
          <w:p w:rsidR="0007071D" w:rsidRDefault="0007071D" w:rsidP="0007071D">
            <w:pPr>
              <w:rPr>
                <w:sz w:val="20"/>
                <w:szCs w:val="20"/>
              </w:rPr>
            </w:pPr>
          </w:p>
        </w:tc>
        <w:tc>
          <w:tcPr>
            <w:tcW w:w="2780" w:type="dxa"/>
            <w:gridSpan w:val="7"/>
            <w:shd w:val="clear" w:color="auto" w:fill="CCFFCC"/>
            <w:vAlign w:val="bottom"/>
          </w:tcPr>
          <w:p w:rsidR="0007071D" w:rsidRDefault="0007071D" w:rsidP="0007071D">
            <w:pPr>
              <w:jc w:val="center"/>
              <w:rPr>
                <w:sz w:val="20"/>
                <w:szCs w:val="20"/>
              </w:rPr>
            </w:pPr>
            <w:r>
              <w:rPr>
                <w:rFonts w:eastAsia="Times New Roman"/>
                <w:b/>
                <w:bCs/>
                <w:sz w:val="20"/>
                <w:szCs w:val="20"/>
                <w:shd w:val="clear" w:color="auto" w:fill="CCFFCC"/>
              </w:rPr>
              <w:t>Matériel sur pied dans la forêt</w:t>
            </w:r>
          </w:p>
        </w:tc>
        <w:tc>
          <w:tcPr>
            <w:tcW w:w="100" w:type="dxa"/>
            <w:shd w:val="clear" w:color="auto" w:fill="CCFFCC"/>
            <w:vAlign w:val="bottom"/>
          </w:tcPr>
          <w:p w:rsidR="0007071D" w:rsidRDefault="0007071D" w:rsidP="0007071D">
            <w:pPr>
              <w:rPr>
                <w:sz w:val="20"/>
                <w:szCs w:val="20"/>
              </w:rPr>
            </w:pPr>
          </w:p>
        </w:tc>
        <w:tc>
          <w:tcPr>
            <w:tcW w:w="20" w:type="dxa"/>
            <w:vAlign w:val="bottom"/>
          </w:tcPr>
          <w:p w:rsidR="0007071D" w:rsidRDefault="0007071D" w:rsidP="0007071D">
            <w:pPr>
              <w:rPr>
                <w:sz w:val="1"/>
                <w:szCs w:val="1"/>
              </w:rPr>
            </w:pPr>
          </w:p>
        </w:tc>
      </w:tr>
      <w:tr w:rsidR="0007071D" w:rsidTr="0007071D">
        <w:trPr>
          <w:trHeight w:val="112"/>
        </w:trPr>
        <w:tc>
          <w:tcPr>
            <w:tcW w:w="119" w:type="dxa"/>
            <w:tcBorders>
              <w:right w:val="single" w:sz="4" w:space="0" w:color="auto"/>
            </w:tcBorders>
            <w:shd w:val="clear" w:color="auto" w:fill="CCFFCC"/>
            <w:vAlign w:val="bottom"/>
          </w:tcPr>
          <w:p w:rsidR="0007071D" w:rsidRDefault="0007071D" w:rsidP="0007071D">
            <w:pPr>
              <w:rPr>
                <w:sz w:val="9"/>
                <w:szCs w:val="9"/>
              </w:rPr>
            </w:pPr>
          </w:p>
        </w:tc>
        <w:tc>
          <w:tcPr>
            <w:tcW w:w="3577" w:type="dxa"/>
            <w:gridSpan w:val="3"/>
            <w:vMerge/>
            <w:tcBorders>
              <w:top w:val="single" w:sz="4" w:space="0" w:color="auto"/>
              <w:left w:val="single" w:sz="4" w:space="0" w:color="auto"/>
              <w:bottom w:val="single" w:sz="4" w:space="0" w:color="auto"/>
              <w:right w:val="single" w:sz="4" w:space="0" w:color="auto"/>
            </w:tcBorders>
            <w:shd w:val="clear" w:color="auto" w:fill="CCFFCC"/>
            <w:vAlign w:val="bottom"/>
          </w:tcPr>
          <w:p w:rsidR="0007071D" w:rsidRDefault="0007071D" w:rsidP="0007071D">
            <w:pPr>
              <w:rPr>
                <w:sz w:val="9"/>
                <w:szCs w:val="9"/>
              </w:rPr>
            </w:pPr>
          </w:p>
        </w:tc>
        <w:tc>
          <w:tcPr>
            <w:tcW w:w="25" w:type="dxa"/>
            <w:tcBorders>
              <w:left w:val="single" w:sz="4" w:space="0" w:color="auto"/>
            </w:tcBorders>
            <w:shd w:val="clear" w:color="auto" w:fill="CCFFCC"/>
            <w:vAlign w:val="bottom"/>
          </w:tcPr>
          <w:p w:rsidR="0007071D" w:rsidRDefault="0007071D" w:rsidP="0007071D">
            <w:pPr>
              <w:rPr>
                <w:sz w:val="9"/>
                <w:szCs w:val="9"/>
              </w:rPr>
            </w:pPr>
          </w:p>
        </w:tc>
        <w:tc>
          <w:tcPr>
            <w:tcW w:w="2679" w:type="dxa"/>
            <w:shd w:val="clear" w:color="auto" w:fill="CCFFCC"/>
            <w:vAlign w:val="bottom"/>
          </w:tcPr>
          <w:p w:rsidR="0007071D" w:rsidRDefault="0007071D" w:rsidP="0007071D">
            <w:pPr>
              <w:rPr>
                <w:sz w:val="9"/>
                <w:szCs w:val="9"/>
              </w:rPr>
            </w:pPr>
          </w:p>
        </w:tc>
        <w:tc>
          <w:tcPr>
            <w:tcW w:w="20" w:type="dxa"/>
            <w:vAlign w:val="bottom"/>
          </w:tcPr>
          <w:p w:rsidR="0007071D" w:rsidRDefault="0007071D" w:rsidP="0007071D">
            <w:pPr>
              <w:rPr>
                <w:sz w:val="9"/>
                <w:szCs w:val="9"/>
              </w:rPr>
            </w:pPr>
          </w:p>
        </w:tc>
        <w:tc>
          <w:tcPr>
            <w:tcW w:w="100" w:type="dxa"/>
            <w:shd w:val="clear" w:color="auto" w:fill="CCFFCC"/>
            <w:vAlign w:val="bottom"/>
          </w:tcPr>
          <w:p w:rsidR="0007071D" w:rsidRDefault="0007071D" w:rsidP="0007071D">
            <w:pPr>
              <w:rPr>
                <w:sz w:val="9"/>
                <w:szCs w:val="9"/>
              </w:rPr>
            </w:pPr>
          </w:p>
        </w:tc>
        <w:tc>
          <w:tcPr>
            <w:tcW w:w="2780" w:type="dxa"/>
            <w:gridSpan w:val="7"/>
            <w:vMerge w:val="restart"/>
            <w:shd w:val="clear" w:color="auto" w:fill="CCFFCC"/>
            <w:vAlign w:val="bottom"/>
          </w:tcPr>
          <w:p w:rsidR="0007071D" w:rsidRDefault="0007071D" w:rsidP="0007071D">
            <w:pPr>
              <w:spacing w:line="227" w:lineRule="exact"/>
              <w:jc w:val="center"/>
              <w:rPr>
                <w:sz w:val="20"/>
                <w:szCs w:val="20"/>
              </w:rPr>
            </w:pPr>
            <w:r>
              <w:rPr>
                <w:rFonts w:eastAsia="Times New Roman"/>
                <w:b/>
                <w:bCs/>
                <w:w w:val="99"/>
                <w:sz w:val="20"/>
                <w:szCs w:val="20"/>
              </w:rPr>
              <w:t>(millions de mètres cubes)</w:t>
            </w:r>
          </w:p>
        </w:tc>
        <w:tc>
          <w:tcPr>
            <w:tcW w:w="100" w:type="dxa"/>
            <w:shd w:val="clear" w:color="auto" w:fill="CCFFCC"/>
            <w:vAlign w:val="bottom"/>
          </w:tcPr>
          <w:p w:rsidR="0007071D" w:rsidRDefault="0007071D" w:rsidP="0007071D">
            <w:pPr>
              <w:rPr>
                <w:sz w:val="9"/>
                <w:szCs w:val="9"/>
              </w:rPr>
            </w:pPr>
          </w:p>
        </w:tc>
        <w:tc>
          <w:tcPr>
            <w:tcW w:w="20" w:type="dxa"/>
            <w:vAlign w:val="bottom"/>
          </w:tcPr>
          <w:p w:rsidR="0007071D" w:rsidRDefault="0007071D" w:rsidP="0007071D">
            <w:pPr>
              <w:rPr>
                <w:sz w:val="1"/>
                <w:szCs w:val="1"/>
              </w:rPr>
            </w:pPr>
          </w:p>
        </w:tc>
      </w:tr>
      <w:tr w:rsidR="0007071D" w:rsidTr="0007071D">
        <w:trPr>
          <w:trHeight w:val="157"/>
        </w:trPr>
        <w:tc>
          <w:tcPr>
            <w:tcW w:w="119" w:type="dxa"/>
            <w:tcBorders>
              <w:bottom w:val="single" w:sz="8" w:space="0" w:color="auto"/>
            </w:tcBorders>
            <w:shd w:val="clear" w:color="auto" w:fill="CCFFCC"/>
            <w:vAlign w:val="bottom"/>
          </w:tcPr>
          <w:p w:rsidR="0007071D" w:rsidRDefault="0007071D" w:rsidP="0007071D">
            <w:pPr>
              <w:rPr>
                <w:sz w:val="13"/>
                <w:szCs w:val="13"/>
              </w:rPr>
            </w:pPr>
          </w:p>
        </w:tc>
        <w:tc>
          <w:tcPr>
            <w:tcW w:w="859" w:type="dxa"/>
            <w:tcBorders>
              <w:top w:val="single" w:sz="4" w:space="0" w:color="auto"/>
              <w:bottom w:val="single" w:sz="8" w:space="0" w:color="auto"/>
            </w:tcBorders>
            <w:shd w:val="clear" w:color="auto" w:fill="CCFFCC"/>
            <w:vAlign w:val="bottom"/>
          </w:tcPr>
          <w:p w:rsidR="0007071D" w:rsidRDefault="0007071D" w:rsidP="0007071D">
            <w:pPr>
              <w:rPr>
                <w:sz w:val="13"/>
                <w:szCs w:val="13"/>
              </w:rPr>
            </w:pPr>
          </w:p>
        </w:tc>
        <w:tc>
          <w:tcPr>
            <w:tcW w:w="119" w:type="dxa"/>
            <w:tcBorders>
              <w:top w:val="single" w:sz="4" w:space="0" w:color="auto"/>
              <w:bottom w:val="single" w:sz="8" w:space="0" w:color="auto"/>
            </w:tcBorders>
            <w:shd w:val="clear" w:color="auto" w:fill="CCFFCC"/>
            <w:vAlign w:val="bottom"/>
          </w:tcPr>
          <w:p w:rsidR="0007071D" w:rsidRDefault="0007071D" w:rsidP="0007071D">
            <w:pPr>
              <w:rPr>
                <w:sz w:val="13"/>
                <w:szCs w:val="13"/>
              </w:rPr>
            </w:pPr>
          </w:p>
        </w:tc>
        <w:tc>
          <w:tcPr>
            <w:tcW w:w="2599" w:type="dxa"/>
            <w:tcBorders>
              <w:top w:val="single" w:sz="4" w:space="0" w:color="auto"/>
              <w:bottom w:val="single" w:sz="8" w:space="0" w:color="auto"/>
            </w:tcBorders>
            <w:shd w:val="clear" w:color="auto" w:fill="CCFFCC"/>
            <w:vAlign w:val="bottom"/>
          </w:tcPr>
          <w:p w:rsidR="0007071D" w:rsidRDefault="0007071D" w:rsidP="0007071D">
            <w:pPr>
              <w:rPr>
                <w:sz w:val="13"/>
                <w:szCs w:val="13"/>
              </w:rPr>
            </w:pPr>
          </w:p>
        </w:tc>
        <w:tc>
          <w:tcPr>
            <w:tcW w:w="25" w:type="dxa"/>
            <w:tcBorders>
              <w:bottom w:val="single" w:sz="8" w:space="0" w:color="auto"/>
            </w:tcBorders>
            <w:shd w:val="clear" w:color="auto" w:fill="CCFFCC"/>
            <w:vAlign w:val="bottom"/>
          </w:tcPr>
          <w:p w:rsidR="0007071D" w:rsidRDefault="0007071D" w:rsidP="0007071D">
            <w:pPr>
              <w:rPr>
                <w:sz w:val="13"/>
                <w:szCs w:val="13"/>
              </w:rPr>
            </w:pPr>
          </w:p>
        </w:tc>
        <w:tc>
          <w:tcPr>
            <w:tcW w:w="2679" w:type="dxa"/>
            <w:tcBorders>
              <w:bottom w:val="single" w:sz="8" w:space="0" w:color="auto"/>
            </w:tcBorders>
            <w:shd w:val="clear" w:color="auto" w:fill="CCFFCC"/>
            <w:vAlign w:val="bottom"/>
          </w:tcPr>
          <w:p w:rsidR="0007071D" w:rsidRDefault="0007071D" w:rsidP="0007071D">
            <w:pPr>
              <w:rPr>
                <w:sz w:val="13"/>
                <w:szCs w:val="13"/>
              </w:rPr>
            </w:pPr>
          </w:p>
        </w:tc>
        <w:tc>
          <w:tcPr>
            <w:tcW w:w="20" w:type="dxa"/>
            <w:tcBorders>
              <w:bottom w:val="single" w:sz="8" w:space="0" w:color="auto"/>
            </w:tcBorders>
            <w:vAlign w:val="bottom"/>
          </w:tcPr>
          <w:p w:rsidR="0007071D" w:rsidRDefault="0007071D" w:rsidP="0007071D">
            <w:pPr>
              <w:rPr>
                <w:sz w:val="13"/>
                <w:szCs w:val="13"/>
              </w:rPr>
            </w:pPr>
          </w:p>
        </w:tc>
        <w:tc>
          <w:tcPr>
            <w:tcW w:w="100" w:type="dxa"/>
            <w:tcBorders>
              <w:bottom w:val="single" w:sz="8" w:space="0" w:color="auto"/>
            </w:tcBorders>
            <w:shd w:val="clear" w:color="auto" w:fill="CCFFCC"/>
            <w:vAlign w:val="bottom"/>
          </w:tcPr>
          <w:p w:rsidR="0007071D" w:rsidRDefault="0007071D" w:rsidP="0007071D">
            <w:pPr>
              <w:rPr>
                <w:sz w:val="13"/>
                <w:szCs w:val="13"/>
              </w:rPr>
            </w:pPr>
          </w:p>
        </w:tc>
        <w:tc>
          <w:tcPr>
            <w:tcW w:w="2780" w:type="dxa"/>
            <w:gridSpan w:val="7"/>
            <w:vMerge/>
            <w:tcBorders>
              <w:bottom w:val="single" w:sz="8" w:space="0" w:color="auto"/>
            </w:tcBorders>
            <w:shd w:val="clear" w:color="auto" w:fill="CCFFCC"/>
            <w:vAlign w:val="bottom"/>
          </w:tcPr>
          <w:p w:rsidR="0007071D" w:rsidRDefault="0007071D" w:rsidP="0007071D">
            <w:pPr>
              <w:rPr>
                <w:sz w:val="13"/>
                <w:szCs w:val="13"/>
              </w:rPr>
            </w:pPr>
          </w:p>
        </w:tc>
        <w:tc>
          <w:tcPr>
            <w:tcW w:w="100" w:type="dxa"/>
            <w:tcBorders>
              <w:bottom w:val="single" w:sz="8" w:space="0" w:color="auto"/>
            </w:tcBorders>
            <w:shd w:val="clear" w:color="auto" w:fill="CCFFCC"/>
            <w:vAlign w:val="bottom"/>
          </w:tcPr>
          <w:p w:rsidR="0007071D" w:rsidRDefault="0007071D" w:rsidP="0007071D">
            <w:pPr>
              <w:rPr>
                <w:sz w:val="13"/>
                <w:szCs w:val="13"/>
              </w:rPr>
            </w:pPr>
          </w:p>
        </w:tc>
        <w:tc>
          <w:tcPr>
            <w:tcW w:w="20" w:type="dxa"/>
            <w:vAlign w:val="bottom"/>
          </w:tcPr>
          <w:p w:rsidR="0007071D" w:rsidRDefault="0007071D" w:rsidP="0007071D">
            <w:pPr>
              <w:rPr>
                <w:sz w:val="1"/>
                <w:szCs w:val="1"/>
              </w:rPr>
            </w:pPr>
          </w:p>
        </w:tc>
      </w:tr>
      <w:tr w:rsidR="0007071D" w:rsidTr="0007071D">
        <w:trPr>
          <w:trHeight w:val="195"/>
        </w:trPr>
        <w:tc>
          <w:tcPr>
            <w:tcW w:w="119" w:type="dxa"/>
            <w:tcBorders>
              <w:top w:val="single" w:sz="8" w:space="0" w:color="CCFFCC"/>
              <w:bottom w:val="single" w:sz="8" w:space="0" w:color="auto"/>
            </w:tcBorders>
            <w:shd w:val="clear" w:color="auto" w:fill="CCFFCC"/>
            <w:vAlign w:val="bottom"/>
          </w:tcPr>
          <w:p w:rsidR="0007071D" w:rsidRDefault="0007071D" w:rsidP="0007071D">
            <w:pPr>
              <w:rPr>
                <w:sz w:val="16"/>
                <w:szCs w:val="16"/>
              </w:rPr>
            </w:pPr>
          </w:p>
        </w:tc>
        <w:tc>
          <w:tcPr>
            <w:tcW w:w="859" w:type="dxa"/>
            <w:tcBorders>
              <w:top w:val="single" w:sz="8" w:space="0" w:color="CCFFCC"/>
              <w:bottom w:val="single" w:sz="8" w:space="0" w:color="auto"/>
            </w:tcBorders>
            <w:shd w:val="clear" w:color="auto" w:fill="CCFFCC"/>
            <w:vAlign w:val="bottom"/>
          </w:tcPr>
          <w:p w:rsidR="0007071D" w:rsidRDefault="0007071D" w:rsidP="0007071D">
            <w:pPr>
              <w:spacing w:line="194" w:lineRule="exact"/>
              <w:rPr>
                <w:sz w:val="20"/>
                <w:szCs w:val="20"/>
              </w:rPr>
            </w:pPr>
            <w:r>
              <w:rPr>
                <w:rFonts w:eastAsia="Times New Roman"/>
                <w:b/>
                <w:bCs/>
                <w:sz w:val="20"/>
                <w:szCs w:val="20"/>
              </w:rPr>
              <w:t>Position</w:t>
            </w:r>
          </w:p>
        </w:tc>
        <w:tc>
          <w:tcPr>
            <w:tcW w:w="119" w:type="dxa"/>
            <w:tcBorders>
              <w:top w:val="single" w:sz="8" w:space="0" w:color="CCFFCC"/>
              <w:bottom w:val="single" w:sz="8" w:space="0" w:color="auto"/>
            </w:tcBorders>
            <w:shd w:val="clear" w:color="auto" w:fill="CCFFCC"/>
            <w:vAlign w:val="bottom"/>
          </w:tcPr>
          <w:p w:rsidR="0007071D" w:rsidRDefault="0007071D" w:rsidP="0007071D">
            <w:pPr>
              <w:rPr>
                <w:sz w:val="16"/>
                <w:szCs w:val="16"/>
              </w:rPr>
            </w:pPr>
          </w:p>
        </w:tc>
        <w:tc>
          <w:tcPr>
            <w:tcW w:w="2599" w:type="dxa"/>
            <w:tcBorders>
              <w:top w:val="single" w:sz="8" w:space="0" w:color="CCFFCC"/>
              <w:bottom w:val="single" w:sz="8" w:space="0" w:color="auto"/>
            </w:tcBorders>
            <w:shd w:val="clear" w:color="auto" w:fill="CCFFCC"/>
            <w:vAlign w:val="bottom"/>
          </w:tcPr>
          <w:p w:rsidR="0007071D" w:rsidRDefault="0007071D" w:rsidP="0007071D">
            <w:pPr>
              <w:spacing w:line="194" w:lineRule="exact"/>
              <w:ind w:left="100"/>
              <w:rPr>
                <w:sz w:val="20"/>
                <w:szCs w:val="20"/>
              </w:rPr>
            </w:pPr>
            <w:r>
              <w:rPr>
                <w:rFonts w:eastAsia="Times New Roman"/>
                <w:b/>
                <w:bCs/>
                <w:sz w:val="20"/>
                <w:szCs w:val="20"/>
              </w:rPr>
              <w:t>Nom scientifique</w:t>
            </w:r>
          </w:p>
        </w:tc>
        <w:tc>
          <w:tcPr>
            <w:tcW w:w="25" w:type="dxa"/>
            <w:tcBorders>
              <w:bottom w:val="single" w:sz="8" w:space="0" w:color="auto"/>
            </w:tcBorders>
            <w:vAlign w:val="bottom"/>
          </w:tcPr>
          <w:p w:rsidR="0007071D" w:rsidRDefault="0007071D" w:rsidP="0007071D">
            <w:pPr>
              <w:rPr>
                <w:sz w:val="16"/>
                <w:szCs w:val="16"/>
              </w:rPr>
            </w:pPr>
          </w:p>
        </w:tc>
        <w:tc>
          <w:tcPr>
            <w:tcW w:w="2679" w:type="dxa"/>
            <w:tcBorders>
              <w:top w:val="single" w:sz="8" w:space="0" w:color="CCFFCC"/>
              <w:bottom w:val="single" w:sz="8" w:space="0" w:color="auto"/>
            </w:tcBorders>
            <w:shd w:val="clear" w:color="auto" w:fill="CCFFCC"/>
            <w:vAlign w:val="bottom"/>
          </w:tcPr>
          <w:p w:rsidR="0007071D" w:rsidRDefault="0007071D" w:rsidP="0007071D">
            <w:pPr>
              <w:spacing w:line="194" w:lineRule="exact"/>
              <w:ind w:left="100"/>
              <w:rPr>
                <w:sz w:val="20"/>
                <w:szCs w:val="20"/>
              </w:rPr>
            </w:pPr>
            <w:r>
              <w:rPr>
                <w:rFonts w:eastAsia="Times New Roman"/>
                <w:b/>
                <w:bCs/>
                <w:sz w:val="20"/>
                <w:szCs w:val="20"/>
              </w:rPr>
              <w:t>Nom commun</w:t>
            </w:r>
          </w:p>
        </w:tc>
        <w:tc>
          <w:tcPr>
            <w:tcW w:w="20" w:type="dxa"/>
            <w:tcBorders>
              <w:top w:val="single" w:sz="8" w:space="0" w:color="CCFFCC"/>
              <w:bottom w:val="single" w:sz="8" w:space="0" w:color="auto"/>
            </w:tcBorders>
            <w:vAlign w:val="bottom"/>
          </w:tcPr>
          <w:p w:rsidR="0007071D" w:rsidRDefault="0007071D" w:rsidP="0007071D">
            <w:pPr>
              <w:rPr>
                <w:sz w:val="16"/>
                <w:szCs w:val="16"/>
              </w:rPr>
            </w:pPr>
          </w:p>
        </w:tc>
        <w:tc>
          <w:tcPr>
            <w:tcW w:w="100" w:type="dxa"/>
            <w:tcBorders>
              <w:top w:val="single" w:sz="8" w:space="0" w:color="CCFFCC"/>
              <w:bottom w:val="single" w:sz="8" w:space="0" w:color="auto"/>
            </w:tcBorders>
            <w:shd w:val="clear" w:color="auto" w:fill="CCFFCC"/>
            <w:vAlign w:val="bottom"/>
          </w:tcPr>
          <w:p w:rsidR="0007071D" w:rsidRDefault="0007071D" w:rsidP="0007071D">
            <w:pPr>
              <w:rPr>
                <w:sz w:val="16"/>
                <w:szCs w:val="16"/>
              </w:rPr>
            </w:pPr>
          </w:p>
        </w:tc>
        <w:tc>
          <w:tcPr>
            <w:tcW w:w="860" w:type="dxa"/>
            <w:tcBorders>
              <w:top w:val="single" w:sz="8" w:space="0" w:color="CCFFCC"/>
              <w:bottom w:val="single" w:sz="8" w:space="0" w:color="auto"/>
            </w:tcBorders>
            <w:shd w:val="clear" w:color="auto" w:fill="CCFFCC"/>
            <w:vAlign w:val="bottom"/>
          </w:tcPr>
          <w:p w:rsidR="0007071D" w:rsidRDefault="0007071D" w:rsidP="0007071D">
            <w:pPr>
              <w:spacing w:line="194" w:lineRule="exact"/>
              <w:ind w:right="180"/>
              <w:jc w:val="right"/>
              <w:rPr>
                <w:sz w:val="20"/>
                <w:szCs w:val="20"/>
              </w:rPr>
            </w:pPr>
            <w:r>
              <w:rPr>
                <w:rFonts w:eastAsia="Times New Roman"/>
                <w:b/>
                <w:bCs/>
                <w:sz w:val="20"/>
                <w:szCs w:val="20"/>
              </w:rPr>
              <w:t>1990</w:t>
            </w:r>
          </w:p>
        </w:tc>
        <w:tc>
          <w:tcPr>
            <w:tcW w:w="100" w:type="dxa"/>
            <w:tcBorders>
              <w:top w:val="single" w:sz="8" w:space="0" w:color="CCFFCC"/>
              <w:bottom w:val="single" w:sz="8" w:space="0" w:color="auto"/>
            </w:tcBorders>
            <w:shd w:val="clear" w:color="auto" w:fill="CCFFCC"/>
            <w:vAlign w:val="bottom"/>
          </w:tcPr>
          <w:p w:rsidR="0007071D" w:rsidRDefault="0007071D" w:rsidP="0007071D">
            <w:pPr>
              <w:rPr>
                <w:sz w:val="16"/>
                <w:szCs w:val="16"/>
              </w:rPr>
            </w:pPr>
          </w:p>
        </w:tc>
        <w:tc>
          <w:tcPr>
            <w:tcW w:w="800" w:type="dxa"/>
            <w:tcBorders>
              <w:top w:val="single" w:sz="8" w:space="0" w:color="CCFFCC"/>
              <w:bottom w:val="single" w:sz="8" w:space="0" w:color="auto"/>
            </w:tcBorders>
            <w:shd w:val="clear" w:color="auto" w:fill="CCFFCC"/>
            <w:vAlign w:val="bottom"/>
          </w:tcPr>
          <w:p w:rsidR="0007071D" w:rsidRDefault="0007071D" w:rsidP="0007071D">
            <w:pPr>
              <w:spacing w:line="190" w:lineRule="exact"/>
              <w:jc w:val="center"/>
              <w:rPr>
                <w:sz w:val="20"/>
                <w:szCs w:val="20"/>
              </w:rPr>
            </w:pPr>
            <w:r>
              <w:rPr>
                <w:rFonts w:eastAsia="Times New Roman"/>
                <w:b/>
                <w:bCs/>
                <w:w w:val="99"/>
                <w:sz w:val="20"/>
                <w:szCs w:val="20"/>
              </w:rPr>
              <w:t>2000</w:t>
            </w:r>
          </w:p>
        </w:tc>
        <w:tc>
          <w:tcPr>
            <w:tcW w:w="100" w:type="dxa"/>
            <w:tcBorders>
              <w:top w:val="single" w:sz="8" w:space="0" w:color="CCFFCC"/>
              <w:bottom w:val="single" w:sz="8" w:space="0" w:color="auto"/>
            </w:tcBorders>
            <w:shd w:val="clear" w:color="auto" w:fill="CCFFCC"/>
            <w:vAlign w:val="bottom"/>
          </w:tcPr>
          <w:p w:rsidR="0007071D" w:rsidRDefault="0007071D" w:rsidP="0007071D">
            <w:pPr>
              <w:rPr>
                <w:sz w:val="16"/>
                <w:szCs w:val="16"/>
              </w:rPr>
            </w:pPr>
          </w:p>
        </w:tc>
        <w:tc>
          <w:tcPr>
            <w:tcW w:w="20" w:type="dxa"/>
            <w:tcBorders>
              <w:bottom w:val="single" w:sz="8" w:space="0" w:color="auto"/>
            </w:tcBorders>
            <w:vAlign w:val="bottom"/>
          </w:tcPr>
          <w:p w:rsidR="0007071D" w:rsidRDefault="0007071D" w:rsidP="0007071D">
            <w:pPr>
              <w:rPr>
                <w:sz w:val="16"/>
                <w:szCs w:val="16"/>
              </w:rPr>
            </w:pPr>
          </w:p>
        </w:tc>
        <w:tc>
          <w:tcPr>
            <w:tcW w:w="100" w:type="dxa"/>
            <w:tcBorders>
              <w:top w:val="single" w:sz="8" w:space="0" w:color="CCFFCC"/>
              <w:bottom w:val="single" w:sz="8" w:space="0" w:color="auto"/>
            </w:tcBorders>
            <w:shd w:val="clear" w:color="auto" w:fill="CCFFCC"/>
            <w:vAlign w:val="bottom"/>
          </w:tcPr>
          <w:p w:rsidR="0007071D" w:rsidRDefault="0007071D" w:rsidP="0007071D">
            <w:pPr>
              <w:rPr>
                <w:sz w:val="16"/>
                <w:szCs w:val="16"/>
              </w:rPr>
            </w:pPr>
          </w:p>
        </w:tc>
        <w:tc>
          <w:tcPr>
            <w:tcW w:w="800" w:type="dxa"/>
            <w:tcBorders>
              <w:top w:val="single" w:sz="8" w:space="0" w:color="CCFFCC"/>
              <w:bottom w:val="single" w:sz="8" w:space="0" w:color="auto"/>
            </w:tcBorders>
            <w:shd w:val="clear" w:color="auto" w:fill="CCFFCC"/>
            <w:vAlign w:val="bottom"/>
          </w:tcPr>
          <w:p w:rsidR="0007071D" w:rsidRDefault="0007071D" w:rsidP="0007071D">
            <w:pPr>
              <w:spacing w:line="190" w:lineRule="exact"/>
              <w:ind w:right="100"/>
              <w:jc w:val="right"/>
              <w:rPr>
                <w:sz w:val="20"/>
                <w:szCs w:val="20"/>
              </w:rPr>
            </w:pPr>
            <w:r>
              <w:rPr>
                <w:rFonts w:eastAsia="Times New Roman"/>
                <w:b/>
                <w:bCs/>
                <w:sz w:val="20"/>
                <w:szCs w:val="20"/>
              </w:rPr>
              <w:t>2005</w:t>
            </w:r>
          </w:p>
        </w:tc>
        <w:tc>
          <w:tcPr>
            <w:tcW w:w="100" w:type="dxa"/>
            <w:tcBorders>
              <w:top w:val="single" w:sz="8" w:space="0" w:color="CCFFCC"/>
              <w:bottom w:val="single" w:sz="8" w:space="0" w:color="auto"/>
            </w:tcBorders>
            <w:shd w:val="clear" w:color="auto" w:fill="CCFFCC"/>
            <w:vAlign w:val="bottom"/>
          </w:tcPr>
          <w:p w:rsidR="0007071D" w:rsidRDefault="0007071D" w:rsidP="0007071D">
            <w:pPr>
              <w:rPr>
                <w:sz w:val="16"/>
                <w:szCs w:val="16"/>
              </w:rPr>
            </w:pPr>
          </w:p>
        </w:tc>
        <w:tc>
          <w:tcPr>
            <w:tcW w:w="20" w:type="dxa"/>
            <w:vAlign w:val="bottom"/>
          </w:tcPr>
          <w:p w:rsidR="0007071D" w:rsidRDefault="0007071D" w:rsidP="0007071D">
            <w:pPr>
              <w:rPr>
                <w:sz w:val="1"/>
                <w:szCs w:val="1"/>
              </w:rPr>
            </w:pPr>
          </w:p>
        </w:tc>
      </w:tr>
      <w:tr w:rsidR="0007071D" w:rsidTr="0007071D">
        <w:trPr>
          <w:trHeight w:val="257"/>
        </w:trPr>
        <w:tc>
          <w:tcPr>
            <w:tcW w:w="1097" w:type="dxa"/>
            <w:gridSpan w:val="3"/>
            <w:tcBorders>
              <w:bottom w:val="single" w:sz="8" w:space="0" w:color="auto"/>
            </w:tcBorders>
            <w:vAlign w:val="bottom"/>
          </w:tcPr>
          <w:p w:rsidR="0007071D" w:rsidRDefault="0007071D" w:rsidP="0007071D">
            <w:pPr>
              <w:spacing w:line="256" w:lineRule="exact"/>
              <w:ind w:left="120"/>
              <w:rPr>
                <w:sz w:val="20"/>
                <w:szCs w:val="20"/>
              </w:rPr>
            </w:pPr>
            <w:r>
              <w:rPr>
                <w:rFonts w:eastAsia="Times New Roman"/>
                <w:sz w:val="29"/>
                <w:szCs w:val="29"/>
                <w:vertAlign w:val="subscript"/>
              </w:rPr>
              <w:t>1</w:t>
            </w:r>
            <w:r>
              <w:rPr>
                <w:rFonts w:eastAsia="Times New Roman"/>
                <w:sz w:val="11"/>
                <w:szCs w:val="11"/>
              </w:rPr>
              <w:t>ère</w:t>
            </w:r>
          </w:p>
        </w:tc>
        <w:tc>
          <w:tcPr>
            <w:tcW w:w="2599" w:type="dxa"/>
            <w:tcBorders>
              <w:bottom w:val="single" w:sz="8" w:space="0" w:color="auto"/>
            </w:tcBorders>
            <w:vAlign w:val="bottom"/>
          </w:tcPr>
          <w:p w:rsidR="0007071D" w:rsidRDefault="0007071D" w:rsidP="0007071D">
            <w:pPr>
              <w:spacing w:line="225" w:lineRule="exact"/>
              <w:ind w:left="100"/>
              <w:rPr>
                <w:sz w:val="20"/>
                <w:szCs w:val="20"/>
              </w:rPr>
            </w:pPr>
            <w:r>
              <w:rPr>
                <w:rFonts w:eastAsia="Times New Roman"/>
                <w:i/>
                <w:iCs/>
                <w:sz w:val="20"/>
                <w:szCs w:val="20"/>
              </w:rPr>
              <w:t>Dalium guineense</w:t>
            </w:r>
          </w:p>
        </w:tc>
        <w:tc>
          <w:tcPr>
            <w:tcW w:w="25" w:type="dxa"/>
            <w:tcBorders>
              <w:bottom w:val="single" w:sz="8" w:space="0" w:color="auto"/>
            </w:tcBorders>
            <w:vAlign w:val="bottom"/>
          </w:tcPr>
          <w:p w:rsidR="0007071D" w:rsidRDefault="0007071D" w:rsidP="0007071D"/>
        </w:tc>
        <w:tc>
          <w:tcPr>
            <w:tcW w:w="2679" w:type="dxa"/>
            <w:tcBorders>
              <w:bottom w:val="single" w:sz="8" w:space="0" w:color="auto"/>
            </w:tcBorders>
            <w:vAlign w:val="bottom"/>
          </w:tcPr>
          <w:p w:rsidR="0007071D" w:rsidRDefault="0007071D" w:rsidP="0007071D">
            <w:pPr>
              <w:spacing w:line="225" w:lineRule="exact"/>
              <w:ind w:left="100"/>
              <w:rPr>
                <w:sz w:val="20"/>
                <w:szCs w:val="20"/>
              </w:rPr>
            </w:pPr>
            <w:r>
              <w:rPr>
                <w:rFonts w:eastAsia="Times New Roman"/>
                <w:sz w:val="20"/>
                <w:szCs w:val="20"/>
              </w:rPr>
              <w:t>Pau veludo</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6,17</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5,90</w:t>
            </w:r>
          </w:p>
        </w:tc>
        <w:tc>
          <w:tcPr>
            <w:tcW w:w="1020" w:type="dxa"/>
            <w:gridSpan w:val="4"/>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5,77</w:t>
            </w:r>
          </w:p>
        </w:tc>
        <w:tc>
          <w:tcPr>
            <w:tcW w:w="20" w:type="dxa"/>
            <w:vAlign w:val="bottom"/>
          </w:tcPr>
          <w:p w:rsidR="0007071D" w:rsidRDefault="0007071D" w:rsidP="0007071D">
            <w:pPr>
              <w:rPr>
                <w:sz w:val="1"/>
                <w:szCs w:val="1"/>
              </w:rPr>
            </w:pPr>
          </w:p>
        </w:tc>
      </w:tr>
      <w:tr w:rsidR="0007071D" w:rsidTr="0007071D">
        <w:trPr>
          <w:trHeight w:val="244"/>
        </w:trPr>
        <w:tc>
          <w:tcPr>
            <w:tcW w:w="1097" w:type="dxa"/>
            <w:gridSpan w:val="3"/>
            <w:tcBorders>
              <w:bottom w:val="single" w:sz="8" w:space="0" w:color="auto"/>
            </w:tcBorders>
            <w:vAlign w:val="bottom"/>
          </w:tcPr>
          <w:p w:rsidR="0007071D" w:rsidRDefault="0007071D" w:rsidP="0007071D">
            <w:pPr>
              <w:spacing w:line="243" w:lineRule="exact"/>
              <w:ind w:left="120"/>
              <w:rPr>
                <w:sz w:val="20"/>
                <w:szCs w:val="20"/>
              </w:rPr>
            </w:pPr>
            <w:r>
              <w:rPr>
                <w:rFonts w:eastAsia="Times New Roman"/>
                <w:sz w:val="28"/>
                <w:szCs w:val="28"/>
                <w:vertAlign w:val="subscript"/>
              </w:rPr>
              <w:t>2</w:t>
            </w:r>
            <w:r>
              <w:rPr>
                <w:rFonts w:eastAsia="Times New Roman"/>
                <w:sz w:val="11"/>
                <w:szCs w:val="11"/>
              </w:rPr>
              <w:t>ème</w:t>
            </w:r>
          </w:p>
        </w:tc>
        <w:tc>
          <w:tcPr>
            <w:tcW w:w="259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i/>
                <w:iCs/>
                <w:sz w:val="20"/>
                <w:szCs w:val="20"/>
              </w:rPr>
              <w:t>Daniella oliveiri</w:t>
            </w:r>
          </w:p>
        </w:tc>
        <w:tc>
          <w:tcPr>
            <w:tcW w:w="25" w:type="dxa"/>
            <w:tcBorders>
              <w:bottom w:val="single" w:sz="8" w:space="0" w:color="auto"/>
            </w:tcBorders>
            <w:vAlign w:val="bottom"/>
          </w:tcPr>
          <w:p w:rsidR="0007071D" w:rsidRDefault="0007071D" w:rsidP="0007071D">
            <w:pPr>
              <w:rPr>
                <w:sz w:val="21"/>
                <w:szCs w:val="21"/>
              </w:rPr>
            </w:pPr>
          </w:p>
        </w:tc>
        <w:tc>
          <w:tcPr>
            <w:tcW w:w="267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sz w:val="20"/>
                <w:szCs w:val="20"/>
              </w:rPr>
              <w:t>Encens, Santan ou Faro</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3,60</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3,44</w:t>
            </w:r>
          </w:p>
        </w:tc>
        <w:tc>
          <w:tcPr>
            <w:tcW w:w="1020" w:type="dxa"/>
            <w:gridSpan w:val="4"/>
            <w:tcBorders>
              <w:bottom w:val="single" w:sz="8" w:space="0" w:color="auto"/>
            </w:tcBorders>
            <w:vAlign w:val="bottom"/>
          </w:tcPr>
          <w:p w:rsidR="0007071D" w:rsidRDefault="0007071D" w:rsidP="0007071D">
            <w:pPr>
              <w:spacing w:line="224" w:lineRule="exact"/>
              <w:ind w:right="100"/>
              <w:jc w:val="right"/>
              <w:rPr>
                <w:sz w:val="20"/>
                <w:szCs w:val="20"/>
              </w:rPr>
            </w:pPr>
            <w:r>
              <w:rPr>
                <w:rFonts w:eastAsia="Times New Roman"/>
                <w:sz w:val="20"/>
                <w:szCs w:val="20"/>
              </w:rPr>
              <w:t>3,37</w:t>
            </w:r>
          </w:p>
        </w:tc>
        <w:tc>
          <w:tcPr>
            <w:tcW w:w="20" w:type="dxa"/>
            <w:vAlign w:val="bottom"/>
          </w:tcPr>
          <w:p w:rsidR="0007071D" w:rsidRDefault="0007071D" w:rsidP="0007071D">
            <w:pPr>
              <w:rPr>
                <w:sz w:val="1"/>
                <w:szCs w:val="1"/>
              </w:rPr>
            </w:pPr>
          </w:p>
        </w:tc>
      </w:tr>
      <w:tr w:rsidR="0007071D" w:rsidTr="0007071D">
        <w:trPr>
          <w:trHeight w:val="246"/>
        </w:trPr>
        <w:tc>
          <w:tcPr>
            <w:tcW w:w="1097" w:type="dxa"/>
            <w:gridSpan w:val="3"/>
            <w:tcBorders>
              <w:bottom w:val="single" w:sz="8" w:space="0" w:color="auto"/>
            </w:tcBorders>
            <w:vAlign w:val="bottom"/>
          </w:tcPr>
          <w:p w:rsidR="0007071D" w:rsidRDefault="0007071D" w:rsidP="0007071D">
            <w:pPr>
              <w:spacing w:line="246" w:lineRule="exact"/>
              <w:ind w:left="120"/>
              <w:rPr>
                <w:sz w:val="20"/>
                <w:szCs w:val="20"/>
              </w:rPr>
            </w:pPr>
            <w:r>
              <w:rPr>
                <w:rFonts w:eastAsia="Times New Roman"/>
                <w:sz w:val="28"/>
                <w:szCs w:val="28"/>
                <w:vertAlign w:val="subscript"/>
              </w:rPr>
              <w:t>3</w:t>
            </w:r>
            <w:r>
              <w:rPr>
                <w:rFonts w:eastAsia="Times New Roman"/>
                <w:sz w:val="11"/>
                <w:szCs w:val="11"/>
              </w:rPr>
              <w:t>ème</w:t>
            </w:r>
          </w:p>
        </w:tc>
        <w:tc>
          <w:tcPr>
            <w:tcW w:w="259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i/>
                <w:iCs/>
                <w:sz w:val="20"/>
                <w:szCs w:val="20"/>
              </w:rPr>
              <w:t>Pterocarpus erinaceus</w:t>
            </w:r>
          </w:p>
        </w:tc>
        <w:tc>
          <w:tcPr>
            <w:tcW w:w="25" w:type="dxa"/>
            <w:tcBorders>
              <w:bottom w:val="single" w:sz="8" w:space="0" w:color="auto"/>
            </w:tcBorders>
            <w:vAlign w:val="bottom"/>
          </w:tcPr>
          <w:p w:rsidR="0007071D" w:rsidRDefault="0007071D" w:rsidP="0007071D">
            <w:pPr>
              <w:rPr>
                <w:sz w:val="21"/>
                <w:szCs w:val="21"/>
              </w:rPr>
            </w:pPr>
          </w:p>
        </w:tc>
        <w:tc>
          <w:tcPr>
            <w:tcW w:w="267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sz w:val="20"/>
                <w:szCs w:val="20"/>
              </w:rPr>
              <w:t>Vène, Palissandre Sénégal</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3,09</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2,95</w:t>
            </w:r>
          </w:p>
        </w:tc>
        <w:tc>
          <w:tcPr>
            <w:tcW w:w="1020" w:type="dxa"/>
            <w:gridSpan w:val="4"/>
            <w:tcBorders>
              <w:bottom w:val="single" w:sz="8" w:space="0" w:color="auto"/>
            </w:tcBorders>
            <w:vAlign w:val="bottom"/>
          </w:tcPr>
          <w:p w:rsidR="0007071D" w:rsidRDefault="0007071D" w:rsidP="0007071D">
            <w:pPr>
              <w:spacing w:line="226" w:lineRule="exact"/>
              <w:ind w:right="100"/>
              <w:jc w:val="right"/>
              <w:rPr>
                <w:sz w:val="20"/>
                <w:szCs w:val="20"/>
              </w:rPr>
            </w:pPr>
            <w:r>
              <w:rPr>
                <w:rFonts w:eastAsia="Times New Roman"/>
                <w:sz w:val="20"/>
                <w:szCs w:val="20"/>
              </w:rPr>
              <w:t>2,88</w:t>
            </w:r>
          </w:p>
        </w:tc>
        <w:tc>
          <w:tcPr>
            <w:tcW w:w="20" w:type="dxa"/>
            <w:vAlign w:val="bottom"/>
          </w:tcPr>
          <w:p w:rsidR="0007071D" w:rsidRDefault="0007071D" w:rsidP="0007071D">
            <w:pPr>
              <w:rPr>
                <w:sz w:val="1"/>
                <w:szCs w:val="1"/>
              </w:rPr>
            </w:pPr>
          </w:p>
        </w:tc>
      </w:tr>
      <w:tr w:rsidR="0007071D" w:rsidTr="0007071D">
        <w:trPr>
          <w:trHeight w:val="244"/>
        </w:trPr>
        <w:tc>
          <w:tcPr>
            <w:tcW w:w="1097" w:type="dxa"/>
            <w:gridSpan w:val="3"/>
            <w:tcBorders>
              <w:bottom w:val="single" w:sz="8" w:space="0" w:color="auto"/>
            </w:tcBorders>
            <w:vAlign w:val="bottom"/>
          </w:tcPr>
          <w:p w:rsidR="0007071D" w:rsidRDefault="0007071D" w:rsidP="0007071D">
            <w:pPr>
              <w:spacing w:line="243" w:lineRule="exact"/>
              <w:ind w:left="120"/>
              <w:rPr>
                <w:sz w:val="20"/>
                <w:szCs w:val="20"/>
              </w:rPr>
            </w:pPr>
            <w:r>
              <w:rPr>
                <w:rFonts w:eastAsia="Times New Roman"/>
                <w:sz w:val="28"/>
                <w:szCs w:val="28"/>
                <w:vertAlign w:val="subscript"/>
              </w:rPr>
              <w:t>4</w:t>
            </w:r>
            <w:r>
              <w:rPr>
                <w:rFonts w:eastAsia="Times New Roman"/>
                <w:sz w:val="11"/>
                <w:szCs w:val="11"/>
              </w:rPr>
              <w:t>ème</w:t>
            </w:r>
          </w:p>
        </w:tc>
        <w:tc>
          <w:tcPr>
            <w:tcW w:w="259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i/>
                <w:iCs/>
                <w:sz w:val="20"/>
                <w:szCs w:val="20"/>
              </w:rPr>
              <w:t>Spondias mobin</w:t>
            </w:r>
          </w:p>
        </w:tc>
        <w:tc>
          <w:tcPr>
            <w:tcW w:w="25" w:type="dxa"/>
            <w:tcBorders>
              <w:bottom w:val="single" w:sz="8" w:space="0" w:color="auto"/>
            </w:tcBorders>
            <w:vAlign w:val="bottom"/>
          </w:tcPr>
          <w:p w:rsidR="0007071D" w:rsidRDefault="0007071D" w:rsidP="0007071D">
            <w:pPr>
              <w:rPr>
                <w:sz w:val="21"/>
                <w:szCs w:val="21"/>
              </w:rPr>
            </w:pPr>
          </w:p>
        </w:tc>
        <w:tc>
          <w:tcPr>
            <w:tcW w:w="267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sz w:val="20"/>
                <w:szCs w:val="20"/>
              </w:rPr>
              <w:t>Mandiple</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2,06</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1,97</w:t>
            </w:r>
          </w:p>
        </w:tc>
        <w:tc>
          <w:tcPr>
            <w:tcW w:w="1020" w:type="dxa"/>
            <w:gridSpan w:val="4"/>
            <w:tcBorders>
              <w:bottom w:val="single" w:sz="8" w:space="0" w:color="auto"/>
            </w:tcBorders>
            <w:vAlign w:val="bottom"/>
          </w:tcPr>
          <w:p w:rsidR="0007071D" w:rsidRDefault="0007071D" w:rsidP="0007071D">
            <w:pPr>
              <w:spacing w:line="224" w:lineRule="exact"/>
              <w:ind w:right="100"/>
              <w:jc w:val="right"/>
              <w:rPr>
                <w:sz w:val="20"/>
                <w:szCs w:val="20"/>
              </w:rPr>
            </w:pPr>
            <w:r>
              <w:rPr>
                <w:rFonts w:eastAsia="Times New Roman"/>
                <w:sz w:val="20"/>
                <w:szCs w:val="20"/>
              </w:rPr>
              <w:t>1,92</w:t>
            </w:r>
          </w:p>
        </w:tc>
        <w:tc>
          <w:tcPr>
            <w:tcW w:w="20" w:type="dxa"/>
            <w:vAlign w:val="bottom"/>
          </w:tcPr>
          <w:p w:rsidR="0007071D" w:rsidRDefault="0007071D" w:rsidP="0007071D">
            <w:pPr>
              <w:rPr>
                <w:sz w:val="1"/>
                <w:szCs w:val="1"/>
              </w:rPr>
            </w:pPr>
          </w:p>
        </w:tc>
      </w:tr>
      <w:tr w:rsidR="0007071D" w:rsidTr="0007071D">
        <w:trPr>
          <w:trHeight w:val="246"/>
        </w:trPr>
        <w:tc>
          <w:tcPr>
            <w:tcW w:w="1097" w:type="dxa"/>
            <w:gridSpan w:val="3"/>
            <w:tcBorders>
              <w:bottom w:val="single" w:sz="8" w:space="0" w:color="auto"/>
            </w:tcBorders>
            <w:vAlign w:val="bottom"/>
          </w:tcPr>
          <w:p w:rsidR="0007071D" w:rsidRDefault="0007071D" w:rsidP="0007071D">
            <w:pPr>
              <w:spacing w:line="246" w:lineRule="exact"/>
              <w:ind w:left="120"/>
              <w:rPr>
                <w:sz w:val="20"/>
                <w:szCs w:val="20"/>
              </w:rPr>
            </w:pPr>
            <w:r>
              <w:rPr>
                <w:rFonts w:eastAsia="Times New Roman"/>
                <w:sz w:val="28"/>
                <w:szCs w:val="28"/>
                <w:vertAlign w:val="subscript"/>
              </w:rPr>
              <w:t>5</w:t>
            </w:r>
            <w:r>
              <w:rPr>
                <w:rFonts w:eastAsia="Times New Roman"/>
                <w:sz w:val="11"/>
                <w:szCs w:val="11"/>
              </w:rPr>
              <w:t>ème</w:t>
            </w:r>
          </w:p>
        </w:tc>
        <w:tc>
          <w:tcPr>
            <w:tcW w:w="259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i/>
                <w:iCs/>
                <w:sz w:val="20"/>
                <w:szCs w:val="20"/>
              </w:rPr>
              <w:t>Prosopis africana</w:t>
            </w:r>
          </w:p>
        </w:tc>
        <w:tc>
          <w:tcPr>
            <w:tcW w:w="25" w:type="dxa"/>
            <w:tcBorders>
              <w:bottom w:val="single" w:sz="8" w:space="0" w:color="auto"/>
            </w:tcBorders>
            <w:vAlign w:val="bottom"/>
          </w:tcPr>
          <w:p w:rsidR="0007071D" w:rsidRDefault="0007071D" w:rsidP="0007071D">
            <w:pPr>
              <w:rPr>
                <w:sz w:val="21"/>
                <w:szCs w:val="21"/>
              </w:rPr>
            </w:pPr>
          </w:p>
        </w:tc>
        <w:tc>
          <w:tcPr>
            <w:tcW w:w="267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sz w:val="20"/>
                <w:szCs w:val="20"/>
              </w:rPr>
              <w:t>Ir, pau carvao</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2,06</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1,97</w:t>
            </w:r>
          </w:p>
        </w:tc>
        <w:tc>
          <w:tcPr>
            <w:tcW w:w="1020" w:type="dxa"/>
            <w:gridSpan w:val="4"/>
            <w:tcBorders>
              <w:bottom w:val="single" w:sz="8" w:space="0" w:color="auto"/>
            </w:tcBorders>
            <w:vAlign w:val="bottom"/>
          </w:tcPr>
          <w:p w:rsidR="0007071D" w:rsidRDefault="0007071D" w:rsidP="0007071D">
            <w:pPr>
              <w:spacing w:line="224" w:lineRule="exact"/>
              <w:ind w:right="100"/>
              <w:jc w:val="right"/>
              <w:rPr>
                <w:sz w:val="20"/>
                <w:szCs w:val="20"/>
              </w:rPr>
            </w:pPr>
            <w:r>
              <w:rPr>
                <w:rFonts w:eastAsia="Times New Roman"/>
                <w:sz w:val="20"/>
                <w:szCs w:val="20"/>
              </w:rPr>
              <w:t>1,92</w:t>
            </w:r>
          </w:p>
        </w:tc>
        <w:tc>
          <w:tcPr>
            <w:tcW w:w="20" w:type="dxa"/>
            <w:vAlign w:val="bottom"/>
          </w:tcPr>
          <w:p w:rsidR="0007071D" w:rsidRDefault="0007071D" w:rsidP="0007071D">
            <w:pPr>
              <w:rPr>
                <w:sz w:val="1"/>
                <w:szCs w:val="1"/>
              </w:rPr>
            </w:pPr>
          </w:p>
        </w:tc>
      </w:tr>
      <w:tr w:rsidR="0007071D" w:rsidTr="0007071D">
        <w:trPr>
          <w:trHeight w:val="244"/>
        </w:trPr>
        <w:tc>
          <w:tcPr>
            <w:tcW w:w="1097" w:type="dxa"/>
            <w:gridSpan w:val="3"/>
            <w:tcBorders>
              <w:bottom w:val="single" w:sz="8" w:space="0" w:color="auto"/>
            </w:tcBorders>
            <w:vAlign w:val="bottom"/>
          </w:tcPr>
          <w:p w:rsidR="0007071D" w:rsidRDefault="0007071D" w:rsidP="0007071D">
            <w:pPr>
              <w:spacing w:line="243" w:lineRule="exact"/>
              <w:ind w:left="120"/>
              <w:rPr>
                <w:sz w:val="20"/>
                <w:szCs w:val="20"/>
              </w:rPr>
            </w:pPr>
            <w:r>
              <w:rPr>
                <w:rFonts w:eastAsia="Times New Roman"/>
                <w:sz w:val="28"/>
                <w:szCs w:val="28"/>
                <w:vertAlign w:val="subscript"/>
              </w:rPr>
              <w:t>6</w:t>
            </w:r>
            <w:r>
              <w:rPr>
                <w:rFonts w:eastAsia="Times New Roman"/>
                <w:sz w:val="11"/>
                <w:szCs w:val="11"/>
              </w:rPr>
              <w:t>ème</w:t>
            </w:r>
          </w:p>
        </w:tc>
        <w:tc>
          <w:tcPr>
            <w:tcW w:w="259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i/>
                <w:iCs/>
                <w:sz w:val="20"/>
                <w:szCs w:val="20"/>
              </w:rPr>
              <w:t>Parkia biglobosa</w:t>
            </w:r>
          </w:p>
        </w:tc>
        <w:tc>
          <w:tcPr>
            <w:tcW w:w="25" w:type="dxa"/>
            <w:tcBorders>
              <w:bottom w:val="single" w:sz="8" w:space="0" w:color="auto"/>
            </w:tcBorders>
            <w:vAlign w:val="bottom"/>
          </w:tcPr>
          <w:p w:rsidR="0007071D" w:rsidRDefault="0007071D" w:rsidP="0007071D">
            <w:pPr>
              <w:rPr>
                <w:sz w:val="21"/>
                <w:szCs w:val="21"/>
              </w:rPr>
            </w:pPr>
          </w:p>
        </w:tc>
        <w:tc>
          <w:tcPr>
            <w:tcW w:w="267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sz w:val="20"/>
                <w:szCs w:val="20"/>
              </w:rPr>
              <w:t>Faroba</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2,06</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1,97</w:t>
            </w:r>
          </w:p>
        </w:tc>
        <w:tc>
          <w:tcPr>
            <w:tcW w:w="1020" w:type="dxa"/>
            <w:gridSpan w:val="4"/>
            <w:tcBorders>
              <w:bottom w:val="single" w:sz="8" w:space="0" w:color="auto"/>
            </w:tcBorders>
            <w:vAlign w:val="bottom"/>
          </w:tcPr>
          <w:p w:rsidR="0007071D" w:rsidRDefault="0007071D" w:rsidP="0007071D">
            <w:pPr>
              <w:spacing w:line="224" w:lineRule="exact"/>
              <w:ind w:right="100"/>
              <w:jc w:val="right"/>
              <w:rPr>
                <w:sz w:val="20"/>
                <w:szCs w:val="20"/>
              </w:rPr>
            </w:pPr>
            <w:r>
              <w:rPr>
                <w:rFonts w:eastAsia="Times New Roman"/>
                <w:sz w:val="20"/>
                <w:szCs w:val="20"/>
              </w:rPr>
              <w:t>1,92</w:t>
            </w:r>
          </w:p>
        </w:tc>
        <w:tc>
          <w:tcPr>
            <w:tcW w:w="20" w:type="dxa"/>
            <w:vAlign w:val="bottom"/>
          </w:tcPr>
          <w:p w:rsidR="0007071D" w:rsidRDefault="0007071D" w:rsidP="0007071D">
            <w:pPr>
              <w:rPr>
                <w:sz w:val="1"/>
                <w:szCs w:val="1"/>
              </w:rPr>
            </w:pPr>
          </w:p>
        </w:tc>
      </w:tr>
      <w:tr w:rsidR="0007071D" w:rsidTr="0007071D">
        <w:trPr>
          <w:trHeight w:val="244"/>
        </w:trPr>
        <w:tc>
          <w:tcPr>
            <w:tcW w:w="1097" w:type="dxa"/>
            <w:gridSpan w:val="3"/>
            <w:tcBorders>
              <w:bottom w:val="single" w:sz="8" w:space="0" w:color="auto"/>
            </w:tcBorders>
            <w:vAlign w:val="bottom"/>
          </w:tcPr>
          <w:p w:rsidR="0007071D" w:rsidRDefault="0007071D" w:rsidP="0007071D">
            <w:pPr>
              <w:spacing w:line="243" w:lineRule="exact"/>
              <w:ind w:left="120"/>
              <w:rPr>
                <w:sz w:val="20"/>
                <w:szCs w:val="20"/>
              </w:rPr>
            </w:pPr>
            <w:r>
              <w:rPr>
                <w:rFonts w:eastAsia="Times New Roman"/>
                <w:sz w:val="28"/>
                <w:szCs w:val="28"/>
                <w:vertAlign w:val="subscript"/>
              </w:rPr>
              <w:t>7</w:t>
            </w:r>
            <w:r>
              <w:rPr>
                <w:rFonts w:eastAsia="Times New Roman"/>
                <w:sz w:val="11"/>
                <w:szCs w:val="11"/>
              </w:rPr>
              <w:t>ème</w:t>
            </w:r>
          </w:p>
        </w:tc>
        <w:tc>
          <w:tcPr>
            <w:tcW w:w="259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i/>
                <w:iCs/>
                <w:sz w:val="20"/>
                <w:szCs w:val="20"/>
              </w:rPr>
              <w:t>Parinari excelsa</w:t>
            </w:r>
          </w:p>
        </w:tc>
        <w:tc>
          <w:tcPr>
            <w:tcW w:w="25" w:type="dxa"/>
            <w:tcBorders>
              <w:bottom w:val="single" w:sz="8" w:space="0" w:color="auto"/>
            </w:tcBorders>
            <w:vAlign w:val="bottom"/>
          </w:tcPr>
          <w:p w:rsidR="0007071D" w:rsidRDefault="0007071D" w:rsidP="0007071D">
            <w:pPr>
              <w:rPr>
                <w:sz w:val="21"/>
                <w:szCs w:val="21"/>
              </w:rPr>
            </w:pPr>
          </w:p>
        </w:tc>
        <w:tc>
          <w:tcPr>
            <w:tcW w:w="267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sz w:val="20"/>
                <w:szCs w:val="20"/>
              </w:rPr>
              <w:t>Mampataz</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1,54</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1,48</w:t>
            </w:r>
          </w:p>
        </w:tc>
        <w:tc>
          <w:tcPr>
            <w:tcW w:w="1020" w:type="dxa"/>
            <w:gridSpan w:val="4"/>
            <w:tcBorders>
              <w:bottom w:val="single" w:sz="8" w:space="0" w:color="auto"/>
            </w:tcBorders>
            <w:vAlign w:val="bottom"/>
          </w:tcPr>
          <w:p w:rsidR="0007071D" w:rsidRDefault="0007071D" w:rsidP="0007071D">
            <w:pPr>
              <w:spacing w:line="224" w:lineRule="exact"/>
              <w:ind w:right="100"/>
              <w:jc w:val="right"/>
              <w:rPr>
                <w:sz w:val="20"/>
                <w:szCs w:val="20"/>
              </w:rPr>
            </w:pPr>
            <w:r>
              <w:rPr>
                <w:rFonts w:eastAsia="Times New Roman"/>
                <w:sz w:val="20"/>
                <w:szCs w:val="20"/>
              </w:rPr>
              <w:t>1,44</w:t>
            </w:r>
          </w:p>
        </w:tc>
        <w:tc>
          <w:tcPr>
            <w:tcW w:w="20" w:type="dxa"/>
            <w:vAlign w:val="bottom"/>
          </w:tcPr>
          <w:p w:rsidR="0007071D" w:rsidRDefault="0007071D" w:rsidP="0007071D">
            <w:pPr>
              <w:rPr>
                <w:sz w:val="1"/>
                <w:szCs w:val="1"/>
              </w:rPr>
            </w:pPr>
          </w:p>
        </w:tc>
      </w:tr>
      <w:tr w:rsidR="0007071D" w:rsidTr="0007071D">
        <w:trPr>
          <w:trHeight w:val="246"/>
        </w:trPr>
        <w:tc>
          <w:tcPr>
            <w:tcW w:w="1097" w:type="dxa"/>
            <w:gridSpan w:val="3"/>
            <w:tcBorders>
              <w:bottom w:val="single" w:sz="8" w:space="0" w:color="auto"/>
            </w:tcBorders>
            <w:vAlign w:val="bottom"/>
          </w:tcPr>
          <w:p w:rsidR="0007071D" w:rsidRDefault="0007071D" w:rsidP="0007071D">
            <w:pPr>
              <w:spacing w:line="246" w:lineRule="exact"/>
              <w:ind w:left="120"/>
              <w:rPr>
                <w:sz w:val="20"/>
                <w:szCs w:val="20"/>
              </w:rPr>
            </w:pPr>
            <w:r>
              <w:rPr>
                <w:rFonts w:eastAsia="Times New Roman"/>
                <w:sz w:val="28"/>
                <w:szCs w:val="28"/>
                <w:vertAlign w:val="subscript"/>
              </w:rPr>
              <w:t>8</w:t>
            </w:r>
            <w:r>
              <w:rPr>
                <w:rFonts w:eastAsia="Times New Roman"/>
                <w:sz w:val="11"/>
                <w:szCs w:val="11"/>
              </w:rPr>
              <w:t>ème</w:t>
            </w:r>
          </w:p>
        </w:tc>
        <w:tc>
          <w:tcPr>
            <w:tcW w:w="259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i/>
                <w:iCs/>
                <w:sz w:val="20"/>
                <w:szCs w:val="20"/>
              </w:rPr>
              <w:t>Chlorophora regia</w:t>
            </w:r>
          </w:p>
        </w:tc>
        <w:tc>
          <w:tcPr>
            <w:tcW w:w="25" w:type="dxa"/>
            <w:tcBorders>
              <w:bottom w:val="single" w:sz="8" w:space="0" w:color="auto"/>
            </w:tcBorders>
            <w:vAlign w:val="bottom"/>
          </w:tcPr>
          <w:p w:rsidR="0007071D" w:rsidRDefault="0007071D" w:rsidP="0007071D">
            <w:pPr>
              <w:rPr>
                <w:sz w:val="21"/>
                <w:szCs w:val="21"/>
              </w:rPr>
            </w:pPr>
          </w:p>
        </w:tc>
        <w:tc>
          <w:tcPr>
            <w:tcW w:w="267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sz w:val="20"/>
                <w:szCs w:val="20"/>
              </w:rPr>
              <w:t>Pau- bicho-preto</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1,03</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0,98</w:t>
            </w:r>
          </w:p>
        </w:tc>
        <w:tc>
          <w:tcPr>
            <w:tcW w:w="1020" w:type="dxa"/>
            <w:gridSpan w:val="4"/>
            <w:tcBorders>
              <w:bottom w:val="single" w:sz="8" w:space="0" w:color="auto"/>
            </w:tcBorders>
            <w:vAlign w:val="bottom"/>
          </w:tcPr>
          <w:p w:rsidR="0007071D" w:rsidRDefault="0007071D" w:rsidP="0007071D">
            <w:pPr>
              <w:spacing w:line="226" w:lineRule="exact"/>
              <w:ind w:right="100"/>
              <w:jc w:val="right"/>
              <w:rPr>
                <w:sz w:val="20"/>
                <w:szCs w:val="20"/>
              </w:rPr>
            </w:pPr>
            <w:r>
              <w:rPr>
                <w:rFonts w:eastAsia="Times New Roman"/>
                <w:sz w:val="20"/>
                <w:szCs w:val="20"/>
              </w:rPr>
              <w:t>0,96</w:t>
            </w:r>
          </w:p>
        </w:tc>
        <w:tc>
          <w:tcPr>
            <w:tcW w:w="20" w:type="dxa"/>
            <w:vAlign w:val="bottom"/>
          </w:tcPr>
          <w:p w:rsidR="0007071D" w:rsidRDefault="0007071D" w:rsidP="0007071D">
            <w:pPr>
              <w:rPr>
                <w:sz w:val="1"/>
                <w:szCs w:val="1"/>
              </w:rPr>
            </w:pPr>
          </w:p>
        </w:tc>
      </w:tr>
      <w:tr w:rsidR="0007071D" w:rsidTr="0007071D">
        <w:trPr>
          <w:trHeight w:val="268"/>
        </w:trPr>
        <w:tc>
          <w:tcPr>
            <w:tcW w:w="1097" w:type="dxa"/>
            <w:gridSpan w:val="3"/>
            <w:tcBorders>
              <w:bottom w:val="single" w:sz="8" w:space="0" w:color="auto"/>
            </w:tcBorders>
            <w:vAlign w:val="bottom"/>
          </w:tcPr>
          <w:p w:rsidR="0007071D" w:rsidRDefault="0007071D" w:rsidP="0007071D">
            <w:pPr>
              <w:spacing w:line="245" w:lineRule="exact"/>
              <w:ind w:left="120"/>
              <w:rPr>
                <w:sz w:val="20"/>
                <w:szCs w:val="20"/>
              </w:rPr>
            </w:pPr>
            <w:r>
              <w:rPr>
                <w:rFonts w:eastAsia="Times New Roman"/>
                <w:sz w:val="28"/>
                <w:szCs w:val="28"/>
                <w:vertAlign w:val="subscript"/>
              </w:rPr>
              <w:t>9</w:t>
            </w:r>
            <w:r>
              <w:rPr>
                <w:rFonts w:eastAsia="Times New Roman"/>
                <w:sz w:val="11"/>
                <w:szCs w:val="11"/>
              </w:rPr>
              <w:t>ème</w:t>
            </w:r>
          </w:p>
        </w:tc>
        <w:tc>
          <w:tcPr>
            <w:tcW w:w="259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sz w:val="20"/>
                <w:szCs w:val="20"/>
              </w:rPr>
              <w:t>Inconnu</w:t>
            </w:r>
          </w:p>
        </w:tc>
        <w:tc>
          <w:tcPr>
            <w:tcW w:w="25" w:type="dxa"/>
            <w:tcBorders>
              <w:bottom w:val="single" w:sz="8" w:space="0" w:color="auto"/>
            </w:tcBorders>
            <w:vAlign w:val="bottom"/>
          </w:tcPr>
          <w:p w:rsidR="0007071D" w:rsidRDefault="0007071D" w:rsidP="0007071D">
            <w:pPr>
              <w:rPr>
                <w:sz w:val="21"/>
                <w:szCs w:val="21"/>
              </w:rPr>
            </w:pPr>
          </w:p>
        </w:tc>
        <w:tc>
          <w:tcPr>
            <w:tcW w:w="2679" w:type="dxa"/>
            <w:tcBorders>
              <w:bottom w:val="single" w:sz="8" w:space="0" w:color="auto"/>
            </w:tcBorders>
            <w:vAlign w:val="bottom"/>
          </w:tcPr>
          <w:p w:rsidR="0007071D" w:rsidRDefault="0007071D" w:rsidP="0007071D">
            <w:pPr>
              <w:spacing w:line="224" w:lineRule="exact"/>
              <w:ind w:left="100"/>
              <w:rPr>
                <w:sz w:val="20"/>
                <w:szCs w:val="20"/>
              </w:rPr>
            </w:pPr>
            <w:r>
              <w:rPr>
                <w:rFonts w:eastAsia="Times New Roman"/>
                <w:sz w:val="20"/>
                <w:szCs w:val="20"/>
              </w:rPr>
              <w:t>(la Lodje)</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1,03</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0,98</w:t>
            </w:r>
          </w:p>
        </w:tc>
        <w:tc>
          <w:tcPr>
            <w:tcW w:w="1020" w:type="dxa"/>
            <w:gridSpan w:val="4"/>
            <w:tcBorders>
              <w:bottom w:val="single" w:sz="8" w:space="0" w:color="auto"/>
            </w:tcBorders>
            <w:vAlign w:val="bottom"/>
          </w:tcPr>
          <w:p w:rsidR="0007071D" w:rsidRDefault="0007071D" w:rsidP="0007071D">
            <w:pPr>
              <w:spacing w:line="224" w:lineRule="exact"/>
              <w:ind w:right="100"/>
              <w:jc w:val="right"/>
              <w:rPr>
                <w:sz w:val="20"/>
                <w:szCs w:val="20"/>
              </w:rPr>
            </w:pPr>
            <w:r>
              <w:rPr>
                <w:rFonts w:eastAsia="Times New Roman"/>
                <w:sz w:val="20"/>
                <w:szCs w:val="20"/>
              </w:rPr>
              <w:t>0,96</w:t>
            </w:r>
          </w:p>
        </w:tc>
        <w:tc>
          <w:tcPr>
            <w:tcW w:w="20" w:type="dxa"/>
            <w:vAlign w:val="bottom"/>
          </w:tcPr>
          <w:p w:rsidR="0007071D" w:rsidRDefault="0007071D" w:rsidP="0007071D">
            <w:pPr>
              <w:rPr>
                <w:sz w:val="1"/>
                <w:szCs w:val="1"/>
              </w:rPr>
            </w:pPr>
          </w:p>
        </w:tc>
      </w:tr>
      <w:tr w:rsidR="0007071D" w:rsidTr="0007071D">
        <w:trPr>
          <w:trHeight w:val="266"/>
        </w:trPr>
        <w:tc>
          <w:tcPr>
            <w:tcW w:w="1097" w:type="dxa"/>
            <w:gridSpan w:val="3"/>
            <w:tcBorders>
              <w:bottom w:val="single" w:sz="8" w:space="0" w:color="auto"/>
            </w:tcBorders>
            <w:vAlign w:val="bottom"/>
          </w:tcPr>
          <w:p w:rsidR="0007071D" w:rsidRDefault="0007071D" w:rsidP="0007071D">
            <w:pPr>
              <w:spacing w:line="246" w:lineRule="exact"/>
              <w:ind w:left="120"/>
              <w:rPr>
                <w:sz w:val="20"/>
                <w:szCs w:val="20"/>
              </w:rPr>
            </w:pPr>
            <w:r>
              <w:rPr>
                <w:rFonts w:eastAsia="Times New Roman"/>
                <w:sz w:val="28"/>
                <w:szCs w:val="28"/>
                <w:vertAlign w:val="subscript"/>
              </w:rPr>
              <w:t>10</w:t>
            </w:r>
            <w:r>
              <w:rPr>
                <w:rFonts w:eastAsia="Times New Roman"/>
                <w:sz w:val="11"/>
                <w:szCs w:val="11"/>
              </w:rPr>
              <w:t>ème</w:t>
            </w:r>
          </w:p>
        </w:tc>
        <w:tc>
          <w:tcPr>
            <w:tcW w:w="2599" w:type="dxa"/>
            <w:tcBorders>
              <w:bottom w:val="single" w:sz="8" w:space="0" w:color="auto"/>
            </w:tcBorders>
            <w:vAlign w:val="bottom"/>
          </w:tcPr>
          <w:p w:rsidR="0007071D" w:rsidRDefault="0007071D" w:rsidP="0007071D">
            <w:pPr>
              <w:spacing w:line="219" w:lineRule="exact"/>
              <w:ind w:left="100"/>
              <w:rPr>
                <w:sz w:val="20"/>
                <w:szCs w:val="20"/>
              </w:rPr>
            </w:pPr>
            <w:r>
              <w:rPr>
                <w:rFonts w:eastAsia="Times New Roman"/>
                <w:i/>
                <w:iCs/>
                <w:sz w:val="20"/>
                <w:szCs w:val="20"/>
              </w:rPr>
              <w:t>Sphathodea arborea</w:t>
            </w:r>
          </w:p>
        </w:tc>
        <w:tc>
          <w:tcPr>
            <w:tcW w:w="25" w:type="dxa"/>
            <w:tcBorders>
              <w:bottom w:val="single" w:sz="8" w:space="0" w:color="auto"/>
            </w:tcBorders>
            <w:vAlign w:val="bottom"/>
          </w:tcPr>
          <w:p w:rsidR="0007071D" w:rsidRDefault="0007071D" w:rsidP="0007071D">
            <w:pPr>
              <w:rPr>
                <w:sz w:val="23"/>
                <w:szCs w:val="23"/>
              </w:rPr>
            </w:pPr>
          </w:p>
        </w:tc>
        <w:tc>
          <w:tcPr>
            <w:tcW w:w="2679" w:type="dxa"/>
            <w:tcBorders>
              <w:bottom w:val="single" w:sz="8" w:space="0" w:color="auto"/>
            </w:tcBorders>
            <w:vAlign w:val="bottom"/>
          </w:tcPr>
          <w:p w:rsidR="0007071D" w:rsidRDefault="0007071D" w:rsidP="0007071D">
            <w:pPr>
              <w:spacing w:line="226" w:lineRule="exact"/>
              <w:ind w:left="100"/>
              <w:rPr>
                <w:sz w:val="20"/>
                <w:szCs w:val="20"/>
              </w:rPr>
            </w:pPr>
            <w:r>
              <w:rPr>
                <w:rFonts w:eastAsia="Times New Roman"/>
                <w:sz w:val="20"/>
                <w:szCs w:val="20"/>
              </w:rPr>
              <w:t>Tulipier du Gabon</w:t>
            </w:r>
          </w:p>
        </w:tc>
        <w:tc>
          <w:tcPr>
            <w:tcW w:w="980" w:type="dxa"/>
            <w:gridSpan w:val="3"/>
            <w:tcBorders>
              <w:bottom w:val="single" w:sz="8" w:space="0" w:color="auto"/>
            </w:tcBorders>
            <w:vAlign w:val="bottom"/>
          </w:tcPr>
          <w:p w:rsidR="0007071D" w:rsidRDefault="0007071D" w:rsidP="0007071D">
            <w:pPr>
              <w:jc w:val="right"/>
              <w:rPr>
                <w:sz w:val="20"/>
                <w:szCs w:val="20"/>
              </w:rPr>
            </w:pPr>
            <w:r>
              <w:rPr>
                <w:rFonts w:eastAsia="Times New Roman"/>
                <w:sz w:val="20"/>
                <w:szCs w:val="20"/>
              </w:rPr>
              <w:t>1,03</w:t>
            </w:r>
          </w:p>
        </w:tc>
        <w:tc>
          <w:tcPr>
            <w:tcW w:w="1000" w:type="dxa"/>
            <w:gridSpan w:val="3"/>
            <w:tcBorders>
              <w:bottom w:val="single" w:sz="8" w:space="0" w:color="auto"/>
            </w:tcBorders>
            <w:vAlign w:val="bottom"/>
          </w:tcPr>
          <w:p w:rsidR="0007071D" w:rsidRDefault="0007071D" w:rsidP="0007071D">
            <w:pPr>
              <w:ind w:right="100"/>
              <w:jc w:val="right"/>
              <w:rPr>
                <w:sz w:val="20"/>
                <w:szCs w:val="20"/>
              </w:rPr>
            </w:pPr>
            <w:r>
              <w:rPr>
                <w:rFonts w:eastAsia="Times New Roman"/>
                <w:sz w:val="20"/>
                <w:szCs w:val="20"/>
              </w:rPr>
              <w:t>0,98</w:t>
            </w:r>
          </w:p>
        </w:tc>
        <w:tc>
          <w:tcPr>
            <w:tcW w:w="1020" w:type="dxa"/>
            <w:gridSpan w:val="4"/>
            <w:tcBorders>
              <w:bottom w:val="single" w:sz="8" w:space="0" w:color="auto"/>
            </w:tcBorders>
            <w:vAlign w:val="bottom"/>
          </w:tcPr>
          <w:p w:rsidR="0007071D" w:rsidRDefault="0007071D" w:rsidP="0007071D">
            <w:pPr>
              <w:spacing w:line="226" w:lineRule="exact"/>
              <w:ind w:right="100"/>
              <w:jc w:val="right"/>
              <w:rPr>
                <w:sz w:val="20"/>
                <w:szCs w:val="20"/>
              </w:rPr>
            </w:pPr>
            <w:r>
              <w:rPr>
                <w:rFonts w:eastAsia="Times New Roman"/>
                <w:sz w:val="20"/>
                <w:szCs w:val="20"/>
              </w:rPr>
              <w:t>0,96</w:t>
            </w:r>
          </w:p>
        </w:tc>
        <w:tc>
          <w:tcPr>
            <w:tcW w:w="20" w:type="dxa"/>
            <w:vAlign w:val="bottom"/>
          </w:tcPr>
          <w:p w:rsidR="0007071D" w:rsidRDefault="0007071D" w:rsidP="0007071D">
            <w:pPr>
              <w:rPr>
                <w:sz w:val="1"/>
                <w:szCs w:val="1"/>
              </w:rPr>
            </w:pPr>
          </w:p>
        </w:tc>
      </w:tr>
      <w:tr w:rsidR="0007071D" w:rsidTr="0007071D">
        <w:trPr>
          <w:trHeight w:val="234"/>
        </w:trPr>
        <w:tc>
          <w:tcPr>
            <w:tcW w:w="1097" w:type="dxa"/>
            <w:gridSpan w:val="3"/>
            <w:tcBorders>
              <w:bottom w:val="single" w:sz="8" w:space="0" w:color="auto"/>
            </w:tcBorders>
            <w:vAlign w:val="bottom"/>
          </w:tcPr>
          <w:p w:rsidR="0007071D" w:rsidRDefault="0007071D" w:rsidP="0007071D">
            <w:pPr>
              <w:spacing w:line="208" w:lineRule="exact"/>
              <w:ind w:left="120"/>
              <w:rPr>
                <w:sz w:val="20"/>
                <w:szCs w:val="20"/>
              </w:rPr>
            </w:pPr>
            <w:r>
              <w:rPr>
                <w:rFonts w:eastAsia="Times New Roman"/>
                <w:b/>
                <w:bCs/>
                <w:sz w:val="20"/>
                <w:szCs w:val="20"/>
              </w:rPr>
              <w:t>Restantes</w:t>
            </w:r>
          </w:p>
        </w:tc>
        <w:tc>
          <w:tcPr>
            <w:tcW w:w="2599" w:type="dxa"/>
            <w:tcBorders>
              <w:top w:val="single" w:sz="8" w:space="0" w:color="B3B3B3"/>
              <w:bottom w:val="single" w:sz="8" w:space="0" w:color="auto"/>
            </w:tcBorders>
            <w:shd w:val="clear" w:color="auto" w:fill="B3B3B3"/>
            <w:vAlign w:val="bottom"/>
          </w:tcPr>
          <w:p w:rsidR="0007071D" w:rsidRDefault="0007071D" w:rsidP="0007071D">
            <w:pPr>
              <w:rPr>
                <w:sz w:val="20"/>
                <w:szCs w:val="20"/>
              </w:rPr>
            </w:pPr>
          </w:p>
        </w:tc>
        <w:tc>
          <w:tcPr>
            <w:tcW w:w="25" w:type="dxa"/>
            <w:tcBorders>
              <w:bottom w:val="single" w:sz="8" w:space="0" w:color="auto"/>
            </w:tcBorders>
            <w:vAlign w:val="bottom"/>
          </w:tcPr>
          <w:p w:rsidR="0007071D" w:rsidRDefault="0007071D" w:rsidP="0007071D">
            <w:pPr>
              <w:rPr>
                <w:sz w:val="20"/>
                <w:szCs w:val="20"/>
              </w:rPr>
            </w:pPr>
          </w:p>
        </w:tc>
        <w:tc>
          <w:tcPr>
            <w:tcW w:w="2679" w:type="dxa"/>
            <w:tcBorders>
              <w:top w:val="single" w:sz="8" w:space="0" w:color="B3B3B3"/>
              <w:bottom w:val="single" w:sz="8" w:space="0" w:color="auto"/>
            </w:tcBorders>
            <w:shd w:val="clear" w:color="auto" w:fill="B3B3B3"/>
            <w:vAlign w:val="bottom"/>
          </w:tcPr>
          <w:p w:rsidR="0007071D" w:rsidRDefault="0007071D" w:rsidP="0007071D">
            <w:pPr>
              <w:rPr>
                <w:sz w:val="20"/>
                <w:szCs w:val="20"/>
              </w:rPr>
            </w:pPr>
          </w:p>
        </w:tc>
        <w:tc>
          <w:tcPr>
            <w:tcW w:w="20" w:type="dxa"/>
            <w:tcBorders>
              <w:top w:val="single" w:sz="8" w:space="0" w:color="B3B3B3"/>
              <w:bottom w:val="single" w:sz="8" w:space="0" w:color="auto"/>
            </w:tcBorders>
            <w:vAlign w:val="bottom"/>
          </w:tcPr>
          <w:p w:rsidR="0007071D" w:rsidRDefault="0007071D" w:rsidP="0007071D">
            <w:pPr>
              <w:rPr>
                <w:sz w:val="20"/>
                <w:szCs w:val="20"/>
              </w:rPr>
            </w:pPr>
          </w:p>
        </w:tc>
        <w:tc>
          <w:tcPr>
            <w:tcW w:w="960" w:type="dxa"/>
            <w:gridSpan w:val="2"/>
            <w:tcBorders>
              <w:bottom w:val="single" w:sz="8" w:space="0" w:color="auto"/>
            </w:tcBorders>
            <w:vAlign w:val="bottom"/>
          </w:tcPr>
          <w:p w:rsidR="0007071D" w:rsidRDefault="0007071D" w:rsidP="0007071D">
            <w:pPr>
              <w:spacing w:line="212" w:lineRule="exact"/>
              <w:jc w:val="right"/>
              <w:rPr>
                <w:sz w:val="20"/>
                <w:szCs w:val="20"/>
              </w:rPr>
            </w:pPr>
            <w:r>
              <w:rPr>
                <w:rFonts w:eastAsia="Times New Roman"/>
                <w:sz w:val="20"/>
                <w:szCs w:val="20"/>
              </w:rPr>
              <w:t>27,33</w:t>
            </w:r>
          </w:p>
        </w:tc>
        <w:tc>
          <w:tcPr>
            <w:tcW w:w="1000" w:type="dxa"/>
            <w:gridSpan w:val="3"/>
            <w:tcBorders>
              <w:bottom w:val="single" w:sz="8" w:space="0" w:color="auto"/>
            </w:tcBorders>
            <w:vAlign w:val="bottom"/>
          </w:tcPr>
          <w:p w:rsidR="0007071D" w:rsidRDefault="0007071D" w:rsidP="0007071D">
            <w:pPr>
              <w:spacing w:line="212" w:lineRule="exact"/>
              <w:ind w:right="100"/>
              <w:jc w:val="right"/>
              <w:rPr>
                <w:sz w:val="20"/>
                <w:szCs w:val="20"/>
              </w:rPr>
            </w:pPr>
            <w:r>
              <w:rPr>
                <w:rFonts w:eastAsia="Times New Roman"/>
                <w:sz w:val="20"/>
                <w:szCs w:val="20"/>
              </w:rPr>
              <w:t>27,38</w:t>
            </w:r>
          </w:p>
        </w:tc>
        <w:tc>
          <w:tcPr>
            <w:tcW w:w="1020" w:type="dxa"/>
            <w:gridSpan w:val="4"/>
            <w:tcBorders>
              <w:bottom w:val="single" w:sz="8" w:space="0" w:color="auto"/>
            </w:tcBorders>
            <w:vAlign w:val="bottom"/>
          </w:tcPr>
          <w:p w:rsidR="0007071D" w:rsidRDefault="0007071D" w:rsidP="0007071D">
            <w:pPr>
              <w:spacing w:line="212" w:lineRule="exact"/>
              <w:ind w:right="100"/>
              <w:jc w:val="right"/>
              <w:rPr>
                <w:sz w:val="20"/>
                <w:szCs w:val="20"/>
              </w:rPr>
            </w:pPr>
            <w:r>
              <w:rPr>
                <w:rFonts w:eastAsia="Times New Roman"/>
                <w:sz w:val="20"/>
                <w:szCs w:val="20"/>
              </w:rPr>
              <w:t>25,9</w:t>
            </w:r>
          </w:p>
        </w:tc>
        <w:tc>
          <w:tcPr>
            <w:tcW w:w="20" w:type="dxa"/>
            <w:vAlign w:val="bottom"/>
          </w:tcPr>
          <w:p w:rsidR="0007071D" w:rsidRDefault="0007071D" w:rsidP="0007071D">
            <w:pPr>
              <w:rPr>
                <w:sz w:val="1"/>
                <w:szCs w:val="1"/>
              </w:rPr>
            </w:pPr>
          </w:p>
        </w:tc>
      </w:tr>
      <w:tr w:rsidR="0007071D" w:rsidTr="0007071D">
        <w:trPr>
          <w:trHeight w:val="222"/>
        </w:trPr>
        <w:tc>
          <w:tcPr>
            <w:tcW w:w="1097" w:type="dxa"/>
            <w:gridSpan w:val="3"/>
            <w:vAlign w:val="bottom"/>
          </w:tcPr>
          <w:p w:rsidR="0007071D" w:rsidRDefault="0007071D" w:rsidP="0007071D">
            <w:pPr>
              <w:spacing w:line="219" w:lineRule="exact"/>
              <w:ind w:left="120"/>
              <w:rPr>
                <w:sz w:val="20"/>
                <w:szCs w:val="20"/>
              </w:rPr>
            </w:pPr>
            <w:r>
              <w:rPr>
                <w:rFonts w:eastAsia="Times New Roman"/>
                <w:b/>
                <w:bCs/>
                <w:sz w:val="20"/>
                <w:szCs w:val="20"/>
              </w:rPr>
              <w:t>TOTAL</w:t>
            </w:r>
          </w:p>
        </w:tc>
        <w:tc>
          <w:tcPr>
            <w:tcW w:w="2599" w:type="dxa"/>
            <w:tcBorders>
              <w:top w:val="single" w:sz="8" w:space="0" w:color="B3B3B3"/>
            </w:tcBorders>
            <w:shd w:val="clear" w:color="auto" w:fill="B3B3B3"/>
            <w:vAlign w:val="bottom"/>
          </w:tcPr>
          <w:p w:rsidR="0007071D" w:rsidRDefault="0007071D" w:rsidP="0007071D">
            <w:pPr>
              <w:rPr>
                <w:sz w:val="19"/>
                <w:szCs w:val="19"/>
              </w:rPr>
            </w:pPr>
          </w:p>
        </w:tc>
        <w:tc>
          <w:tcPr>
            <w:tcW w:w="25" w:type="dxa"/>
            <w:vAlign w:val="bottom"/>
          </w:tcPr>
          <w:p w:rsidR="0007071D" w:rsidRDefault="0007071D" w:rsidP="0007071D">
            <w:pPr>
              <w:rPr>
                <w:sz w:val="19"/>
                <w:szCs w:val="19"/>
              </w:rPr>
            </w:pPr>
          </w:p>
        </w:tc>
        <w:tc>
          <w:tcPr>
            <w:tcW w:w="2679" w:type="dxa"/>
            <w:tcBorders>
              <w:top w:val="single" w:sz="8" w:space="0" w:color="B3B3B3"/>
            </w:tcBorders>
            <w:shd w:val="clear" w:color="auto" w:fill="B3B3B3"/>
            <w:vAlign w:val="bottom"/>
          </w:tcPr>
          <w:p w:rsidR="0007071D" w:rsidRDefault="0007071D" w:rsidP="0007071D">
            <w:pPr>
              <w:rPr>
                <w:sz w:val="19"/>
                <w:szCs w:val="19"/>
              </w:rPr>
            </w:pPr>
          </w:p>
        </w:tc>
        <w:tc>
          <w:tcPr>
            <w:tcW w:w="20" w:type="dxa"/>
            <w:tcBorders>
              <w:top w:val="single" w:sz="8" w:space="0" w:color="B3B3B3"/>
            </w:tcBorders>
            <w:vAlign w:val="bottom"/>
          </w:tcPr>
          <w:p w:rsidR="0007071D" w:rsidRDefault="0007071D" w:rsidP="0007071D">
            <w:pPr>
              <w:rPr>
                <w:sz w:val="19"/>
                <w:szCs w:val="19"/>
              </w:rPr>
            </w:pPr>
          </w:p>
        </w:tc>
        <w:tc>
          <w:tcPr>
            <w:tcW w:w="960" w:type="dxa"/>
            <w:gridSpan w:val="2"/>
            <w:vAlign w:val="bottom"/>
          </w:tcPr>
          <w:p w:rsidR="0007071D" w:rsidRDefault="0007071D" w:rsidP="0007071D">
            <w:pPr>
              <w:spacing w:line="223" w:lineRule="exact"/>
              <w:jc w:val="right"/>
              <w:rPr>
                <w:sz w:val="20"/>
                <w:szCs w:val="20"/>
              </w:rPr>
            </w:pPr>
            <w:r>
              <w:rPr>
                <w:rFonts w:eastAsia="Times New Roman"/>
                <w:b/>
                <w:bCs/>
                <w:sz w:val="20"/>
                <w:szCs w:val="20"/>
              </w:rPr>
              <w:t>51</w:t>
            </w:r>
          </w:p>
        </w:tc>
        <w:tc>
          <w:tcPr>
            <w:tcW w:w="1000" w:type="dxa"/>
            <w:gridSpan w:val="3"/>
            <w:vAlign w:val="bottom"/>
          </w:tcPr>
          <w:p w:rsidR="0007071D" w:rsidRDefault="0007071D" w:rsidP="0007071D">
            <w:pPr>
              <w:spacing w:line="223" w:lineRule="exact"/>
              <w:ind w:right="100"/>
              <w:jc w:val="right"/>
              <w:rPr>
                <w:sz w:val="20"/>
                <w:szCs w:val="20"/>
              </w:rPr>
            </w:pPr>
            <w:r>
              <w:rPr>
                <w:rFonts w:eastAsia="Times New Roman"/>
                <w:b/>
                <w:bCs/>
                <w:sz w:val="20"/>
                <w:szCs w:val="20"/>
              </w:rPr>
              <w:t>50</w:t>
            </w:r>
          </w:p>
        </w:tc>
        <w:tc>
          <w:tcPr>
            <w:tcW w:w="1020" w:type="dxa"/>
            <w:gridSpan w:val="4"/>
            <w:vAlign w:val="bottom"/>
          </w:tcPr>
          <w:p w:rsidR="0007071D" w:rsidRDefault="0007071D" w:rsidP="0007071D">
            <w:pPr>
              <w:spacing w:line="223" w:lineRule="exact"/>
              <w:ind w:right="100"/>
              <w:jc w:val="right"/>
              <w:rPr>
                <w:sz w:val="20"/>
                <w:szCs w:val="20"/>
              </w:rPr>
            </w:pPr>
            <w:r>
              <w:rPr>
                <w:rFonts w:eastAsia="Times New Roman"/>
                <w:b/>
                <w:bCs/>
                <w:sz w:val="20"/>
                <w:szCs w:val="20"/>
              </w:rPr>
              <w:t>48</w:t>
            </w:r>
          </w:p>
        </w:tc>
        <w:tc>
          <w:tcPr>
            <w:tcW w:w="20" w:type="dxa"/>
            <w:vAlign w:val="bottom"/>
          </w:tcPr>
          <w:p w:rsidR="0007071D" w:rsidRDefault="0007071D" w:rsidP="0007071D">
            <w:pPr>
              <w:rPr>
                <w:sz w:val="1"/>
                <w:szCs w:val="1"/>
              </w:rPr>
            </w:pPr>
          </w:p>
        </w:tc>
      </w:tr>
    </w:tbl>
    <w:p w:rsidR="0007071D" w:rsidRDefault="0007071D" w:rsidP="003F6CFB">
      <w:pPr>
        <w:tabs>
          <w:tab w:val="left" w:pos="380"/>
        </w:tabs>
        <w:spacing w:line="226" w:lineRule="auto"/>
        <w:ind w:left="-142" w:right="-851"/>
        <w:jc w:val="both"/>
        <w:rPr>
          <w:i/>
          <w:sz w:val="21"/>
          <w:szCs w:val="21"/>
        </w:rPr>
      </w:pPr>
    </w:p>
    <w:p w:rsidR="000516EA" w:rsidRPr="003F6CFB" w:rsidRDefault="003F6CFB" w:rsidP="003F6CFB">
      <w:pPr>
        <w:tabs>
          <w:tab w:val="left" w:pos="380"/>
        </w:tabs>
        <w:spacing w:line="226" w:lineRule="auto"/>
        <w:ind w:left="-142" w:right="-851"/>
        <w:jc w:val="both"/>
        <w:rPr>
          <w:rFonts w:eastAsia="Times New Roman"/>
          <w:b/>
          <w:bCs/>
          <w:i/>
          <w:sz w:val="21"/>
          <w:szCs w:val="21"/>
        </w:rPr>
      </w:pPr>
      <w:r w:rsidRPr="003F6CFB">
        <w:rPr>
          <w:i/>
          <w:sz w:val="21"/>
          <w:szCs w:val="21"/>
        </w:rPr>
        <w:t>Source : évaluation des ressources forestières mondiales 2010 en Guinée Bissau</w:t>
      </w:r>
      <w:r>
        <w:rPr>
          <w:i/>
          <w:sz w:val="21"/>
          <w:szCs w:val="21"/>
        </w:rPr>
        <w:t>, FAO</w:t>
      </w:r>
    </w:p>
    <w:p w:rsidR="00345951" w:rsidRDefault="00345951" w:rsidP="00F74E2F">
      <w:pPr>
        <w:tabs>
          <w:tab w:val="left" w:pos="380"/>
        </w:tabs>
        <w:spacing w:line="226" w:lineRule="auto"/>
        <w:jc w:val="both"/>
        <w:rPr>
          <w:rFonts w:eastAsia="Times New Roman"/>
          <w:sz w:val="20"/>
          <w:szCs w:val="20"/>
        </w:rPr>
      </w:pPr>
    </w:p>
    <w:p w:rsidR="00C51D69" w:rsidRPr="00F74E2F" w:rsidRDefault="00EF1D28" w:rsidP="00F74E2F">
      <w:pPr>
        <w:tabs>
          <w:tab w:val="left" w:pos="380"/>
        </w:tabs>
        <w:spacing w:line="226" w:lineRule="auto"/>
        <w:jc w:val="both"/>
        <w:rPr>
          <w:rFonts w:eastAsia="Times New Roman"/>
        </w:rPr>
      </w:pPr>
      <w:r w:rsidRPr="00F74E2F">
        <w:rPr>
          <w:rFonts w:eastAsia="Times New Roman"/>
        </w:rPr>
        <w:t>Note :</w:t>
      </w:r>
      <w:r w:rsidR="00C51D69" w:rsidRPr="00F74E2F">
        <w:rPr>
          <w:rFonts w:eastAsia="Times New Roman"/>
        </w:rPr>
        <w:t xml:space="preserve"> La position se rapporte au degré d’importance en termes de matériel sur pied. Par ex. la 1</w:t>
      </w:r>
      <w:r w:rsidR="00C51D69" w:rsidRPr="00F74E2F">
        <w:rPr>
          <w:rFonts w:eastAsia="Times New Roman"/>
          <w:vertAlign w:val="superscript"/>
        </w:rPr>
        <w:t>ère</w:t>
      </w:r>
      <w:r w:rsidR="00C51D69" w:rsidRPr="00F74E2F">
        <w:rPr>
          <w:rFonts w:eastAsia="Times New Roman"/>
        </w:rPr>
        <w:t xml:space="preserve"> position correspondra à l’espèce ayant le volume sur pied le plus élevé. L’an 2000 est l’année de référence à utiliser pour définir la liste des espèces et la position de chaque espèce.</w:t>
      </w:r>
    </w:p>
    <w:p w:rsidR="00BF3C58" w:rsidRDefault="00967ADB" w:rsidP="00F74E2F">
      <w:pPr>
        <w:spacing w:before="120" w:after="120"/>
        <w:jc w:val="both"/>
      </w:pPr>
      <w:r w:rsidRPr="00967ADB">
        <w:t>La production du bois et du charbon végétal pour les nécessités énergétiques et domestiques, l’élevage extensif, l'exploitation du bois, la pratique traditionnelle de l'agriculture basée sur le défrichement et les feux de brousses constituent les principales causes de dégradation des forêts au niveau du pays. Ceci démontre la nécessité urgente de comprendre ce phénomène pour pouvoir intervenir au niveau des communautés, car l'intention est de changer les habitudes et les comportements</w:t>
      </w:r>
      <w:r w:rsidR="00E62750">
        <w:t>.</w:t>
      </w:r>
      <w:r w:rsidRPr="00967ADB">
        <w:t xml:space="preserve"> </w:t>
      </w:r>
    </w:p>
    <w:p w:rsidR="000261DD" w:rsidRPr="0018635C" w:rsidRDefault="00315143" w:rsidP="008371D1">
      <w:pPr>
        <w:ind w:left="20"/>
        <w:jc w:val="center"/>
        <w:rPr>
          <w:sz w:val="21"/>
          <w:szCs w:val="21"/>
        </w:rPr>
      </w:pPr>
      <w:bookmarkStart w:id="226" w:name="_Toc75503442"/>
      <w:r w:rsidRPr="0018635C">
        <w:rPr>
          <w:rFonts w:eastAsia="Times New Roman"/>
          <w:b/>
          <w:sz w:val="21"/>
          <w:szCs w:val="21"/>
        </w:rPr>
        <w:t xml:space="preserve">Tableau </w:t>
      </w:r>
      <w:r w:rsidRPr="0018635C">
        <w:rPr>
          <w:rFonts w:eastAsia="Times New Roman"/>
          <w:b/>
          <w:sz w:val="21"/>
          <w:szCs w:val="21"/>
        </w:rPr>
        <w:fldChar w:fldCharType="begin"/>
      </w:r>
      <w:r w:rsidRPr="0018635C">
        <w:rPr>
          <w:rFonts w:eastAsia="Times New Roman"/>
          <w:b/>
          <w:sz w:val="21"/>
          <w:szCs w:val="21"/>
        </w:rPr>
        <w:instrText xml:space="preserve"> </w:instrText>
      </w:r>
      <w:r w:rsidR="006C5620" w:rsidRPr="0018635C">
        <w:rPr>
          <w:rFonts w:eastAsia="Times New Roman"/>
          <w:b/>
          <w:sz w:val="21"/>
          <w:szCs w:val="21"/>
        </w:rPr>
        <w:instrText>SEQ</w:instrText>
      </w:r>
      <w:r w:rsidRPr="0018635C">
        <w:rPr>
          <w:rFonts w:eastAsia="Times New Roman"/>
          <w:b/>
          <w:sz w:val="21"/>
          <w:szCs w:val="21"/>
        </w:rPr>
        <w:instrText xml:space="preserve"> Tableau \* ARABIC </w:instrText>
      </w:r>
      <w:r w:rsidRPr="0018635C">
        <w:rPr>
          <w:rFonts w:eastAsia="Times New Roman"/>
          <w:b/>
          <w:sz w:val="21"/>
          <w:szCs w:val="21"/>
        </w:rPr>
        <w:fldChar w:fldCharType="separate"/>
      </w:r>
      <w:r w:rsidR="00BB7875" w:rsidRPr="0018635C">
        <w:rPr>
          <w:rFonts w:eastAsia="Times New Roman"/>
          <w:b/>
          <w:noProof/>
          <w:sz w:val="21"/>
          <w:szCs w:val="21"/>
        </w:rPr>
        <w:t>8</w:t>
      </w:r>
      <w:r w:rsidRPr="0018635C">
        <w:rPr>
          <w:rFonts w:eastAsia="Times New Roman"/>
          <w:sz w:val="21"/>
          <w:szCs w:val="21"/>
        </w:rPr>
        <w:fldChar w:fldCharType="end"/>
      </w:r>
      <w:r w:rsidRPr="0018635C">
        <w:rPr>
          <w:rFonts w:eastAsia="Times New Roman"/>
          <w:b/>
          <w:sz w:val="21"/>
          <w:szCs w:val="21"/>
        </w:rPr>
        <w:t xml:space="preserve">: </w:t>
      </w:r>
      <w:r w:rsidR="000261DD" w:rsidRPr="0018635C">
        <w:rPr>
          <w:rFonts w:eastAsia="Times New Roman"/>
          <w:sz w:val="21"/>
          <w:szCs w:val="21"/>
        </w:rPr>
        <w:t>Les données concernant le bois de feu</w:t>
      </w:r>
      <w:r w:rsidR="000261DD" w:rsidRPr="007B4A4E">
        <w:rPr>
          <w:rFonts w:eastAsia="Times New Roman"/>
          <w:sz w:val="21"/>
          <w:szCs w:val="21"/>
        </w:rPr>
        <w:t xml:space="preserve"> sont les suivantes (en tonnes) :</w:t>
      </w:r>
      <w:bookmarkEnd w:id="226"/>
    </w:p>
    <w:p w:rsidR="000261DD" w:rsidRDefault="000261DD" w:rsidP="000261DD">
      <w:pPr>
        <w:spacing w:line="266" w:lineRule="exact"/>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00"/>
        <w:gridCol w:w="1660"/>
        <w:gridCol w:w="860"/>
        <w:gridCol w:w="2040"/>
      </w:tblGrid>
      <w:tr w:rsidR="00AE10A8" w:rsidTr="00654E14">
        <w:trPr>
          <w:trHeight w:val="253"/>
          <w:jc w:val="center"/>
        </w:trPr>
        <w:tc>
          <w:tcPr>
            <w:tcW w:w="1600" w:type="dxa"/>
            <w:vAlign w:val="bottom"/>
          </w:tcPr>
          <w:p w:rsidR="00AE10A8" w:rsidRDefault="00AE10A8" w:rsidP="00345951">
            <w:pPr>
              <w:ind w:right="500"/>
              <w:jc w:val="center"/>
              <w:rPr>
                <w:sz w:val="20"/>
                <w:szCs w:val="20"/>
              </w:rPr>
            </w:pPr>
            <w:r>
              <w:rPr>
                <w:rFonts w:eastAsia="Times New Roman"/>
                <w:b/>
                <w:bCs/>
                <w:sz w:val="20"/>
                <w:szCs w:val="20"/>
              </w:rPr>
              <w:t>1990</w:t>
            </w:r>
          </w:p>
        </w:tc>
        <w:tc>
          <w:tcPr>
            <w:tcW w:w="2520" w:type="dxa"/>
            <w:gridSpan w:val="2"/>
            <w:vAlign w:val="bottom"/>
          </w:tcPr>
          <w:p w:rsidR="00AE10A8" w:rsidRDefault="00AE10A8" w:rsidP="00345951">
            <w:pPr>
              <w:jc w:val="center"/>
            </w:pPr>
            <w:r>
              <w:rPr>
                <w:rFonts w:eastAsia="Times New Roman"/>
                <w:b/>
                <w:bCs/>
                <w:sz w:val="20"/>
                <w:szCs w:val="20"/>
              </w:rPr>
              <w:t>2000</w:t>
            </w:r>
          </w:p>
        </w:tc>
        <w:tc>
          <w:tcPr>
            <w:tcW w:w="2040" w:type="dxa"/>
            <w:vAlign w:val="bottom"/>
          </w:tcPr>
          <w:p w:rsidR="00AE10A8" w:rsidRDefault="00AE10A8" w:rsidP="00345951">
            <w:pPr>
              <w:ind w:right="740"/>
              <w:jc w:val="center"/>
              <w:rPr>
                <w:sz w:val="20"/>
                <w:szCs w:val="20"/>
              </w:rPr>
            </w:pPr>
            <w:r>
              <w:rPr>
                <w:rFonts w:eastAsia="Times New Roman"/>
                <w:b/>
                <w:bCs/>
                <w:sz w:val="20"/>
                <w:szCs w:val="20"/>
              </w:rPr>
              <w:t>2005</w:t>
            </w:r>
          </w:p>
        </w:tc>
      </w:tr>
      <w:tr w:rsidR="000261DD" w:rsidTr="008371D1">
        <w:trPr>
          <w:trHeight w:val="20"/>
          <w:jc w:val="center"/>
        </w:trPr>
        <w:tc>
          <w:tcPr>
            <w:tcW w:w="1600" w:type="dxa"/>
            <w:vAlign w:val="bottom"/>
          </w:tcPr>
          <w:p w:rsidR="000261DD" w:rsidRDefault="000261DD" w:rsidP="00345951">
            <w:pPr>
              <w:spacing w:line="20" w:lineRule="exact"/>
              <w:jc w:val="center"/>
              <w:rPr>
                <w:sz w:val="1"/>
                <w:szCs w:val="1"/>
              </w:rPr>
            </w:pPr>
          </w:p>
        </w:tc>
        <w:tc>
          <w:tcPr>
            <w:tcW w:w="1660" w:type="dxa"/>
            <w:vAlign w:val="bottom"/>
          </w:tcPr>
          <w:p w:rsidR="000261DD" w:rsidRDefault="000261DD" w:rsidP="00345951">
            <w:pPr>
              <w:spacing w:line="20" w:lineRule="exact"/>
              <w:jc w:val="center"/>
              <w:rPr>
                <w:sz w:val="1"/>
                <w:szCs w:val="1"/>
              </w:rPr>
            </w:pPr>
          </w:p>
        </w:tc>
        <w:tc>
          <w:tcPr>
            <w:tcW w:w="860" w:type="dxa"/>
            <w:vAlign w:val="bottom"/>
          </w:tcPr>
          <w:p w:rsidR="000261DD" w:rsidRDefault="000261DD" w:rsidP="00345951">
            <w:pPr>
              <w:spacing w:line="20" w:lineRule="exact"/>
              <w:jc w:val="center"/>
              <w:rPr>
                <w:sz w:val="1"/>
                <w:szCs w:val="1"/>
              </w:rPr>
            </w:pPr>
          </w:p>
        </w:tc>
        <w:tc>
          <w:tcPr>
            <w:tcW w:w="2040" w:type="dxa"/>
            <w:vAlign w:val="bottom"/>
          </w:tcPr>
          <w:p w:rsidR="000261DD" w:rsidRDefault="000261DD" w:rsidP="00345951">
            <w:pPr>
              <w:spacing w:line="20" w:lineRule="exact"/>
              <w:jc w:val="center"/>
              <w:rPr>
                <w:sz w:val="1"/>
                <w:szCs w:val="1"/>
              </w:rPr>
            </w:pPr>
          </w:p>
        </w:tc>
      </w:tr>
      <w:tr w:rsidR="00AE10A8" w:rsidTr="00654E14">
        <w:trPr>
          <w:trHeight w:val="228"/>
          <w:jc w:val="center"/>
        </w:trPr>
        <w:tc>
          <w:tcPr>
            <w:tcW w:w="1600" w:type="dxa"/>
            <w:vAlign w:val="bottom"/>
          </w:tcPr>
          <w:p w:rsidR="00AE10A8" w:rsidRDefault="00AE10A8" w:rsidP="00345951">
            <w:pPr>
              <w:spacing w:line="229" w:lineRule="exact"/>
              <w:ind w:right="20"/>
              <w:jc w:val="center"/>
              <w:rPr>
                <w:sz w:val="20"/>
                <w:szCs w:val="20"/>
              </w:rPr>
            </w:pPr>
            <w:r>
              <w:rPr>
                <w:rFonts w:eastAsia="Times New Roman"/>
                <w:sz w:val="20"/>
                <w:szCs w:val="20"/>
              </w:rPr>
              <w:t>30000</w:t>
            </w:r>
          </w:p>
        </w:tc>
        <w:tc>
          <w:tcPr>
            <w:tcW w:w="2520" w:type="dxa"/>
            <w:gridSpan w:val="2"/>
            <w:vAlign w:val="bottom"/>
          </w:tcPr>
          <w:p w:rsidR="00AE10A8" w:rsidRDefault="00AE10A8" w:rsidP="00345951">
            <w:pPr>
              <w:spacing w:line="229" w:lineRule="exact"/>
              <w:ind w:right="20"/>
              <w:jc w:val="center"/>
              <w:rPr>
                <w:sz w:val="20"/>
                <w:szCs w:val="20"/>
              </w:rPr>
            </w:pPr>
            <w:r>
              <w:rPr>
                <w:rFonts w:eastAsia="Times New Roman"/>
                <w:sz w:val="20"/>
                <w:szCs w:val="20"/>
              </w:rPr>
              <w:t>45000</w:t>
            </w:r>
          </w:p>
        </w:tc>
        <w:tc>
          <w:tcPr>
            <w:tcW w:w="2040" w:type="dxa"/>
            <w:vAlign w:val="bottom"/>
          </w:tcPr>
          <w:p w:rsidR="00AE10A8" w:rsidRDefault="00AE10A8" w:rsidP="00345951">
            <w:pPr>
              <w:spacing w:line="229" w:lineRule="exact"/>
              <w:ind w:right="20"/>
              <w:jc w:val="center"/>
              <w:rPr>
                <w:sz w:val="20"/>
                <w:szCs w:val="20"/>
              </w:rPr>
            </w:pPr>
            <w:r>
              <w:rPr>
                <w:rFonts w:eastAsia="Times New Roman"/>
                <w:sz w:val="20"/>
                <w:szCs w:val="20"/>
              </w:rPr>
              <w:t>48000</w:t>
            </w:r>
          </w:p>
        </w:tc>
      </w:tr>
    </w:tbl>
    <w:p w:rsidR="00B975BD" w:rsidRPr="003171E1" w:rsidRDefault="003F6CFB" w:rsidP="0085067F">
      <w:pPr>
        <w:tabs>
          <w:tab w:val="left" w:pos="380"/>
        </w:tabs>
        <w:spacing w:line="226" w:lineRule="auto"/>
        <w:ind w:right="-851"/>
        <w:jc w:val="both"/>
        <w:rPr>
          <w:rFonts w:eastAsia="Times New Roman"/>
          <w:b/>
          <w:bCs/>
          <w:i/>
          <w:sz w:val="21"/>
          <w:szCs w:val="21"/>
        </w:rPr>
      </w:pPr>
      <w:r w:rsidRPr="003F6CFB">
        <w:rPr>
          <w:i/>
          <w:sz w:val="21"/>
          <w:szCs w:val="21"/>
        </w:rPr>
        <w:t>Source : évaluation des ressources forestières mondiales 2010 en Guinée Bissau</w:t>
      </w:r>
      <w:r>
        <w:rPr>
          <w:i/>
          <w:sz w:val="21"/>
          <w:szCs w:val="21"/>
        </w:rPr>
        <w:t>, FAO</w:t>
      </w:r>
    </w:p>
    <w:p w:rsidR="007C0EBB" w:rsidRPr="00A05698" w:rsidRDefault="00BF3C58" w:rsidP="00F74E2F">
      <w:pPr>
        <w:spacing w:before="120" w:after="120"/>
        <w:jc w:val="both"/>
      </w:pPr>
      <w:r>
        <w:t xml:space="preserve">La </w:t>
      </w:r>
      <w:r w:rsidR="00DB04F8" w:rsidRPr="00083B97">
        <w:t>prolifération d’anacardiers et leurs plantations dans les terres les plus fertiles constituent aussi une des causes de déforestation dans le pays. Ces dernières années, ce phénomène est de plus en plus pratique courante. Il faut rappeler que le pays est le 5</w:t>
      </w:r>
      <w:r w:rsidR="00DB04F8" w:rsidRPr="00F1624D">
        <w:t xml:space="preserve">ème </w:t>
      </w:r>
      <w:r w:rsidR="00DB04F8" w:rsidRPr="00083B97">
        <w:t xml:space="preserve">producteur mondial de la noix d’anacardier. A l’heure actuelle, elle est en graduelle augmentation, substituant ainsi les zones qu’autrefois étaient occupées par les cultures de céréales, légumineuses et quelques cultures pérennes. </w:t>
      </w:r>
    </w:p>
    <w:p w:rsidR="007C0EBB" w:rsidRPr="00A05698" w:rsidRDefault="007C0EBB" w:rsidP="00F74E2F">
      <w:pPr>
        <w:spacing w:before="120" w:after="120"/>
        <w:jc w:val="both"/>
      </w:pPr>
      <w:r w:rsidRPr="00A05698">
        <w:t>L’économie forestière est particulièrement importante, principalement pour le maintien de l’équilibre écologique, le développement des activités agricoles et le secteur de l’exportation, afin d’accroître les revenus du pays. Avec des effets directs sur divers secteurs de la vie économique, la sécurité alimentaire et la sécurité de l</w:t>
      </w:r>
      <w:r w:rsidR="00A05714" w:rsidRPr="00A05698">
        <w:t>’</w:t>
      </w:r>
      <w:r w:rsidRPr="00A05698">
        <w:t>environnement, le secteur de Prabis a fait l</w:t>
      </w:r>
      <w:r w:rsidR="00A05714" w:rsidRPr="00A05698">
        <w:t>’</w:t>
      </w:r>
      <w:r w:rsidRPr="00A05698">
        <w:t>objet d</w:t>
      </w:r>
      <w:r w:rsidR="00A05714" w:rsidRPr="00A05698">
        <w:t>’</w:t>
      </w:r>
      <w:r w:rsidRPr="00A05698">
        <w:t>une attention particulière de la part des autorités gouvernementales et parlementaires.</w:t>
      </w:r>
    </w:p>
    <w:p w:rsidR="007C0EBB" w:rsidRDefault="007C0EBB" w:rsidP="00F74E2F">
      <w:pPr>
        <w:spacing w:before="120"/>
        <w:jc w:val="both"/>
      </w:pPr>
      <w:r w:rsidRPr="00A05698">
        <w:t>Les mangroves constituent un écosystème essentiel de la Guinée Bissau. Il est extrêmement difficile de se faire une opinion exacte sur l’évolution des superficies de mangroves. Elles couvraient selon les estimations, 476 000 ha en 1940, 347 000 à 206 250 ha dans les années 80, et 315 000 à 210 000 ha dans la décennie 2000. On note que la fourchette haute diminue de 9% alors que la fourchette basse ne varie presque pas. Le calcul d’une tendance 1940-</w:t>
      </w:r>
      <w:r w:rsidRPr="00A05698">
        <w:lastRenderedPageBreak/>
        <w:t>2007, qu’il faut interpréter avec beaucoup de prudence, induit l’hypothèse d’une décroissance des superficies en mangrove de près de 3600 ha entre chacune des observations (IBAP, 2008).</w:t>
      </w:r>
    </w:p>
    <w:p w:rsidR="004160F3" w:rsidRDefault="004160F3" w:rsidP="00F74E2F">
      <w:pPr>
        <w:spacing w:before="120"/>
        <w:jc w:val="both"/>
      </w:pPr>
      <w:r w:rsidRPr="00A25250">
        <w:t xml:space="preserve">La coupe de la mangrove pour la construction et le fumage du poisson dans les zones nord et sud constituent aussi un des facteurs de déforestation de cet écosystème très précieux du point de vue de la biodiversité et de la séquestration du carbone </w:t>
      </w:r>
    </w:p>
    <w:p w:rsidR="00C82A31" w:rsidRPr="00A05698" w:rsidRDefault="00C82A31" w:rsidP="00F74E2F">
      <w:pPr>
        <w:spacing w:before="120" w:after="120"/>
        <w:jc w:val="both"/>
      </w:pPr>
      <w:r>
        <w:t>Dans la Figure 9</w:t>
      </w:r>
      <w:r w:rsidRPr="00A05698">
        <w:t xml:space="preserve"> ci-dessous qui suit et présentée la Carte d’occupation des sols de la Guinée-Bissau, produite dans le cadre du Projet CARBOVEG-GB, basée sur la classification des images satellite Landsat TM.</w:t>
      </w:r>
    </w:p>
    <w:p w:rsidR="00C82A31" w:rsidRPr="00A05698" w:rsidRDefault="00C82A31" w:rsidP="00C82A31">
      <w:pPr>
        <w:autoSpaceDE w:val="0"/>
        <w:autoSpaceDN w:val="0"/>
        <w:adjustRightInd w:val="0"/>
        <w:jc w:val="both"/>
        <w:rPr>
          <w:rFonts w:eastAsia="Calibri"/>
          <w:sz w:val="18"/>
          <w:szCs w:val="18"/>
        </w:rPr>
      </w:pPr>
      <w:r>
        <w:rPr>
          <w:noProof/>
          <w:lang w:val="pt-PT" w:eastAsia="pt-PT"/>
        </w:rPr>
        <w:drawing>
          <wp:inline distT="0" distB="0" distL="0" distR="0" wp14:anchorId="7C081E63" wp14:editId="0023635B">
            <wp:extent cx="5747790" cy="31667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71431" cy="3179770"/>
                    </a:xfrm>
                    <a:prstGeom prst="rect">
                      <a:avLst/>
                    </a:prstGeom>
                  </pic:spPr>
                </pic:pic>
              </a:graphicData>
            </a:graphic>
          </wp:inline>
        </w:drawing>
      </w:r>
    </w:p>
    <w:p w:rsidR="00C82A31" w:rsidRPr="00A05698" w:rsidRDefault="00C82A31" w:rsidP="00C82A31">
      <w:pPr>
        <w:autoSpaceDE w:val="0"/>
        <w:autoSpaceDN w:val="0"/>
        <w:adjustRightInd w:val="0"/>
        <w:jc w:val="center"/>
        <w:rPr>
          <w:b/>
          <w:sz w:val="18"/>
          <w:szCs w:val="18"/>
        </w:rPr>
      </w:pPr>
      <w:bookmarkStart w:id="227" w:name="_Toc75433070"/>
      <w:r w:rsidRPr="00A05698">
        <w:rPr>
          <w:b/>
          <w:sz w:val="18"/>
          <w:szCs w:val="18"/>
        </w:rPr>
        <w:t xml:space="preserve">Figure </w:t>
      </w:r>
      <w:r w:rsidRPr="00A05698">
        <w:rPr>
          <w:b/>
          <w:sz w:val="18"/>
          <w:szCs w:val="18"/>
        </w:rPr>
        <w:fldChar w:fldCharType="begin"/>
      </w:r>
      <w:r w:rsidRPr="00A05698">
        <w:rPr>
          <w:b/>
          <w:sz w:val="18"/>
          <w:szCs w:val="18"/>
        </w:rPr>
        <w:instrText xml:space="preserve"> </w:instrText>
      </w:r>
      <w:r w:rsidR="006C5620">
        <w:rPr>
          <w:b/>
          <w:sz w:val="18"/>
          <w:szCs w:val="18"/>
        </w:rPr>
        <w:instrText>SEQ</w:instrText>
      </w:r>
      <w:r w:rsidRPr="00A05698">
        <w:rPr>
          <w:b/>
          <w:sz w:val="18"/>
          <w:szCs w:val="18"/>
        </w:rPr>
        <w:instrText xml:space="preserve"> Figure \* ARABIC </w:instrText>
      </w:r>
      <w:r w:rsidRPr="00A05698">
        <w:rPr>
          <w:b/>
          <w:sz w:val="18"/>
          <w:szCs w:val="18"/>
        </w:rPr>
        <w:fldChar w:fldCharType="separate"/>
      </w:r>
      <w:r w:rsidR="00BE0248">
        <w:rPr>
          <w:b/>
          <w:noProof/>
          <w:sz w:val="18"/>
          <w:szCs w:val="18"/>
        </w:rPr>
        <w:t>5</w:t>
      </w:r>
      <w:r w:rsidRPr="00A05698">
        <w:rPr>
          <w:b/>
          <w:sz w:val="18"/>
          <w:szCs w:val="18"/>
        </w:rPr>
        <w:fldChar w:fldCharType="end"/>
      </w:r>
      <w:r w:rsidRPr="00A05698">
        <w:rPr>
          <w:b/>
          <w:sz w:val="18"/>
          <w:szCs w:val="18"/>
        </w:rPr>
        <w:t> : Carte d’occupation des sols de la Guinée-Bissau</w:t>
      </w:r>
      <w:bookmarkEnd w:id="227"/>
    </w:p>
    <w:p w:rsidR="00C82A31" w:rsidRPr="003171E1" w:rsidRDefault="00C82A31" w:rsidP="003171E1">
      <w:pPr>
        <w:autoSpaceDE w:val="0"/>
        <w:autoSpaceDN w:val="0"/>
        <w:adjustRightInd w:val="0"/>
        <w:jc w:val="center"/>
        <w:rPr>
          <w:rFonts w:eastAsia="Calibri"/>
          <w:i/>
          <w:iCs/>
          <w:sz w:val="20"/>
          <w:szCs w:val="20"/>
        </w:rPr>
      </w:pPr>
      <w:r w:rsidRPr="00A05698">
        <w:rPr>
          <w:i/>
          <w:iCs/>
          <w:sz w:val="20"/>
          <w:szCs w:val="20"/>
        </w:rPr>
        <w:t>Source : Document de Politique Nationale de Développement Forestier de Guinée Bissau (juillet 2012)</w:t>
      </w:r>
    </w:p>
    <w:p w:rsidR="007C0EBB" w:rsidRPr="00A05698" w:rsidRDefault="007C0EBB" w:rsidP="003C76AE">
      <w:pPr>
        <w:pStyle w:val="PargrafodaLista"/>
        <w:numPr>
          <w:ilvl w:val="0"/>
          <w:numId w:val="30"/>
        </w:numPr>
        <w:spacing w:before="100" w:beforeAutospacing="1" w:after="0" w:line="240" w:lineRule="auto"/>
        <w:jc w:val="both"/>
        <w:rPr>
          <w:rFonts w:ascii="Times New Roman" w:eastAsia="Times New Roman" w:hAnsi="Times New Roman"/>
          <w:color w:val="000000"/>
          <w:sz w:val="24"/>
          <w:szCs w:val="24"/>
        </w:rPr>
      </w:pPr>
      <w:r w:rsidRPr="00A05698">
        <w:rPr>
          <w:rFonts w:ascii="Times New Roman" w:hAnsi="Times New Roman"/>
          <w:b/>
          <w:sz w:val="24"/>
          <w:szCs w:val="24"/>
        </w:rPr>
        <w:t>La faune</w:t>
      </w:r>
    </w:p>
    <w:p w:rsidR="007C0EBB" w:rsidRPr="00A05698" w:rsidRDefault="007C0EBB" w:rsidP="00F74E2F">
      <w:pPr>
        <w:spacing w:before="120" w:after="120"/>
        <w:jc w:val="both"/>
      </w:pPr>
      <w:r w:rsidRPr="00A05698">
        <w:t>La faune sauvage et ses habitats jouent toujours le rôle essentiel dans la vie journalière des populations africaines, tant au niveau alimentaire qu’au niveau socioculturel. La chasse traditionnelle, les danses, les masques, les totems et tabous, les cérémonies d’initiation sont des exemples où la faune sauvage intervient en Guinée Bissau.</w:t>
      </w:r>
    </w:p>
    <w:p w:rsidR="007D1D36" w:rsidRPr="00B172DC" w:rsidRDefault="007D1D36" w:rsidP="00F74E2F">
      <w:pPr>
        <w:spacing w:before="120" w:after="120"/>
        <w:jc w:val="both"/>
      </w:pPr>
      <w:r w:rsidRPr="00B172DC">
        <w:t>L’inventaire quantitatif de la faune au niveau national réalisé par DGFC/UICN (1989), révèle la présence d’une importante diversité de mammifères. Le résultat de cet inventaire indique l’existence de 64 espèces de mammifères en Guinée-Bissau (11 espèces de primates, 2 de polidotes, 9 de rongeurs ; 21 de carnivores, 1 de “tubulidentés”, 1 de sérénides, des ongulés) ; 374 espèces d’oiseaux et 39 espèces de reptiles. L’absence des espèces de grande portée est assez notoire (éléphants, buffles, lions, “sim sim”, “boca branco”, etc.). Les zones côtières présentent des caractéristiques spéciales en termes de diversité génétique et servent de pôle de la concentration des oiseaux migrateurs.</w:t>
      </w:r>
    </w:p>
    <w:p w:rsidR="007C0EBB" w:rsidRPr="00A05698" w:rsidRDefault="007C0EBB" w:rsidP="00F74E2F">
      <w:pPr>
        <w:spacing w:before="120" w:after="120"/>
        <w:jc w:val="both"/>
      </w:pPr>
      <w:r w:rsidRPr="00A05698">
        <w:t>La dégradation de la couverture forestière actuellement affecte énormément la forme de la diversité biologique des écosystèmes forestiers. De plus avec la prolifération des clubs de chasse, il y a toute une nécessité d’actualiser un inventaire faunistique pour ne pas continuer à autoriser la chasse sans une connaissance préalable des conditions des espèces en place et de leur niveau de vulnérabilité.</w:t>
      </w:r>
    </w:p>
    <w:p w:rsidR="007C0EBB" w:rsidRPr="00A05698" w:rsidRDefault="007C0EBB" w:rsidP="00F74E2F">
      <w:pPr>
        <w:spacing w:before="120" w:after="120"/>
        <w:jc w:val="both"/>
      </w:pPr>
      <w:r w:rsidRPr="00A05698">
        <w:lastRenderedPageBreak/>
        <w:t>Un autre phénomène d’envergure à signaler est l’installation de nouveaux villages dans les couloirs d’immigration des grands mammifères. Ces installations anarchiques contribuent à éloigner les éléphants dont le nombre a diminué. Il faut développer des stratégies pour décourager ces pratiques. Le problème c’est que ces mêmes communautés ont participé à l’identification et à la délimitation de ces couloirs.</w:t>
      </w:r>
    </w:p>
    <w:p w:rsidR="007C0EBB" w:rsidRPr="00A05698" w:rsidRDefault="007C0EBB" w:rsidP="00F74E2F">
      <w:pPr>
        <w:spacing w:before="120" w:after="120"/>
        <w:jc w:val="both"/>
      </w:pPr>
      <w:r w:rsidRPr="00A05698">
        <w:t>La chasse nationale et celle des étrangers résidents sont, par exemple, peu organisées et peu suivies avec un non-respect des contrats d’abattage. Le constat actuel est à une grande diminution des visites étrangères et à la fermeture de plusieurs campements de chasse.</w:t>
      </w:r>
    </w:p>
    <w:p w:rsidR="007C0EBB" w:rsidRPr="00A05698" w:rsidRDefault="003F1D52" w:rsidP="00E058CB">
      <w:pPr>
        <w:pStyle w:val="PargrafodaLista"/>
        <w:keepNext/>
        <w:spacing w:before="240" w:after="0" w:line="240" w:lineRule="auto"/>
        <w:ind w:left="1158" w:right="284" w:firstLine="258"/>
        <w:jc w:val="both"/>
        <w:outlineLvl w:val="2"/>
        <w:rPr>
          <w:rFonts w:ascii="Times New Roman" w:hAnsi="Times New Roman"/>
          <w:b/>
          <w:sz w:val="24"/>
          <w:szCs w:val="24"/>
        </w:rPr>
      </w:pPr>
      <w:bookmarkStart w:id="228" w:name="_Toc535396932"/>
      <w:bookmarkStart w:id="229" w:name="_Toc6310472"/>
      <w:bookmarkStart w:id="230" w:name="_Toc51084441"/>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2</w:t>
      </w:r>
      <w:r w:rsidR="007C0EBB" w:rsidRPr="00A05698">
        <w:rPr>
          <w:rFonts w:ascii="Times New Roman" w:hAnsi="Times New Roman"/>
          <w:b/>
          <w:sz w:val="24"/>
          <w:szCs w:val="24"/>
        </w:rPr>
        <w:t>.9. Les aires protégées</w:t>
      </w:r>
      <w:bookmarkEnd w:id="228"/>
      <w:bookmarkEnd w:id="229"/>
      <w:bookmarkEnd w:id="230"/>
      <w:r w:rsidR="007C0EBB" w:rsidRPr="00A05698">
        <w:rPr>
          <w:rFonts w:ascii="Times New Roman" w:hAnsi="Times New Roman"/>
          <w:b/>
          <w:sz w:val="24"/>
          <w:szCs w:val="24"/>
        </w:rPr>
        <w:t xml:space="preserve"> </w:t>
      </w:r>
    </w:p>
    <w:p w:rsidR="005C302E" w:rsidRPr="005C302E" w:rsidRDefault="00A57DCB" w:rsidP="00C53A12">
      <w:pPr>
        <w:spacing w:before="120" w:after="120"/>
        <w:jc w:val="both"/>
      </w:pPr>
      <w:r w:rsidRPr="00A05698">
        <w:t>En Guinée</w:t>
      </w:r>
      <w:r w:rsidR="007C0EBB" w:rsidRPr="00A05698">
        <w:t>-</w:t>
      </w:r>
      <w:r w:rsidR="00955B8D" w:rsidRPr="00A05698">
        <w:t xml:space="preserve">Bissau, </w:t>
      </w:r>
      <w:r w:rsidR="00E058CB" w:rsidRPr="00A05698">
        <w:t>il existe un</w:t>
      </w:r>
      <w:r w:rsidR="007C0EBB" w:rsidRPr="00A05698">
        <w:t xml:space="preserve">  réseau  composé </w:t>
      </w:r>
      <w:r w:rsidR="005C302E" w:rsidRPr="005C302E">
        <w:t>de huit (8) parcs nationaux et parcs naturels (catégorie II2 de l'UICN), trois (3) corridors écologiques, une (1) réserve de biosphère, quatre (4) sites Ramsar (dans le cadre de la Convention de Convention de Ramsar) et 104 forêts communautaires.</w:t>
      </w:r>
    </w:p>
    <w:p w:rsidR="007C0EBB" w:rsidRDefault="005C302E" w:rsidP="00C53A12">
      <w:pPr>
        <w:spacing w:before="120" w:after="120"/>
        <w:jc w:val="both"/>
      </w:pPr>
      <w:r w:rsidRPr="005C302E">
        <w:t xml:space="preserve">Parmi ces parcs et corridors on peut citer </w:t>
      </w:r>
      <w:r w:rsidR="00A57DCB" w:rsidRPr="005C302E">
        <w:t>quelques-uns</w:t>
      </w:r>
      <w:r w:rsidRPr="005C302E">
        <w:t xml:space="preserve"> comme :</w:t>
      </w:r>
      <w:r w:rsidR="00EF1F8F">
        <w:t xml:space="preserve"> </w:t>
      </w:r>
      <w:r w:rsidRPr="005C302E">
        <w:rPr>
          <w:bCs/>
        </w:rPr>
        <w:t>le parc National d’Orango, situé au Sud de l´Archipel des Bijagos,</w:t>
      </w:r>
      <w:r w:rsidR="00EF1F8F">
        <w:rPr>
          <w:bCs/>
        </w:rPr>
        <w:t xml:space="preserve"> </w:t>
      </w:r>
      <w:r w:rsidRPr="005C302E">
        <w:rPr>
          <w:bCs/>
        </w:rPr>
        <w:t>le parc Naturel des « Tarrafes » do Rio Cacheu, situé au Nord–ouest du pays, le Parc Naturel des Lacs de Cufada, situé dans la partie sud du pays, le parc National João-Vieira Poilão situé au Sud-est de l’Archipel des Bijagos,</w:t>
      </w:r>
      <w:r w:rsidR="00EF1F8F">
        <w:t xml:space="preserve"> </w:t>
      </w:r>
      <w:r w:rsidRPr="005C302E">
        <w:rPr>
          <w:bCs/>
        </w:rPr>
        <w:t>l’aire Marine Protégée Communautaire</w:t>
      </w:r>
      <w:r w:rsidRPr="005C302E">
        <w:t xml:space="preserve"> des Îles Formosa située au </w:t>
      </w:r>
      <w:r w:rsidR="00EF1F8F">
        <w:t xml:space="preserve">Nord de l´Archipel des Bijagós, </w:t>
      </w:r>
      <w:r w:rsidRPr="005C302E">
        <w:t>le Parc National des Matas de Canta</w:t>
      </w:r>
      <w:r w:rsidR="00EF1F8F">
        <w:t xml:space="preserve">nhez situé au Sud-ouest du pays, les </w:t>
      </w:r>
      <w:r w:rsidRPr="005C302E">
        <w:t>Corredors écologiques de Tchetche, Salifo-Xitole et Cuntabane-Quebo (loi nº11/2017 – aires protégées_Complexe Dulombi-Boé-Tchetche).</w:t>
      </w:r>
      <w:r w:rsidR="001744C6">
        <w:t xml:space="preserve"> (</w:t>
      </w:r>
      <w:r w:rsidR="00345951">
        <w:t>Source</w:t>
      </w:r>
      <w:r w:rsidR="001744C6">
        <w:t xml:space="preserve"> IBAP, 2020)</w:t>
      </w:r>
    </w:p>
    <w:p w:rsidR="00914B4C" w:rsidRPr="00914B4C" w:rsidRDefault="00914B4C" w:rsidP="00C53A12">
      <w:pPr>
        <w:spacing w:before="120" w:after="120"/>
        <w:jc w:val="both"/>
      </w:pPr>
      <w:r w:rsidRPr="00914B4C">
        <w:t xml:space="preserve">La démographie consiste l’une des problèmes majeurs </w:t>
      </w:r>
      <w:r w:rsidR="00391EA0">
        <w:t>p</w:t>
      </w:r>
      <w:r w:rsidRPr="00914B4C">
        <w:t>ar l’accroissement de la population dû à des mouvements locaux, notamment suite aux conflits des années passées. Cela a provoqué la création de nouveaux villages autour des aires protégées. Il y a eu aussi une multiplication des infrastructures et des campements touristiques dans certaines régions. Ainsi, ce</w:t>
      </w:r>
      <w:r w:rsidR="00391EA0">
        <w:t>tte</w:t>
      </w:r>
      <w:r w:rsidRPr="00914B4C">
        <w:t xml:space="preserve"> situation se caractérise par le risque de disparition de couloirs de migration.</w:t>
      </w:r>
    </w:p>
    <w:p w:rsidR="00315143" w:rsidRDefault="00914B4C" w:rsidP="00C53A12">
      <w:pPr>
        <w:spacing w:before="120" w:after="120"/>
        <w:jc w:val="both"/>
      </w:pPr>
      <w:r w:rsidRPr="00914B4C">
        <w:t>La déforestation est surtout un problème à noter dans plusieurs régions car l’agriculture itinérante, les fermes agricoles (anacardiers surtout), la fabrication des pirogues, le braconnage, la production de charbon, et l’exploitation de rônier sont autant de facteurs de déforestation des aires protégées.</w:t>
      </w:r>
      <w:bookmarkStart w:id="231" w:name="_Toc535396934"/>
      <w:bookmarkStart w:id="232" w:name="_Toc6310474"/>
      <w:bookmarkStart w:id="233" w:name="_Toc51084442"/>
    </w:p>
    <w:p w:rsidR="008D3328" w:rsidRPr="00A05698" w:rsidRDefault="008D3328" w:rsidP="00345951">
      <w:pPr>
        <w:pStyle w:val="Primeiroavanodecorpodetexto2"/>
        <w:spacing w:line="240" w:lineRule="auto"/>
        <w:ind w:left="0" w:firstLine="0"/>
        <w:rPr>
          <w:rFonts w:ascii="Times New Roman" w:hAnsi="Times New Roman"/>
          <w:sz w:val="24"/>
          <w:szCs w:val="24"/>
        </w:rPr>
      </w:pPr>
      <w:r w:rsidRPr="00A05698">
        <w:rPr>
          <w:noProof/>
          <w:lang w:val="pt-PT" w:eastAsia="pt-PT"/>
        </w:rPr>
        <w:lastRenderedPageBreak/>
        <w:drawing>
          <wp:anchor distT="0" distB="0" distL="114300" distR="114300" simplePos="0" relativeHeight="251660373" behindDoc="0" locked="0" layoutInCell="1" allowOverlap="1" wp14:anchorId="5A201C6E" wp14:editId="7C397AC3">
            <wp:simplePos x="0" y="0"/>
            <wp:positionH relativeFrom="column">
              <wp:posOffset>-43815</wp:posOffset>
            </wp:positionH>
            <wp:positionV relativeFrom="paragraph">
              <wp:posOffset>344805</wp:posOffset>
            </wp:positionV>
            <wp:extent cx="6090920" cy="4114800"/>
            <wp:effectExtent l="25400" t="25400" r="30480" b="25400"/>
            <wp:wrapTight wrapText="bothSides">
              <wp:wrapPolygon edited="0">
                <wp:start x="-90" y="-133"/>
                <wp:lineTo x="-90" y="21600"/>
                <wp:lineTo x="21618" y="21600"/>
                <wp:lineTo x="21618" y="-133"/>
                <wp:lineTo x="-90" y="-133"/>
              </wp:wrapPolygon>
            </wp:wrapTight>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val="0"/>
                        </a:ext>
                      </a:extLst>
                    </a:blip>
                    <a:stretch>
                      <a:fillRect/>
                    </a:stretch>
                  </pic:blipFill>
                  <pic:spPr>
                    <a:xfrm>
                      <a:off x="0" y="0"/>
                      <a:ext cx="6090920" cy="4114800"/>
                    </a:xfrm>
                    <a:prstGeom prst="rect">
                      <a:avLst/>
                    </a:prstGeom>
                    <a:ln>
                      <a:solidFill>
                        <a:schemeClr val="accent1"/>
                      </a:solid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A05698">
        <w:rPr>
          <w:rFonts w:ascii="Times New Roman" w:hAnsi="Times New Roman"/>
          <w:sz w:val="24"/>
          <w:szCs w:val="24"/>
        </w:rPr>
        <w:t xml:space="preserve">Les Aires protégées du pays </w:t>
      </w:r>
      <w:r>
        <w:rPr>
          <w:rFonts w:ascii="Times New Roman" w:hAnsi="Times New Roman"/>
          <w:sz w:val="24"/>
          <w:szCs w:val="24"/>
        </w:rPr>
        <w:t>s</w:t>
      </w:r>
      <w:r w:rsidR="00A57DCB">
        <w:rPr>
          <w:rFonts w:ascii="Times New Roman" w:hAnsi="Times New Roman"/>
          <w:sz w:val="24"/>
          <w:szCs w:val="24"/>
        </w:rPr>
        <w:t>ont présentées dans la figure 6</w:t>
      </w:r>
      <w:r w:rsidRPr="00A05698">
        <w:rPr>
          <w:rFonts w:ascii="Times New Roman" w:hAnsi="Times New Roman"/>
          <w:sz w:val="24"/>
          <w:szCs w:val="24"/>
        </w:rPr>
        <w:t xml:space="preserve"> ci-dessous.</w:t>
      </w:r>
    </w:p>
    <w:p w:rsidR="008D3328" w:rsidRDefault="008D3328" w:rsidP="008D3328">
      <w:pPr>
        <w:pStyle w:val="Legenda"/>
        <w:jc w:val="center"/>
        <w:rPr>
          <w:rFonts w:eastAsia="Times New Roman"/>
        </w:rPr>
      </w:pPr>
      <w:bookmarkStart w:id="234" w:name="_Toc4770178"/>
      <w:bookmarkStart w:id="235" w:name="_Toc34921337"/>
      <w:bookmarkStart w:id="236" w:name="_Toc63695939"/>
      <w:bookmarkStart w:id="237" w:name="_Toc75433071"/>
      <w:r w:rsidRPr="00A05698">
        <w:t xml:space="preserve">Figure </w:t>
      </w:r>
      <w:r w:rsidR="004E1203">
        <w:fldChar w:fldCharType="begin"/>
      </w:r>
      <w:r w:rsidR="004E1203">
        <w:instrText xml:space="preserve"> SEQ Figure \* ARABIC </w:instrText>
      </w:r>
      <w:r w:rsidR="004E1203">
        <w:fldChar w:fldCharType="separate"/>
      </w:r>
      <w:r w:rsidR="00BE0248">
        <w:rPr>
          <w:noProof/>
        </w:rPr>
        <w:t>6</w:t>
      </w:r>
      <w:r w:rsidR="004E1203">
        <w:rPr>
          <w:noProof/>
        </w:rPr>
        <w:fldChar w:fldCharType="end"/>
      </w:r>
      <w:r w:rsidRPr="00A05698">
        <w:t xml:space="preserve"> </w:t>
      </w:r>
      <w:r w:rsidRPr="00A05698">
        <w:rPr>
          <w:rFonts w:eastAsia="Times New Roman"/>
        </w:rPr>
        <w:t>:</w:t>
      </w:r>
      <w:r w:rsidRPr="00A05698">
        <w:rPr>
          <w:b w:val="0"/>
          <w:sz w:val="24"/>
          <w:szCs w:val="24"/>
        </w:rPr>
        <w:t xml:space="preserve"> </w:t>
      </w:r>
      <w:r w:rsidRPr="00A05698">
        <w:rPr>
          <w:rFonts w:eastAsia="Times New Roman"/>
        </w:rPr>
        <w:t>Aires protégées du pays</w:t>
      </w:r>
      <w:bookmarkEnd w:id="234"/>
      <w:bookmarkEnd w:id="235"/>
      <w:bookmarkEnd w:id="236"/>
      <w:bookmarkEnd w:id="237"/>
    </w:p>
    <w:p w:rsidR="008D1F29" w:rsidRPr="004977FF" w:rsidRDefault="00224ED5" w:rsidP="00E058CB">
      <w:pPr>
        <w:pStyle w:val="PargrafodaLista"/>
        <w:keepNext/>
        <w:spacing w:before="240" w:after="0" w:line="240" w:lineRule="auto"/>
        <w:ind w:left="1158" w:right="284" w:firstLine="258"/>
        <w:jc w:val="both"/>
        <w:outlineLvl w:val="2"/>
        <w:rPr>
          <w:sz w:val="24"/>
          <w:szCs w:val="24"/>
        </w:rPr>
      </w:pPr>
      <w:r>
        <w:rPr>
          <w:rFonts w:ascii="Times New Roman" w:hAnsi="Times New Roman"/>
          <w:b/>
          <w:sz w:val="24"/>
          <w:szCs w:val="24"/>
        </w:rPr>
        <w:t>4.</w:t>
      </w:r>
      <w:r w:rsidR="00E058CB">
        <w:rPr>
          <w:rFonts w:ascii="Times New Roman" w:hAnsi="Times New Roman"/>
          <w:b/>
          <w:sz w:val="24"/>
          <w:szCs w:val="24"/>
        </w:rPr>
        <w:t>2</w:t>
      </w:r>
      <w:r>
        <w:rPr>
          <w:rFonts w:ascii="Times New Roman" w:hAnsi="Times New Roman"/>
          <w:b/>
          <w:sz w:val="24"/>
          <w:szCs w:val="24"/>
        </w:rPr>
        <w:t xml:space="preserve">.10 </w:t>
      </w:r>
      <w:r w:rsidRPr="004977FF">
        <w:rPr>
          <w:rFonts w:ascii="Times New Roman" w:hAnsi="Times New Roman"/>
          <w:b/>
          <w:sz w:val="24"/>
          <w:szCs w:val="24"/>
        </w:rPr>
        <w:t>Le patrimoine culturel</w:t>
      </w:r>
    </w:p>
    <w:p w:rsidR="00224ED5" w:rsidRPr="004977FF" w:rsidRDefault="00224ED5" w:rsidP="00C53A12">
      <w:pPr>
        <w:shd w:val="clear" w:color="auto" w:fill="FFFFFF"/>
        <w:spacing w:line="300" w:lineRule="atLeast"/>
        <w:jc w:val="both"/>
        <w:rPr>
          <w:rFonts w:ascii="inherit;Times New Roman" w:eastAsia="Times New Roman" w:hAnsi="inherit;Times New Roman" w:cs="inherit;Times New Roman"/>
          <w:color w:val="050505"/>
        </w:rPr>
      </w:pPr>
      <w:r w:rsidRPr="004977FF">
        <w:rPr>
          <w:rFonts w:ascii="inherit;Times New Roman" w:eastAsia="Times New Roman" w:hAnsi="inherit;Times New Roman" w:cs="inherit;Times New Roman"/>
          <w:color w:val="050505"/>
        </w:rPr>
        <w:t>La Guinée-Bissau possède un patrimoine culturel très riche et diversifié. Cette culture, qui varie d'ethnie à ethnie, allant de la différence linguistique, de la danse, de l'expression artistique, du métier, de la tradition musicale aux manifestations culturelles. La danse est pourtant une véritable expression artistique de différentes ethnies.</w:t>
      </w:r>
    </w:p>
    <w:p w:rsidR="00224ED5" w:rsidRPr="009542CC" w:rsidRDefault="00224ED5" w:rsidP="00C53A12">
      <w:pPr>
        <w:shd w:val="clear" w:color="auto" w:fill="FFFFFF"/>
        <w:spacing w:line="300" w:lineRule="atLeast"/>
        <w:jc w:val="both"/>
      </w:pPr>
    </w:p>
    <w:p w:rsidR="00224ED5" w:rsidRPr="005D133D" w:rsidRDefault="00224ED5" w:rsidP="00C53A12">
      <w:pPr>
        <w:jc w:val="both"/>
      </w:pPr>
      <w:r w:rsidRPr="009542CC">
        <w:t>L'immense héritage malinké (ethnie mandingue) et le contact avec les peuples européens (portugais, anglais</w:t>
      </w:r>
      <w:r w:rsidRPr="00A51151">
        <w:t>, français et néerlandais, essentiellement) et avec des groupes de diverses régions d'Afrique, ont contribué à la construction d'un pays</w:t>
      </w:r>
    </w:p>
    <w:p w:rsidR="00224ED5" w:rsidRPr="00EA69FA" w:rsidRDefault="00224ED5" w:rsidP="00C53A12">
      <w:pPr>
        <w:jc w:val="both"/>
      </w:pPr>
      <w:r w:rsidRPr="00E42804">
        <w:t>Caractérisé</w:t>
      </w:r>
      <w:r w:rsidRPr="00EA69FA">
        <w:t xml:space="preserve"> par sa multiplicité ethnique.</w:t>
      </w:r>
    </w:p>
    <w:p w:rsidR="00224ED5" w:rsidRPr="004977FF" w:rsidRDefault="00224ED5" w:rsidP="00C53A12">
      <w:pPr>
        <w:shd w:val="clear" w:color="auto" w:fill="FFFFFF"/>
        <w:spacing w:line="300" w:lineRule="atLeast"/>
        <w:jc w:val="both"/>
        <w:rPr>
          <w:rFonts w:ascii="inherit;Times New Roman" w:eastAsia="Times New Roman" w:hAnsi="inherit;Times New Roman" w:cs="inherit;Times New Roman"/>
          <w:color w:val="050505"/>
        </w:rPr>
      </w:pPr>
    </w:p>
    <w:p w:rsidR="00224ED5" w:rsidRPr="004977FF" w:rsidRDefault="00224ED5" w:rsidP="00C53A12">
      <w:pPr>
        <w:shd w:val="clear" w:color="auto" w:fill="FFFFFF"/>
        <w:spacing w:line="300" w:lineRule="atLeast"/>
        <w:jc w:val="both"/>
        <w:rPr>
          <w:rFonts w:ascii="inherit;Times New Roman" w:eastAsia="Times New Roman" w:hAnsi="inherit;Times New Roman" w:cs="inherit;Times New Roman"/>
          <w:color w:val="050505"/>
        </w:rPr>
      </w:pPr>
      <w:r w:rsidRPr="004977FF">
        <w:rPr>
          <w:rFonts w:ascii="inherit;Times New Roman" w:eastAsia="Times New Roman" w:hAnsi="inherit;Times New Roman" w:cs="inherit;Times New Roman"/>
          <w:color w:val="050505"/>
        </w:rPr>
        <w:t>Les peuples animistes se caractérisent par leurs chorégraphies belles et colorées. Dans la vie de tous les jours, ces fantastiques manifestations culturelles peuvent être observées lors des récoltes, mariages, funérailles, cérémonies d'initiation.</w:t>
      </w:r>
    </w:p>
    <w:p w:rsidR="00224ED5" w:rsidRPr="004977FF" w:rsidRDefault="00224ED5" w:rsidP="00C53A12">
      <w:pPr>
        <w:shd w:val="clear" w:color="auto" w:fill="FFFFFF"/>
        <w:spacing w:line="300" w:lineRule="atLeast"/>
        <w:jc w:val="both"/>
        <w:rPr>
          <w:rFonts w:ascii="inherit;Times New Roman" w:eastAsia="Times New Roman" w:hAnsi="inherit;Times New Roman" w:cs="inherit;Times New Roman"/>
          <w:color w:val="050505"/>
        </w:rPr>
      </w:pPr>
    </w:p>
    <w:p w:rsidR="008D3328" w:rsidRPr="004977FF" w:rsidRDefault="00224ED5" w:rsidP="00C53A12">
      <w:pPr>
        <w:jc w:val="both"/>
      </w:pPr>
      <w:r w:rsidRPr="009542CC">
        <w:t>En plus du continent, le pays fait partie de l'archipel des Bijagós, formé d'environ 88 îles, pour la plupart inhabitées. Sa richesse paysagère et sauvage, composée d'une faune et d'une flore très variées, a permis à l'archipel d'être classé par l'UNESCO en Réserve de Biosphère en 1996.</w:t>
      </w:r>
    </w:p>
    <w:p w:rsidR="007C0EBB" w:rsidRPr="00A05698" w:rsidRDefault="00E058CB" w:rsidP="004F4212">
      <w:pPr>
        <w:pStyle w:val="PargrafodaLista"/>
        <w:keepNext/>
        <w:spacing w:before="240" w:after="240" w:line="240" w:lineRule="auto"/>
        <w:ind w:left="450" w:right="284" w:hanging="450"/>
        <w:jc w:val="both"/>
        <w:outlineLvl w:val="1"/>
        <w:rPr>
          <w:rFonts w:ascii="Times New Roman" w:hAnsi="Times New Roman"/>
          <w:b/>
          <w:sz w:val="24"/>
          <w:szCs w:val="24"/>
        </w:rPr>
      </w:pPr>
      <w:bookmarkStart w:id="238" w:name="_Toc75432293"/>
      <w:r w:rsidRPr="00A05698">
        <w:rPr>
          <w:rFonts w:ascii="Times New Roman" w:hAnsi="Times New Roman"/>
          <w:b/>
          <w:sz w:val="24"/>
          <w:szCs w:val="24"/>
        </w:rPr>
        <w:lastRenderedPageBreak/>
        <w:t>4.</w:t>
      </w:r>
      <w:r>
        <w:rPr>
          <w:rFonts w:ascii="Times New Roman" w:hAnsi="Times New Roman"/>
          <w:b/>
          <w:sz w:val="24"/>
          <w:szCs w:val="24"/>
        </w:rPr>
        <w:t>3</w:t>
      </w:r>
      <w:r w:rsidRPr="00A05698">
        <w:rPr>
          <w:rFonts w:ascii="Times New Roman" w:hAnsi="Times New Roman"/>
          <w:b/>
          <w:sz w:val="24"/>
          <w:szCs w:val="24"/>
        </w:rPr>
        <w:t>. ACTIVITES SOCIO-ECONOMIQUES ET CULTURELLES DE LA ZONE D’IMPLANTATION DU PROJET</w:t>
      </w:r>
      <w:bookmarkEnd w:id="231"/>
      <w:bookmarkEnd w:id="232"/>
      <w:bookmarkEnd w:id="233"/>
      <w:bookmarkEnd w:id="238"/>
    </w:p>
    <w:p w:rsidR="007C0EBB" w:rsidRPr="00A05698" w:rsidRDefault="007C0EBB" w:rsidP="004F4212">
      <w:pPr>
        <w:pStyle w:val="PargrafodaLista"/>
        <w:keepNext/>
        <w:spacing w:before="240" w:after="240" w:line="240" w:lineRule="auto"/>
        <w:ind w:left="450" w:right="284" w:hanging="450"/>
        <w:jc w:val="both"/>
        <w:rPr>
          <w:rFonts w:ascii="Times New Roman" w:hAnsi="Times New Roman"/>
          <w:b/>
          <w:sz w:val="24"/>
          <w:szCs w:val="24"/>
        </w:rPr>
      </w:pPr>
    </w:p>
    <w:p w:rsidR="007C0EBB" w:rsidRPr="00A05698" w:rsidRDefault="004E5433" w:rsidP="00E058CB">
      <w:pPr>
        <w:pStyle w:val="PargrafodaLista"/>
        <w:keepNext/>
        <w:spacing w:before="240" w:after="0" w:line="240" w:lineRule="auto"/>
        <w:ind w:left="1158" w:right="284" w:firstLine="258"/>
        <w:jc w:val="both"/>
        <w:outlineLvl w:val="2"/>
        <w:rPr>
          <w:rFonts w:ascii="Times New Roman" w:hAnsi="Times New Roman"/>
          <w:b/>
          <w:sz w:val="24"/>
          <w:szCs w:val="24"/>
        </w:rPr>
      </w:pPr>
      <w:bookmarkStart w:id="239" w:name="_Toc535396935"/>
      <w:bookmarkStart w:id="240" w:name="_Toc6310475"/>
      <w:bookmarkStart w:id="241" w:name="_Toc51084443"/>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3</w:t>
      </w:r>
      <w:r w:rsidR="007C0EBB" w:rsidRPr="00A05698">
        <w:rPr>
          <w:rFonts w:ascii="Times New Roman" w:hAnsi="Times New Roman"/>
          <w:b/>
          <w:sz w:val="24"/>
          <w:szCs w:val="24"/>
        </w:rPr>
        <w:t>.1. Répartition Spatiale de la Population et Densité (Censo 2009)</w:t>
      </w:r>
      <w:bookmarkEnd w:id="239"/>
      <w:bookmarkEnd w:id="240"/>
      <w:bookmarkEnd w:id="241"/>
    </w:p>
    <w:p w:rsidR="00A5213A" w:rsidRPr="00A05698" w:rsidRDefault="007C0EBB" w:rsidP="00C53A12">
      <w:pPr>
        <w:spacing w:before="120" w:after="120"/>
        <w:jc w:val="both"/>
      </w:pPr>
      <w:r w:rsidRPr="00A05698">
        <w:t xml:space="preserve">D’après les résultats préliminaires du RGPH, mené en mars 2009 par l’Institut National de la Statistique et du Recensement (INEC), la population totale du pays est estimée à 1 449 230 habitants, dont 755.859 sont de sexe masculin et 792.300 de sexe féminin. Les subdivisions administratives de la Guinée Bissau sont au nombre de neuf : huit régions (Cacheu, Oio, Gabu, </w:t>
      </w:r>
      <w:r w:rsidR="00561D67" w:rsidRPr="00A05698">
        <w:t>Bafata</w:t>
      </w:r>
      <w:r w:rsidRPr="00A05698">
        <w:t xml:space="preserve">, </w:t>
      </w:r>
      <w:r w:rsidR="00561D67" w:rsidRPr="00A05698">
        <w:t>Quinara</w:t>
      </w:r>
      <w:r w:rsidRPr="00A05698">
        <w:t>, Tombali, Bolama Bijagós et Biombo) et le secteu</w:t>
      </w:r>
      <w:r w:rsidR="006553A6">
        <w:t>r autonome de Bissau (tableau 9</w:t>
      </w:r>
      <w:r w:rsidRPr="00A05698">
        <w:t>).</w:t>
      </w:r>
      <w:bookmarkStart w:id="242" w:name="_Toc4770107"/>
      <w:bookmarkStart w:id="243" w:name="_Toc51084846"/>
    </w:p>
    <w:p w:rsidR="007C0EBB" w:rsidRPr="005E1458" w:rsidRDefault="007C0EBB" w:rsidP="00E41C1A">
      <w:pPr>
        <w:pStyle w:val="Primeiroavanodecorpodetexto2"/>
        <w:spacing w:after="0" w:line="240" w:lineRule="auto"/>
        <w:jc w:val="center"/>
        <w:rPr>
          <w:rFonts w:ascii="Times New Roman" w:hAnsi="Times New Roman"/>
          <w:b/>
          <w:sz w:val="20"/>
          <w:szCs w:val="20"/>
        </w:rPr>
      </w:pPr>
      <w:bookmarkStart w:id="244" w:name="_Toc75503443"/>
      <w:r w:rsidRPr="005E1458">
        <w:rPr>
          <w:rFonts w:ascii="Times New Roman" w:hAnsi="Times New Roman"/>
          <w:b/>
          <w:sz w:val="20"/>
          <w:szCs w:val="20"/>
        </w:rPr>
        <w:t xml:space="preserve">Tableau </w:t>
      </w:r>
      <w:r w:rsidR="00121744" w:rsidRPr="005E1458">
        <w:rPr>
          <w:rFonts w:ascii="Times New Roman" w:hAnsi="Times New Roman"/>
          <w:b/>
          <w:sz w:val="20"/>
          <w:szCs w:val="20"/>
        </w:rPr>
        <w:fldChar w:fldCharType="begin"/>
      </w:r>
      <w:r w:rsidR="00121744" w:rsidRPr="005E1458">
        <w:rPr>
          <w:rFonts w:ascii="Times New Roman" w:hAnsi="Times New Roman"/>
          <w:b/>
          <w:sz w:val="20"/>
          <w:szCs w:val="20"/>
        </w:rPr>
        <w:instrText xml:space="preserve"> </w:instrText>
      </w:r>
      <w:r w:rsidR="006C5620" w:rsidRPr="005E1458">
        <w:rPr>
          <w:rFonts w:ascii="Times New Roman" w:hAnsi="Times New Roman"/>
          <w:b/>
          <w:sz w:val="20"/>
          <w:szCs w:val="20"/>
        </w:rPr>
        <w:instrText>SEQ</w:instrText>
      </w:r>
      <w:r w:rsidR="00121744" w:rsidRPr="005E1458">
        <w:rPr>
          <w:rFonts w:ascii="Times New Roman" w:hAnsi="Times New Roman"/>
          <w:b/>
          <w:sz w:val="20"/>
          <w:szCs w:val="20"/>
        </w:rPr>
        <w:instrText xml:space="preserve"> Tableau \* ARABIC </w:instrText>
      </w:r>
      <w:r w:rsidR="00121744" w:rsidRPr="005E1458">
        <w:rPr>
          <w:rFonts w:ascii="Times New Roman" w:hAnsi="Times New Roman"/>
          <w:b/>
          <w:sz w:val="20"/>
          <w:szCs w:val="20"/>
        </w:rPr>
        <w:fldChar w:fldCharType="separate"/>
      </w:r>
      <w:r w:rsidR="00BB7875" w:rsidRPr="005E1458">
        <w:rPr>
          <w:rFonts w:ascii="Times New Roman" w:hAnsi="Times New Roman"/>
          <w:b/>
          <w:noProof/>
          <w:sz w:val="20"/>
          <w:szCs w:val="20"/>
        </w:rPr>
        <w:t>9</w:t>
      </w:r>
      <w:r w:rsidR="00121744" w:rsidRPr="005E1458">
        <w:rPr>
          <w:rFonts w:ascii="Times New Roman" w:hAnsi="Times New Roman"/>
          <w:b/>
          <w:sz w:val="20"/>
          <w:szCs w:val="20"/>
        </w:rPr>
        <w:fldChar w:fldCharType="end"/>
      </w:r>
      <w:r w:rsidRPr="005E1458">
        <w:rPr>
          <w:rFonts w:ascii="Times New Roman" w:hAnsi="Times New Roman"/>
          <w:b/>
          <w:sz w:val="20"/>
          <w:szCs w:val="20"/>
        </w:rPr>
        <w:t>: Répartition Spatiale de la Population et Densité (Censo 2009)</w:t>
      </w:r>
      <w:bookmarkEnd w:id="242"/>
      <w:bookmarkEnd w:id="243"/>
      <w:bookmarkEnd w:id="244"/>
    </w:p>
    <w:tbl>
      <w:tblPr>
        <w:tblStyle w:val="Tabelacomgrelha"/>
        <w:tblW w:w="0" w:type="auto"/>
        <w:tblInd w:w="-318" w:type="dxa"/>
        <w:tblLook w:val="04A0" w:firstRow="1" w:lastRow="0" w:firstColumn="1" w:lastColumn="0" w:noHBand="0" w:noVBand="1"/>
      </w:tblPr>
      <w:tblGrid>
        <w:gridCol w:w="3225"/>
        <w:gridCol w:w="1723"/>
        <w:gridCol w:w="2344"/>
        <w:gridCol w:w="2314"/>
      </w:tblGrid>
      <w:tr w:rsidR="007C0EBB" w:rsidRPr="00A05698" w:rsidTr="00242A77">
        <w:tc>
          <w:tcPr>
            <w:tcW w:w="3485" w:type="dxa"/>
            <w:shd w:val="clear" w:color="auto" w:fill="FFF2CC" w:themeFill="accent4" w:themeFillTint="33"/>
            <w:vAlign w:val="center"/>
          </w:tcPr>
          <w:p w:rsidR="007C0EBB" w:rsidRPr="00A05698" w:rsidRDefault="007C0EBB" w:rsidP="004F4212">
            <w:pPr>
              <w:jc w:val="center"/>
              <w:rPr>
                <w:b/>
              </w:rPr>
            </w:pPr>
            <w:r w:rsidRPr="00A05698">
              <w:rPr>
                <w:b/>
              </w:rPr>
              <w:t>PAYS</w:t>
            </w:r>
          </w:p>
        </w:tc>
        <w:tc>
          <w:tcPr>
            <w:tcW w:w="1787" w:type="dxa"/>
            <w:shd w:val="clear" w:color="auto" w:fill="FFF2CC" w:themeFill="accent4" w:themeFillTint="33"/>
            <w:vAlign w:val="center"/>
          </w:tcPr>
          <w:p w:rsidR="007C0EBB" w:rsidRPr="00A05698" w:rsidRDefault="007C0EBB" w:rsidP="004F4212">
            <w:pPr>
              <w:jc w:val="center"/>
              <w:rPr>
                <w:b/>
              </w:rPr>
            </w:pPr>
            <w:r w:rsidRPr="00A05698">
              <w:rPr>
                <w:b/>
              </w:rPr>
              <w:t>Superficie (km2)</w:t>
            </w:r>
          </w:p>
        </w:tc>
        <w:tc>
          <w:tcPr>
            <w:tcW w:w="2482" w:type="dxa"/>
            <w:shd w:val="clear" w:color="auto" w:fill="FFF2CC" w:themeFill="accent4" w:themeFillTint="33"/>
            <w:vAlign w:val="center"/>
          </w:tcPr>
          <w:p w:rsidR="007C0EBB" w:rsidRPr="00A05698" w:rsidRDefault="007C0EBB" w:rsidP="004F4212">
            <w:pPr>
              <w:jc w:val="center"/>
              <w:rPr>
                <w:b/>
              </w:rPr>
            </w:pPr>
            <w:r w:rsidRPr="00A05698">
              <w:rPr>
                <w:b/>
              </w:rPr>
              <w:t>Population résidents</w:t>
            </w:r>
          </w:p>
        </w:tc>
        <w:tc>
          <w:tcPr>
            <w:tcW w:w="2477" w:type="dxa"/>
            <w:shd w:val="clear" w:color="auto" w:fill="FFF2CC" w:themeFill="accent4" w:themeFillTint="33"/>
            <w:vAlign w:val="center"/>
          </w:tcPr>
          <w:p w:rsidR="007C0EBB" w:rsidRPr="00A05698" w:rsidRDefault="007C0EBB" w:rsidP="004F4212">
            <w:pPr>
              <w:jc w:val="center"/>
              <w:rPr>
                <w:b/>
              </w:rPr>
            </w:pPr>
            <w:r w:rsidRPr="00A05698">
              <w:rPr>
                <w:b/>
              </w:rPr>
              <w:t>Densité hab/km2</w:t>
            </w:r>
          </w:p>
        </w:tc>
      </w:tr>
      <w:tr w:rsidR="007C0EBB" w:rsidRPr="00A05698" w:rsidTr="00242A77">
        <w:tc>
          <w:tcPr>
            <w:tcW w:w="5272" w:type="dxa"/>
            <w:gridSpan w:val="2"/>
            <w:vAlign w:val="center"/>
          </w:tcPr>
          <w:p w:rsidR="007C0EBB" w:rsidRPr="00A05698" w:rsidRDefault="007C0EBB" w:rsidP="004F4212">
            <w:pPr>
              <w:rPr>
                <w:b/>
              </w:rPr>
            </w:pPr>
          </w:p>
        </w:tc>
        <w:tc>
          <w:tcPr>
            <w:tcW w:w="4959" w:type="dxa"/>
            <w:gridSpan w:val="2"/>
            <w:shd w:val="clear" w:color="auto" w:fill="FFF2CC" w:themeFill="accent4" w:themeFillTint="33"/>
            <w:vAlign w:val="center"/>
          </w:tcPr>
          <w:p w:rsidR="007C0EBB" w:rsidRPr="00A05698" w:rsidRDefault="007C0EBB" w:rsidP="004F4212">
            <w:pPr>
              <w:jc w:val="center"/>
              <w:rPr>
                <w:b/>
              </w:rPr>
            </w:pPr>
            <w:r w:rsidRPr="00A05698">
              <w:rPr>
                <w:b/>
              </w:rPr>
              <w:t>2009</w:t>
            </w:r>
          </w:p>
        </w:tc>
      </w:tr>
      <w:tr w:rsidR="007C0EBB" w:rsidRPr="00A05698" w:rsidTr="00242A77">
        <w:tc>
          <w:tcPr>
            <w:tcW w:w="3485" w:type="dxa"/>
            <w:vAlign w:val="center"/>
          </w:tcPr>
          <w:p w:rsidR="007C0EBB" w:rsidRPr="00A05698" w:rsidRDefault="007C0EBB" w:rsidP="004F4212">
            <w:pPr>
              <w:rPr>
                <w:b/>
              </w:rPr>
            </w:pPr>
            <w:r w:rsidRPr="00A05698">
              <w:rPr>
                <w:b/>
              </w:rPr>
              <w:t>Guinée-Bissau</w:t>
            </w:r>
          </w:p>
        </w:tc>
        <w:tc>
          <w:tcPr>
            <w:tcW w:w="1787" w:type="dxa"/>
            <w:vAlign w:val="center"/>
          </w:tcPr>
          <w:p w:rsidR="007C0EBB" w:rsidRPr="00A05698" w:rsidRDefault="007C0EBB" w:rsidP="004F4212">
            <w:pPr>
              <w:jc w:val="center"/>
              <w:rPr>
                <w:b/>
              </w:rPr>
            </w:pPr>
            <w:r w:rsidRPr="00A05698">
              <w:rPr>
                <w:b/>
              </w:rPr>
              <w:t>36 125</w:t>
            </w:r>
          </w:p>
        </w:tc>
        <w:tc>
          <w:tcPr>
            <w:tcW w:w="2482" w:type="dxa"/>
            <w:vAlign w:val="center"/>
          </w:tcPr>
          <w:p w:rsidR="007C0EBB" w:rsidRPr="00A05698" w:rsidRDefault="007C0EBB" w:rsidP="004F4212">
            <w:pPr>
              <w:jc w:val="center"/>
              <w:rPr>
                <w:b/>
              </w:rPr>
            </w:pPr>
            <w:r w:rsidRPr="00A05698">
              <w:rPr>
                <w:b/>
              </w:rPr>
              <w:t>1 449 230</w:t>
            </w:r>
          </w:p>
        </w:tc>
        <w:tc>
          <w:tcPr>
            <w:tcW w:w="2477" w:type="dxa"/>
            <w:vAlign w:val="center"/>
          </w:tcPr>
          <w:p w:rsidR="007C0EBB" w:rsidRPr="00A05698" w:rsidRDefault="007C0EBB" w:rsidP="004F4212">
            <w:pPr>
              <w:jc w:val="center"/>
              <w:rPr>
                <w:b/>
              </w:rPr>
            </w:pPr>
            <w:r w:rsidRPr="00A05698">
              <w:rPr>
                <w:b/>
              </w:rPr>
              <w:t>40,1</w:t>
            </w:r>
          </w:p>
        </w:tc>
      </w:tr>
      <w:tr w:rsidR="007C0EBB" w:rsidRPr="00A05698" w:rsidTr="00242A77">
        <w:trPr>
          <w:trHeight w:val="309"/>
        </w:trPr>
        <w:tc>
          <w:tcPr>
            <w:tcW w:w="3485" w:type="dxa"/>
            <w:shd w:val="clear" w:color="auto" w:fill="FFF2CC" w:themeFill="accent4" w:themeFillTint="33"/>
            <w:vAlign w:val="center"/>
          </w:tcPr>
          <w:p w:rsidR="007C0EBB" w:rsidRPr="00A05698" w:rsidRDefault="007C0EBB" w:rsidP="004F4212">
            <w:pPr>
              <w:jc w:val="center"/>
              <w:rPr>
                <w:b/>
                <w:sz w:val="4"/>
                <w:szCs w:val="4"/>
              </w:rPr>
            </w:pPr>
            <w:r w:rsidRPr="00A05698">
              <w:rPr>
                <w:b/>
              </w:rPr>
              <w:t>REGIONS</w:t>
            </w:r>
          </w:p>
        </w:tc>
        <w:tc>
          <w:tcPr>
            <w:tcW w:w="6746" w:type="dxa"/>
            <w:gridSpan w:val="3"/>
            <w:shd w:val="clear" w:color="auto" w:fill="FFF2CC" w:themeFill="accent4" w:themeFillTint="33"/>
            <w:vAlign w:val="center"/>
          </w:tcPr>
          <w:p w:rsidR="007C0EBB" w:rsidRPr="00A05698" w:rsidRDefault="007C0EBB" w:rsidP="004F4212">
            <w:pPr>
              <w:jc w:val="center"/>
              <w:rPr>
                <w:b/>
              </w:rPr>
            </w:pPr>
          </w:p>
        </w:tc>
      </w:tr>
      <w:tr w:rsidR="007C0EBB" w:rsidRPr="00A05698" w:rsidTr="00242A77">
        <w:tc>
          <w:tcPr>
            <w:tcW w:w="3485" w:type="dxa"/>
            <w:vAlign w:val="center"/>
          </w:tcPr>
          <w:p w:rsidR="007C0EBB" w:rsidRPr="00A05698" w:rsidRDefault="007C0EBB" w:rsidP="004F4212">
            <w:pPr>
              <w:rPr>
                <w:b/>
              </w:rPr>
            </w:pPr>
            <w:r w:rsidRPr="00A05698">
              <w:rPr>
                <w:b/>
              </w:rPr>
              <w:t>1. Région de Gabu</w:t>
            </w:r>
          </w:p>
        </w:tc>
        <w:tc>
          <w:tcPr>
            <w:tcW w:w="1787" w:type="dxa"/>
            <w:vAlign w:val="center"/>
          </w:tcPr>
          <w:p w:rsidR="007C0EBB" w:rsidRPr="00A05698" w:rsidRDefault="007C0EBB" w:rsidP="004F4212">
            <w:pPr>
              <w:jc w:val="center"/>
              <w:rPr>
                <w:b/>
              </w:rPr>
            </w:pPr>
            <w:r w:rsidRPr="00A05698">
              <w:rPr>
                <w:b/>
              </w:rPr>
              <w:t>9 150,0</w:t>
            </w:r>
          </w:p>
        </w:tc>
        <w:tc>
          <w:tcPr>
            <w:tcW w:w="2482" w:type="dxa"/>
            <w:vAlign w:val="center"/>
          </w:tcPr>
          <w:p w:rsidR="007C0EBB" w:rsidRPr="00A05698" w:rsidRDefault="007C0EBB" w:rsidP="004F4212">
            <w:pPr>
              <w:jc w:val="center"/>
              <w:rPr>
                <w:b/>
              </w:rPr>
            </w:pPr>
            <w:r w:rsidRPr="00A05698">
              <w:rPr>
                <w:b/>
              </w:rPr>
              <w:t>205 608</w:t>
            </w:r>
          </w:p>
        </w:tc>
        <w:tc>
          <w:tcPr>
            <w:tcW w:w="2477" w:type="dxa"/>
            <w:vAlign w:val="center"/>
          </w:tcPr>
          <w:p w:rsidR="007C0EBB" w:rsidRPr="00A05698" w:rsidRDefault="007C0EBB" w:rsidP="004F4212">
            <w:pPr>
              <w:jc w:val="center"/>
              <w:rPr>
                <w:b/>
              </w:rPr>
            </w:pPr>
            <w:r w:rsidRPr="00A05698">
              <w:rPr>
                <w:b/>
              </w:rPr>
              <w:t>22,5</w:t>
            </w:r>
          </w:p>
        </w:tc>
      </w:tr>
      <w:tr w:rsidR="007C0EBB" w:rsidRPr="00A05698" w:rsidTr="00242A77">
        <w:tc>
          <w:tcPr>
            <w:tcW w:w="3485" w:type="dxa"/>
            <w:vAlign w:val="center"/>
          </w:tcPr>
          <w:p w:rsidR="007C0EBB" w:rsidRPr="00A05698" w:rsidRDefault="007C0EBB" w:rsidP="004F4212">
            <w:pPr>
              <w:rPr>
                <w:b/>
              </w:rPr>
            </w:pPr>
            <w:r w:rsidRPr="00A05698">
              <w:rPr>
                <w:b/>
              </w:rPr>
              <w:t xml:space="preserve">2. Région de </w:t>
            </w:r>
            <w:r w:rsidR="00561D67" w:rsidRPr="00A05698">
              <w:rPr>
                <w:b/>
              </w:rPr>
              <w:t>Bafata</w:t>
            </w:r>
          </w:p>
        </w:tc>
        <w:tc>
          <w:tcPr>
            <w:tcW w:w="1787" w:type="dxa"/>
            <w:vAlign w:val="center"/>
          </w:tcPr>
          <w:p w:rsidR="007C0EBB" w:rsidRPr="00A05698" w:rsidRDefault="007C0EBB" w:rsidP="004F4212">
            <w:pPr>
              <w:jc w:val="center"/>
              <w:rPr>
                <w:b/>
              </w:rPr>
            </w:pPr>
            <w:r w:rsidRPr="00A05698">
              <w:rPr>
                <w:b/>
              </w:rPr>
              <w:t>5 981,1</w:t>
            </w:r>
          </w:p>
        </w:tc>
        <w:tc>
          <w:tcPr>
            <w:tcW w:w="2482" w:type="dxa"/>
            <w:vAlign w:val="center"/>
          </w:tcPr>
          <w:p w:rsidR="007C0EBB" w:rsidRPr="00A05698" w:rsidRDefault="007C0EBB" w:rsidP="004F4212">
            <w:pPr>
              <w:jc w:val="center"/>
              <w:rPr>
                <w:b/>
              </w:rPr>
            </w:pPr>
            <w:r w:rsidRPr="00A05698">
              <w:rPr>
                <w:b/>
              </w:rPr>
              <w:t>200 884</w:t>
            </w:r>
          </w:p>
        </w:tc>
        <w:tc>
          <w:tcPr>
            <w:tcW w:w="2477" w:type="dxa"/>
            <w:vAlign w:val="center"/>
          </w:tcPr>
          <w:p w:rsidR="007C0EBB" w:rsidRPr="00A05698" w:rsidRDefault="007C0EBB" w:rsidP="004F4212">
            <w:pPr>
              <w:jc w:val="center"/>
              <w:rPr>
                <w:b/>
              </w:rPr>
            </w:pPr>
            <w:r w:rsidRPr="00A05698">
              <w:rPr>
                <w:b/>
              </w:rPr>
              <w:t>33,6</w:t>
            </w:r>
          </w:p>
        </w:tc>
      </w:tr>
      <w:tr w:rsidR="007C0EBB" w:rsidRPr="00A05698" w:rsidTr="00242A77">
        <w:tc>
          <w:tcPr>
            <w:tcW w:w="3485" w:type="dxa"/>
            <w:vAlign w:val="center"/>
          </w:tcPr>
          <w:p w:rsidR="007C0EBB" w:rsidRPr="00A05698" w:rsidRDefault="007C0EBB" w:rsidP="004F4212">
            <w:pPr>
              <w:rPr>
                <w:b/>
              </w:rPr>
            </w:pPr>
            <w:r w:rsidRPr="00A05698">
              <w:rPr>
                <w:b/>
              </w:rPr>
              <w:t xml:space="preserve">3. Région </w:t>
            </w:r>
            <w:r w:rsidR="00E611AD" w:rsidRPr="00A05698">
              <w:rPr>
                <w:b/>
              </w:rPr>
              <w:t>d’Oio</w:t>
            </w:r>
          </w:p>
        </w:tc>
        <w:tc>
          <w:tcPr>
            <w:tcW w:w="1787" w:type="dxa"/>
            <w:vAlign w:val="center"/>
          </w:tcPr>
          <w:p w:rsidR="007C0EBB" w:rsidRPr="00A05698" w:rsidRDefault="007C0EBB" w:rsidP="004F4212">
            <w:pPr>
              <w:jc w:val="center"/>
              <w:rPr>
                <w:b/>
              </w:rPr>
            </w:pPr>
            <w:r w:rsidRPr="00A05698">
              <w:rPr>
                <w:b/>
              </w:rPr>
              <w:t>5 403,4</w:t>
            </w:r>
          </w:p>
        </w:tc>
        <w:tc>
          <w:tcPr>
            <w:tcW w:w="2482" w:type="dxa"/>
            <w:vAlign w:val="center"/>
          </w:tcPr>
          <w:p w:rsidR="007C0EBB" w:rsidRPr="00A05698" w:rsidRDefault="007C0EBB" w:rsidP="004F4212">
            <w:pPr>
              <w:jc w:val="center"/>
              <w:rPr>
                <w:b/>
              </w:rPr>
            </w:pPr>
            <w:r w:rsidRPr="00A05698">
              <w:rPr>
                <w:b/>
              </w:rPr>
              <w:t>215 259</w:t>
            </w:r>
          </w:p>
        </w:tc>
        <w:tc>
          <w:tcPr>
            <w:tcW w:w="2477" w:type="dxa"/>
            <w:vAlign w:val="center"/>
          </w:tcPr>
          <w:p w:rsidR="007C0EBB" w:rsidRPr="00A05698" w:rsidRDefault="007C0EBB" w:rsidP="004F4212">
            <w:pPr>
              <w:jc w:val="center"/>
              <w:rPr>
                <w:b/>
              </w:rPr>
            </w:pPr>
            <w:r w:rsidRPr="00A05698">
              <w:rPr>
                <w:b/>
              </w:rPr>
              <w:t>39,8</w:t>
            </w:r>
          </w:p>
        </w:tc>
      </w:tr>
      <w:tr w:rsidR="007C0EBB" w:rsidRPr="00A05698" w:rsidTr="00242A77">
        <w:tc>
          <w:tcPr>
            <w:tcW w:w="3485" w:type="dxa"/>
            <w:vAlign w:val="center"/>
          </w:tcPr>
          <w:p w:rsidR="007C0EBB" w:rsidRPr="00A05698" w:rsidRDefault="007C0EBB" w:rsidP="004F4212">
            <w:pPr>
              <w:rPr>
                <w:b/>
              </w:rPr>
            </w:pPr>
            <w:r w:rsidRPr="00A05698">
              <w:rPr>
                <w:b/>
              </w:rPr>
              <w:t>4. Région de Cacheu</w:t>
            </w:r>
          </w:p>
        </w:tc>
        <w:tc>
          <w:tcPr>
            <w:tcW w:w="1787" w:type="dxa"/>
            <w:vAlign w:val="center"/>
          </w:tcPr>
          <w:p w:rsidR="007C0EBB" w:rsidRPr="00A05698" w:rsidRDefault="007C0EBB" w:rsidP="004F4212">
            <w:pPr>
              <w:jc w:val="center"/>
              <w:rPr>
                <w:b/>
              </w:rPr>
            </w:pPr>
            <w:r w:rsidRPr="00A05698">
              <w:rPr>
                <w:b/>
              </w:rPr>
              <w:t>5 174,9</w:t>
            </w:r>
          </w:p>
        </w:tc>
        <w:tc>
          <w:tcPr>
            <w:tcW w:w="2482" w:type="dxa"/>
            <w:vAlign w:val="center"/>
          </w:tcPr>
          <w:p w:rsidR="007C0EBB" w:rsidRPr="00A05698" w:rsidRDefault="007C0EBB" w:rsidP="004F4212">
            <w:pPr>
              <w:jc w:val="center"/>
              <w:rPr>
                <w:b/>
              </w:rPr>
            </w:pPr>
            <w:r w:rsidRPr="00A05698">
              <w:rPr>
                <w:b/>
              </w:rPr>
              <w:t>185 053</w:t>
            </w:r>
          </w:p>
        </w:tc>
        <w:tc>
          <w:tcPr>
            <w:tcW w:w="2477" w:type="dxa"/>
            <w:vAlign w:val="center"/>
          </w:tcPr>
          <w:p w:rsidR="007C0EBB" w:rsidRPr="00A05698" w:rsidRDefault="007C0EBB" w:rsidP="004F4212">
            <w:pPr>
              <w:jc w:val="center"/>
              <w:rPr>
                <w:b/>
              </w:rPr>
            </w:pPr>
            <w:r w:rsidRPr="00A05698">
              <w:rPr>
                <w:b/>
              </w:rPr>
              <w:t>35,8</w:t>
            </w:r>
          </w:p>
        </w:tc>
      </w:tr>
      <w:tr w:rsidR="007C0EBB" w:rsidRPr="00A05698" w:rsidTr="00242A77">
        <w:tc>
          <w:tcPr>
            <w:tcW w:w="3485" w:type="dxa"/>
            <w:vAlign w:val="center"/>
          </w:tcPr>
          <w:p w:rsidR="007C0EBB" w:rsidRPr="00A05698" w:rsidRDefault="007C0EBB" w:rsidP="004F4212">
            <w:pPr>
              <w:rPr>
                <w:b/>
              </w:rPr>
            </w:pPr>
            <w:r w:rsidRPr="00A05698">
              <w:rPr>
                <w:b/>
              </w:rPr>
              <w:t>5. Région de Tombali</w:t>
            </w:r>
          </w:p>
        </w:tc>
        <w:tc>
          <w:tcPr>
            <w:tcW w:w="1787" w:type="dxa"/>
            <w:vAlign w:val="center"/>
          </w:tcPr>
          <w:p w:rsidR="007C0EBB" w:rsidRPr="00A05698" w:rsidRDefault="007C0EBB" w:rsidP="004F4212">
            <w:pPr>
              <w:jc w:val="center"/>
              <w:rPr>
                <w:b/>
              </w:rPr>
            </w:pPr>
            <w:r w:rsidRPr="00A05698">
              <w:rPr>
                <w:b/>
              </w:rPr>
              <w:t>3 736,5</w:t>
            </w:r>
          </w:p>
        </w:tc>
        <w:tc>
          <w:tcPr>
            <w:tcW w:w="2482" w:type="dxa"/>
            <w:vAlign w:val="center"/>
          </w:tcPr>
          <w:p w:rsidR="007C0EBB" w:rsidRPr="00A05698" w:rsidRDefault="007C0EBB" w:rsidP="004F4212">
            <w:pPr>
              <w:jc w:val="center"/>
              <w:rPr>
                <w:b/>
              </w:rPr>
            </w:pPr>
            <w:r w:rsidRPr="00A05698">
              <w:rPr>
                <w:b/>
              </w:rPr>
              <w:t>91 089</w:t>
            </w:r>
          </w:p>
        </w:tc>
        <w:tc>
          <w:tcPr>
            <w:tcW w:w="2477" w:type="dxa"/>
            <w:vAlign w:val="center"/>
          </w:tcPr>
          <w:p w:rsidR="007C0EBB" w:rsidRPr="00A05698" w:rsidRDefault="007C0EBB" w:rsidP="004F4212">
            <w:pPr>
              <w:jc w:val="center"/>
              <w:rPr>
                <w:b/>
              </w:rPr>
            </w:pPr>
            <w:r w:rsidRPr="00A05698">
              <w:rPr>
                <w:b/>
              </w:rPr>
              <w:t>24,4</w:t>
            </w:r>
          </w:p>
        </w:tc>
      </w:tr>
      <w:tr w:rsidR="007C0EBB" w:rsidRPr="00A05698" w:rsidTr="00242A77">
        <w:tc>
          <w:tcPr>
            <w:tcW w:w="3485" w:type="dxa"/>
            <w:vAlign w:val="center"/>
          </w:tcPr>
          <w:p w:rsidR="007C0EBB" w:rsidRPr="00A05698" w:rsidRDefault="007C0EBB" w:rsidP="004F4212">
            <w:pPr>
              <w:rPr>
                <w:b/>
              </w:rPr>
            </w:pPr>
            <w:r w:rsidRPr="00A05698">
              <w:rPr>
                <w:b/>
              </w:rPr>
              <w:t xml:space="preserve">6. Région de </w:t>
            </w:r>
            <w:r w:rsidR="00561D67" w:rsidRPr="00A05698">
              <w:rPr>
                <w:b/>
              </w:rPr>
              <w:t>Quinara</w:t>
            </w:r>
          </w:p>
        </w:tc>
        <w:tc>
          <w:tcPr>
            <w:tcW w:w="1787" w:type="dxa"/>
            <w:vAlign w:val="center"/>
          </w:tcPr>
          <w:p w:rsidR="007C0EBB" w:rsidRPr="00A05698" w:rsidRDefault="007C0EBB" w:rsidP="004F4212">
            <w:pPr>
              <w:jc w:val="center"/>
              <w:rPr>
                <w:b/>
              </w:rPr>
            </w:pPr>
            <w:r w:rsidRPr="00A05698">
              <w:rPr>
                <w:b/>
              </w:rPr>
              <w:t>3 138,4</w:t>
            </w:r>
          </w:p>
        </w:tc>
        <w:tc>
          <w:tcPr>
            <w:tcW w:w="2482" w:type="dxa"/>
            <w:vAlign w:val="center"/>
          </w:tcPr>
          <w:p w:rsidR="007C0EBB" w:rsidRPr="00A05698" w:rsidRDefault="007C0EBB" w:rsidP="004F4212">
            <w:pPr>
              <w:jc w:val="center"/>
              <w:rPr>
                <w:b/>
              </w:rPr>
            </w:pPr>
            <w:r w:rsidRPr="00A05698">
              <w:rPr>
                <w:b/>
              </w:rPr>
              <w:t>60 777</w:t>
            </w:r>
          </w:p>
        </w:tc>
        <w:tc>
          <w:tcPr>
            <w:tcW w:w="2477" w:type="dxa"/>
            <w:vAlign w:val="center"/>
          </w:tcPr>
          <w:p w:rsidR="007C0EBB" w:rsidRPr="00A05698" w:rsidRDefault="007C0EBB" w:rsidP="004F4212">
            <w:pPr>
              <w:jc w:val="center"/>
              <w:rPr>
                <w:b/>
              </w:rPr>
            </w:pPr>
            <w:r w:rsidRPr="00A05698">
              <w:rPr>
                <w:b/>
              </w:rPr>
              <w:t>19,4</w:t>
            </w:r>
          </w:p>
        </w:tc>
      </w:tr>
      <w:tr w:rsidR="007C0EBB" w:rsidRPr="00A05698" w:rsidTr="00242A77">
        <w:tc>
          <w:tcPr>
            <w:tcW w:w="3485" w:type="dxa"/>
            <w:vAlign w:val="center"/>
          </w:tcPr>
          <w:p w:rsidR="007C0EBB" w:rsidRPr="00A05698" w:rsidRDefault="007C0EBB" w:rsidP="004F4212">
            <w:pPr>
              <w:rPr>
                <w:b/>
              </w:rPr>
            </w:pPr>
            <w:r w:rsidRPr="00A05698">
              <w:rPr>
                <w:b/>
              </w:rPr>
              <w:t>7. Région de Bolama Bijagós</w:t>
            </w:r>
          </w:p>
        </w:tc>
        <w:tc>
          <w:tcPr>
            <w:tcW w:w="1787" w:type="dxa"/>
            <w:vAlign w:val="center"/>
          </w:tcPr>
          <w:p w:rsidR="007C0EBB" w:rsidRPr="00A05698" w:rsidRDefault="007C0EBB" w:rsidP="004F4212">
            <w:pPr>
              <w:jc w:val="center"/>
              <w:rPr>
                <w:b/>
              </w:rPr>
            </w:pPr>
            <w:r w:rsidRPr="00A05698">
              <w:rPr>
                <w:b/>
              </w:rPr>
              <w:t>2 624,4</w:t>
            </w:r>
          </w:p>
        </w:tc>
        <w:tc>
          <w:tcPr>
            <w:tcW w:w="2482" w:type="dxa"/>
            <w:vAlign w:val="center"/>
          </w:tcPr>
          <w:p w:rsidR="007C0EBB" w:rsidRPr="00A05698" w:rsidRDefault="007C0EBB" w:rsidP="004F4212">
            <w:pPr>
              <w:jc w:val="center"/>
              <w:rPr>
                <w:b/>
              </w:rPr>
            </w:pPr>
            <w:r w:rsidRPr="00A05698">
              <w:rPr>
                <w:b/>
              </w:rPr>
              <w:t>32 424</w:t>
            </w:r>
          </w:p>
        </w:tc>
        <w:tc>
          <w:tcPr>
            <w:tcW w:w="2477" w:type="dxa"/>
            <w:vAlign w:val="center"/>
          </w:tcPr>
          <w:p w:rsidR="007C0EBB" w:rsidRPr="00A05698" w:rsidRDefault="007C0EBB" w:rsidP="004F4212">
            <w:pPr>
              <w:jc w:val="center"/>
              <w:rPr>
                <w:b/>
              </w:rPr>
            </w:pPr>
            <w:r w:rsidRPr="00A05698">
              <w:rPr>
                <w:b/>
              </w:rPr>
              <w:t>12,4</w:t>
            </w:r>
          </w:p>
        </w:tc>
      </w:tr>
      <w:tr w:rsidR="007C0EBB" w:rsidRPr="00A05698" w:rsidTr="00242A77">
        <w:tc>
          <w:tcPr>
            <w:tcW w:w="3485" w:type="dxa"/>
            <w:vAlign w:val="center"/>
          </w:tcPr>
          <w:p w:rsidR="007C0EBB" w:rsidRPr="00A05698" w:rsidRDefault="007C0EBB" w:rsidP="004F4212">
            <w:pPr>
              <w:rPr>
                <w:b/>
              </w:rPr>
            </w:pPr>
            <w:r w:rsidRPr="00A05698">
              <w:rPr>
                <w:b/>
              </w:rPr>
              <w:t>8. Région de Biombo</w:t>
            </w:r>
          </w:p>
        </w:tc>
        <w:tc>
          <w:tcPr>
            <w:tcW w:w="1787" w:type="dxa"/>
            <w:vAlign w:val="center"/>
          </w:tcPr>
          <w:p w:rsidR="007C0EBB" w:rsidRPr="00A05698" w:rsidRDefault="007C0EBB" w:rsidP="004F4212">
            <w:pPr>
              <w:jc w:val="center"/>
              <w:rPr>
                <w:b/>
              </w:rPr>
            </w:pPr>
            <w:r w:rsidRPr="00A05698">
              <w:rPr>
                <w:b/>
              </w:rPr>
              <w:t>838,8</w:t>
            </w:r>
          </w:p>
        </w:tc>
        <w:tc>
          <w:tcPr>
            <w:tcW w:w="2482" w:type="dxa"/>
            <w:vAlign w:val="center"/>
          </w:tcPr>
          <w:p w:rsidR="007C0EBB" w:rsidRPr="00A05698" w:rsidRDefault="007C0EBB" w:rsidP="004F4212">
            <w:pPr>
              <w:jc w:val="center"/>
              <w:rPr>
                <w:b/>
              </w:rPr>
            </w:pPr>
            <w:r w:rsidRPr="00A05698">
              <w:rPr>
                <w:b/>
              </w:rPr>
              <w:t>93 039</w:t>
            </w:r>
          </w:p>
        </w:tc>
        <w:tc>
          <w:tcPr>
            <w:tcW w:w="2477" w:type="dxa"/>
            <w:vAlign w:val="center"/>
          </w:tcPr>
          <w:p w:rsidR="007C0EBB" w:rsidRPr="00A05698" w:rsidRDefault="007C0EBB" w:rsidP="004F4212">
            <w:pPr>
              <w:jc w:val="center"/>
              <w:rPr>
                <w:b/>
              </w:rPr>
            </w:pPr>
            <w:r w:rsidRPr="00A05698">
              <w:rPr>
                <w:b/>
              </w:rPr>
              <w:t>110,9</w:t>
            </w:r>
          </w:p>
        </w:tc>
      </w:tr>
      <w:tr w:rsidR="007C0EBB" w:rsidRPr="00A05698" w:rsidTr="00242A77">
        <w:tc>
          <w:tcPr>
            <w:tcW w:w="3485" w:type="dxa"/>
            <w:vAlign w:val="center"/>
          </w:tcPr>
          <w:p w:rsidR="007C0EBB" w:rsidRPr="00A05698" w:rsidRDefault="007C0EBB" w:rsidP="004F4212">
            <w:pPr>
              <w:rPr>
                <w:b/>
              </w:rPr>
            </w:pPr>
            <w:r w:rsidRPr="00A05698">
              <w:rPr>
                <w:b/>
              </w:rPr>
              <w:t>9. Secteur Autonome de Bissau</w:t>
            </w:r>
          </w:p>
        </w:tc>
        <w:tc>
          <w:tcPr>
            <w:tcW w:w="1787" w:type="dxa"/>
            <w:vAlign w:val="center"/>
          </w:tcPr>
          <w:p w:rsidR="007C0EBB" w:rsidRPr="00A05698" w:rsidRDefault="007C0EBB" w:rsidP="004F4212">
            <w:pPr>
              <w:jc w:val="center"/>
              <w:rPr>
                <w:b/>
              </w:rPr>
            </w:pPr>
            <w:r w:rsidRPr="00A05698">
              <w:rPr>
                <w:b/>
              </w:rPr>
              <w:t>77,5</w:t>
            </w:r>
          </w:p>
        </w:tc>
        <w:tc>
          <w:tcPr>
            <w:tcW w:w="2482" w:type="dxa"/>
            <w:vAlign w:val="center"/>
          </w:tcPr>
          <w:p w:rsidR="007C0EBB" w:rsidRPr="00A05698" w:rsidRDefault="007C0EBB" w:rsidP="004F4212">
            <w:pPr>
              <w:jc w:val="center"/>
              <w:rPr>
                <w:b/>
              </w:rPr>
            </w:pPr>
            <w:r w:rsidRPr="00A05698">
              <w:rPr>
                <w:b/>
              </w:rPr>
              <w:t>365 097</w:t>
            </w:r>
          </w:p>
        </w:tc>
        <w:tc>
          <w:tcPr>
            <w:tcW w:w="2477" w:type="dxa"/>
            <w:vAlign w:val="center"/>
          </w:tcPr>
          <w:p w:rsidR="007C0EBB" w:rsidRPr="00A05698" w:rsidRDefault="007C0EBB" w:rsidP="004F4212">
            <w:pPr>
              <w:jc w:val="center"/>
              <w:rPr>
                <w:b/>
              </w:rPr>
            </w:pPr>
            <w:r w:rsidRPr="00A05698">
              <w:rPr>
                <w:b/>
              </w:rPr>
              <w:t>4 710,9</w:t>
            </w:r>
          </w:p>
        </w:tc>
      </w:tr>
    </w:tbl>
    <w:p w:rsidR="007C0EBB" w:rsidRPr="00A05698" w:rsidRDefault="007C0EBB" w:rsidP="004F4212">
      <w:pPr>
        <w:jc w:val="both"/>
      </w:pPr>
    </w:p>
    <w:p w:rsidR="00DD401A" w:rsidRPr="00A05698" w:rsidRDefault="00DD401A" w:rsidP="00C53A12">
      <w:pPr>
        <w:spacing w:before="120" w:after="120"/>
        <w:jc w:val="both"/>
      </w:pPr>
      <w:r w:rsidRPr="00A05698">
        <w:t>Ainsi, au 30 avril 2021, la population de Guinée-Bissau sera de 2.064.265 habitants. Elle été 2.019.829 habitants au 30 avril 2020. Le taux de croissance annuel étant de 2,2%.</w:t>
      </w:r>
    </w:p>
    <w:p w:rsidR="007C0EBB" w:rsidRPr="00A05698" w:rsidRDefault="004E5433" w:rsidP="00E058CB">
      <w:pPr>
        <w:pStyle w:val="PargrafodaLista"/>
        <w:keepNext/>
        <w:spacing w:before="240" w:after="0" w:line="240" w:lineRule="auto"/>
        <w:ind w:left="1158" w:right="284" w:firstLine="258"/>
        <w:jc w:val="both"/>
        <w:outlineLvl w:val="2"/>
        <w:rPr>
          <w:rFonts w:ascii="Times New Roman" w:hAnsi="Times New Roman"/>
          <w:b/>
          <w:sz w:val="24"/>
          <w:szCs w:val="24"/>
        </w:rPr>
      </w:pPr>
      <w:bookmarkStart w:id="245" w:name="_Toc532558499"/>
      <w:bookmarkStart w:id="246" w:name="_Toc535396936"/>
      <w:bookmarkStart w:id="247" w:name="_Toc6310476"/>
      <w:bookmarkStart w:id="248" w:name="_Toc51084444"/>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3</w:t>
      </w:r>
      <w:r w:rsidR="007C0EBB" w:rsidRPr="00A05698">
        <w:rPr>
          <w:rFonts w:ascii="Times New Roman" w:hAnsi="Times New Roman"/>
          <w:b/>
          <w:sz w:val="24"/>
          <w:szCs w:val="24"/>
        </w:rPr>
        <w:t>.2.  Ethnies</w:t>
      </w:r>
      <w:bookmarkEnd w:id="245"/>
      <w:bookmarkEnd w:id="246"/>
      <w:bookmarkEnd w:id="247"/>
      <w:bookmarkEnd w:id="248"/>
    </w:p>
    <w:p w:rsidR="007C0EBB" w:rsidRPr="00A05698" w:rsidRDefault="007C0EBB" w:rsidP="00C53A12">
      <w:pPr>
        <w:jc w:val="both"/>
      </w:pPr>
      <w:r w:rsidRPr="00A05698">
        <w:t>Les différentes </w:t>
      </w:r>
      <w:hyperlink r:id="rId37" w:history="1">
        <w:r w:rsidRPr="00A05698">
          <w:t>communautés ethniques</w:t>
        </w:r>
      </w:hyperlink>
      <w:r w:rsidRPr="00A05698">
        <w:t> de Guinée-Bissau sont en de nombreux endroits - et notamment à </w:t>
      </w:r>
      <w:hyperlink r:id="rId38" w:history="1">
        <w:r w:rsidRPr="00A05698">
          <w:t>Bissau</w:t>
        </w:r>
      </w:hyperlink>
      <w:r w:rsidRPr="00A05698">
        <w:t>, totalement mélangées même si à l</w:t>
      </w:r>
      <w:r w:rsidR="00A05714" w:rsidRPr="00A05698">
        <w:t>’</w:t>
      </w:r>
      <w:r w:rsidRPr="00A05698">
        <w:t>intérieur même d</w:t>
      </w:r>
      <w:r w:rsidR="00A05714" w:rsidRPr="00A05698">
        <w:t>’</w:t>
      </w:r>
      <w:r w:rsidRPr="00A05698">
        <w:t>un village, les quartiers peuvent être divisés en quartiers ethniques. Les migrations à l</w:t>
      </w:r>
      <w:r w:rsidR="00A05714" w:rsidRPr="00A05698">
        <w:t>’</w:t>
      </w:r>
      <w:r w:rsidRPr="00A05698">
        <w:t>intérieur du territoire sont cependant importantes : migrations vers les villes (exode rural), migrations hors de zones de conflit (guerre en Casamance, </w:t>
      </w:r>
      <w:hyperlink r:id="rId39" w:history="1">
        <w:r w:rsidRPr="00A05698">
          <w:t>évènements de la fin des années 90</w:t>
        </w:r>
      </w:hyperlink>
      <w:r w:rsidRPr="00A05698">
        <w:t>), etc.</w:t>
      </w:r>
    </w:p>
    <w:p w:rsidR="007C0EBB" w:rsidRPr="00A05698" w:rsidRDefault="007C0EBB" w:rsidP="00C53A12">
      <w:pPr>
        <w:spacing w:before="120" w:after="120"/>
        <w:jc w:val="both"/>
      </w:pPr>
      <w:r w:rsidRPr="00A05698">
        <w:t>Cette carte (fig.10) n</w:t>
      </w:r>
      <w:r w:rsidR="00A05714" w:rsidRPr="00A05698">
        <w:t>’</w:t>
      </w:r>
      <w:r w:rsidRPr="00A05698">
        <w:t>est donc qu</w:t>
      </w:r>
      <w:r w:rsidR="00A05714" w:rsidRPr="00A05698">
        <w:t>’</w:t>
      </w:r>
      <w:r w:rsidRPr="00A05698">
        <w:t>une représentation graphique de la répartition des grands groupes ethniques à travers le territoire bissau-guinéen. Elle ne prend pas en compte les nombreuses zones dans lesquelles certaines communautés sont minoritaires mais très présentes. Il n</w:t>
      </w:r>
      <w:r w:rsidR="00A05714" w:rsidRPr="00A05698">
        <w:t>’</w:t>
      </w:r>
      <w:r w:rsidRPr="00A05698">
        <w:t>est également pas rare qu</w:t>
      </w:r>
      <w:r w:rsidR="00A05714" w:rsidRPr="00A05698">
        <w:t>’</w:t>
      </w:r>
      <w:r w:rsidRPr="00A05698">
        <w:t>à l</w:t>
      </w:r>
      <w:r w:rsidR="00A05714" w:rsidRPr="00A05698">
        <w:t>’</w:t>
      </w:r>
      <w:r w:rsidRPr="00A05698">
        <w:t>intérieur d</w:t>
      </w:r>
      <w:r w:rsidR="00A05714" w:rsidRPr="00A05698">
        <w:t>’</w:t>
      </w:r>
      <w:r w:rsidRPr="00A05698">
        <w:t>une zone majoritairement occupée par des </w:t>
      </w:r>
      <w:hyperlink r:id="rId40" w:history="1">
        <w:r w:rsidRPr="00A05698">
          <w:t>Balantes</w:t>
        </w:r>
      </w:hyperlink>
      <w:r w:rsidRPr="00A05698">
        <w:t> - par exemple - un village 100% </w:t>
      </w:r>
      <w:hyperlink r:id="rId41" w:history="1">
        <w:r w:rsidRPr="00A05698">
          <w:t>manjak</w:t>
        </w:r>
      </w:hyperlink>
      <w:r w:rsidRPr="00A05698">
        <w:t> ait été créé.</w:t>
      </w:r>
    </w:p>
    <w:p w:rsidR="007C0EBB" w:rsidRPr="00A05698" w:rsidRDefault="007C0EBB" w:rsidP="00C53A12">
      <w:pPr>
        <w:spacing w:before="120" w:after="120"/>
        <w:jc w:val="both"/>
      </w:pPr>
      <w:r w:rsidRPr="00A05698">
        <w:t>Répartition approximative des </w:t>
      </w:r>
      <w:hyperlink r:id="rId42" w:history="1">
        <w:r w:rsidRPr="00A05698">
          <w:t>groupes ethniques</w:t>
        </w:r>
      </w:hyperlink>
      <w:r w:rsidRPr="00A05698">
        <w:t> : </w:t>
      </w:r>
      <w:hyperlink r:id="rId43" w:history="1">
        <w:r w:rsidRPr="00A05698">
          <w:t>Balantes</w:t>
        </w:r>
      </w:hyperlink>
      <w:r w:rsidRPr="00A05698">
        <w:t> 30%, </w:t>
      </w:r>
      <w:hyperlink r:id="rId44" w:history="1">
        <w:r w:rsidRPr="00A05698">
          <w:t>Peulhs</w:t>
        </w:r>
      </w:hyperlink>
      <w:r w:rsidRPr="00A05698">
        <w:t> 20%, Mandingues 14%, </w:t>
      </w:r>
      <w:hyperlink r:id="rId45" w:history="1">
        <w:r w:rsidRPr="00A05698">
          <w:t>Manjaks</w:t>
        </w:r>
      </w:hyperlink>
      <w:r w:rsidRPr="00A05698">
        <w:t> 13%, </w:t>
      </w:r>
      <w:hyperlink r:id="rId46" w:history="1">
        <w:r w:rsidRPr="00A05698">
          <w:t>Papels</w:t>
        </w:r>
      </w:hyperlink>
      <w:r w:rsidRPr="00A05698">
        <w:t> 7%, Beafadas 3%, </w:t>
      </w:r>
      <w:hyperlink r:id="rId47" w:history="1">
        <w:r w:rsidRPr="00A05698">
          <w:t>Mankagnes</w:t>
        </w:r>
      </w:hyperlink>
      <w:r w:rsidRPr="00A05698">
        <w:t> 3%, </w:t>
      </w:r>
      <w:hyperlink r:id="rId48" w:history="1">
        <w:r w:rsidRPr="00A05698">
          <w:t>Bijagos</w:t>
        </w:r>
      </w:hyperlink>
      <w:r w:rsidRPr="00A05698">
        <w:t> 2,5%</w:t>
      </w:r>
    </w:p>
    <w:p w:rsidR="007C0EBB" w:rsidRPr="00A05698" w:rsidRDefault="007C0EBB" w:rsidP="004F4212">
      <w:pPr>
        <w:autoSpaceDE w:val="0"/>
        <w:autoSpaceDN w:val="0"/>
        <w:adjustRightInd w:val="0"/>
        <w:ind w:left="-284"/>
        <w:jc w:val="both"/>
        <w:rPr>
          <w:color w:val="000000"/>
        </w:rPr>
      </w:pPr>
    </w:p>
    <w:p w:rsidR="007C0EBB" w:rsidRPr="00A05698" w:rsidRDefault="007C0EBB" w:rsidP="004F4212">
      <w:pPr>
        <w:pStyle w:val="NormalWeb"/>
        <w:shd w:val="clear" w:color="auto" w:fill="48796A"/>
        <w:jc w:val="center"/>
        <w:rPr>
          <w:color w:val="FFFFCC"/>
          <w:sz w:val="18"/>
          <w:szCs w:val="18"/>
        </w:rPr>
      </w:pPr>
      <w:r w:rsidRPr="00A05698">
        <w:rPr>
          <w:noProof/>
          <w:color w:val="FFFFCC"/>
          <w:sz w:val="18"/>
          <w:szCs w:val="18"/>
          <w:lang w:val="pt-PT" w:eastAsia="pt-PT"/>
        </w:rPr>
        <w:lastRenderedPageBreak/>
        <w:drawing>
          <wp:inline distT="0" distB="0" distL="0" distR="0" wp14:anchorId="2E8C6208" wp14:editId="4EB68E1F">
            <wp:extent cx="5851552" cy="4266565"/>
            <wp:effectExtent l="0" t="0" r="0" b="635"/>
            <wp:docPr id="44" name="Image 44" descr="Répartition géographiques des ethnies de Guinée-Bis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partition géographiques des ethnies de Guinée-Bissau"/>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15017" cy="4312840"/>
                    </a:xfrm>
                    <a:prstGeom prst="rect">
                      <a:avLst/>
                    </a:prstGeom>
                    <a:noFill/>
                    <a:ln>
                      <a:noFill/>
                    </a:ln>
                  </pic:spPr>
                </pic:pic>
              </a:graphicData>
            </a:graphic>
          </wp:inline>
        </w:drawing>
      </w:r>
    </w:p>
    <w:p w:rsidR="007C0EBB" w:rsidRPr="00A05698" w:rsidRDefault="007C0EBB" w:rsidP="004F42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
    <w:p w:rsidR="007C0EBB" w:rsidRPr="006277C4" w:rsidRDefault="007C0EBB" w:rsidP="004F4212">
      <w:pPr>
        <w:pStyle w:val="Primeiroavanodecorpodetexto2"/>
        <w:spacing w:line="240" w:lineRule="auto"/>
        <w:rPr>
          <w:rFonts w:ascii="Times New Roman" w:hAnsi="Times New Roman"/>
          <w:b/>
          <w:color w:val="000000"/>
          <w:sz w:val="20"/>
          <w:szCs w:val="20"/>
        </w:rPr>
      </w:pPr>
      <w:bookmarkStart w:id="249" w:name="_Toc4770179"/>
      <w:bookmarkStart w:id="250" w:name="_Toc34921338"/>
      <w:bookmarkStart w:id="251" w:name="_Toc75433072"/>
      <w:r w:rsidRPr="006277C4">
        <w:rPr>
          <w:rFonts w:ascii="Times New Roman" w:hAnsi="Times New Roman"/>
          <w:b/>
          <w:sz w:val="20"/>
          <w:szCs w:val="20"/>
        </w:rPr>
        <w:t xml:space="preserve">Figure </w:t>
      </w:r>
      <w:r w:rsidRPr="006277C4">
        <w:rPr>
          <w:rFonts w:ascii="Times New Roman" w:hAnsi="Times New Roman"/>
          <w:b/>
          <w:sz w:val="20"/>
          <w:szCs w:val="20"/>
        </w:rPr>
        <w:fldChar w:fldCharType="begin"/>
      </w:r>
      <w:r w:rsidRPr="006277C4">
        <w:rPr>
          <w:rFonts w:ascii="Times New Roman" w:hAnsi="Times New Roman"/>
          <w:b/>
          <w:sz w:val="20"/>
          <w:szCs w:val="20"/>
        </w:rPr>
        <w:instrText xml:space="preserve"> </w:instrText>
      </w:r>
      <w:r w:rsidR="006C5620" w:rsidRPr="006277C4">
        <w:rPr>
          <w:rFonts w:ascii="Times New Roman" w:hAnsi="Times New Roman"/>
          <w:b/>
          <w:sz w:val="20"/>
          <w:szCs w:val="20"/>
        </w:rPr>
        <w:instrText>SEQ</w:instrText>
      </w:r>
      <w:r w:rsidRPr="006277C4">
        <w:rPr>
          <w:rFonts w:ascii="Times New Roman" w:hAnsi="Times New Roman"/>
          <w:b/>
          <w:sz w:val="20"/>
          <w:szCs w:val="20"/>
        </w:rPr>
        <w:instrText xml:space="preserve"> Figure \* ARABIC </w:instrText>
      </w:r>
      <w:r w:rsidRPr="006277C4">
        <w:rPr>
          <w:rFonts w:ascii="Times New Roman" w:hAnsi="Times New Roman"/>
          <w:b/>
          <w:sz w:val="20"/>
          <w:szCs w:val="20"/>
        </w:rPr>
        <w:fldChar w:fldCharType="separate"/>
      </w:r>
      <w:r w:rsidR="00BE0248" w:rsidRPr="006277C4">
        <w:rPr>
          <w:rFonts w:ascii="Times New Roman" w:hAnsi="Times New Roman"/>
          <w:b/>
          <w:noProof/>
          <w:sz w:val="20"/>
          <w:szCs w:val="20"/>
        </w:rPr>
        <w:t>7</w:t>
      </w:r>
      <w:r w:rsidRPr="006277C4">
        <w:rPr>
          <w:rFonts w:ascii="Times New Roman" w:hAnsi="Times New Roman"/>
          <w:b/>
          <w:sz w:val="20"/>
          <w:szCs w:val="20"/>
        </w:rPr>
        <w:fldChar w:fldCharType="end"/>
      </w:r>
      <w:r w:rsidRPr="006277C4">
        <w:rPr>
          <w:rFonts w:ascii="Times New Roman" w:hAnsi="Times New Roman"/>
          <w:b/>
          <w:sz w:val="20"/>
          <w:szCs w:val="20"/>
        </w:rPr>
        <w:t> : représentation graphique de la répartition des grands groupes ethniques</w:t>
      </w:r>
      <w:bookmarkEnd w:id="249"/>
      <w:bookmarkEnd w:id="250"/>
      <w:bookmarkEnd w:id="251"/>
    </w:p>
    <w:p w:rsidR="007C0EBB" w:rsidRPr="00A05698" w:rsidRDefault="007C0EBB" w:rsidP="000D0061">
      <w:pPr>
        <w:jc w:val="both"/>
      </w:pPr>
      <w:r w:rsidRPr="00A05698">
        <w:t>La langue officielle est le portugais, mais le créole est une des langues interethniques la plus parlée, notamment à Bissau. Toutefois, les ethnies principales conservent leurs langues d</w:t>
      </w:r>
      <w:r w:rsidR="00A05714" w:rsidRPr="00A05698">
        <w:t>’</w:t>
      </w:r>
      <w:r w:rsidRPr="00A05698">
        <w:t xml:space="preserve">origine. </w:t>
      </w:r>
    </w:p>
    <w:p w:rsidR="007C0EBB" w:rsidRPr="00A05698" w:rsidRDefault="004E5433" w:rsidP="00E058CB">
      <w:pPr>
        <w:pStyle w:val="PargrafodaLista"/>
        <w:keepNext/>
        <w:spacing w:before="240" w:after="0" w:line="240" w:lineRule="auto"/>
        <w:ind w:left="1158" w:right="284" w:firstLine="258"/>
        <w:jc w:val="both"/>
        <w:outlineLvl w:val="2"/>
        <w:rPr>
          <w:rFonts w:ascii="Times New Roman" w:hAnsi="Times New Roman"/>
          <w:b/>
          <w:sz w:val="24"/>
          <w:szCs w:val="24"/>
        </w:rPr>
      </w:pPr>
      <w:bookmarkStart w:id="252" w:name="_Toc535396937"/>
      <w:bookmarkStart w:id="253" w:name="_Toc6310477"/>
      <w:bookmarkStart w:id="254" w:name="_Toc51084445"/>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3</w:t>
      </w:r>
      <w:r w:rsidR="007C0EBB" w:rsidRPr="00A05698">
        <w:rPr>
          <w:rFonts w:ascii="Times New Roman" w:hAnsi="Times New Roman"/>
          <w:b/>
          <w:sz w:val="24"/>
          <w:szCs w:val="24"/>
        </w:rPr>
        <w:t>.3.  Religions</w:t>
      </w:r>
      <w:bookmarkEnd w:id="252"/>
      <w:bookmarkEnd w:id="253"/>
      <w:bookmarkEnd w:id="254"/>
    </w:p>
    <w:p w:rsidR="007C0EBB" w:rsidRPr="00A05698" w:rsidRDefault="007C0EBB" w:rsidP="000D0061">
      <w:pPr>
        <w:jc w:val="both"/>
      </w:pPr>
      <w:r w:rsidRPr="00A05698">
        <w:t>Au niveau de la religion, on distingue trois (03) principales religions qui sont : 19,7 % chrétiens,</w:t>
      </w:r>
      <w:r w:rsidR="00391EA0">
        <w:t xml:space="preserve"> </w:t>
      </w:r>
      <w:r w:rsidRPr="00A05698">
        <w:t>30,1% musulmans, 30,9% religions traditionnelles.</w:t>
      </w:r>
    </w:p>
    <w:p w:rsidR="007C0EBB" w:rsidRPr="00A05698" w:rsidRDefault="004E5433" w:rsidP="00E058CB">
      <w:pPr>
        <w:pStyle w:val="PargrafodaLista"/>
        <w:keepNext/>
        <w:spacing w:before="240" w:after="0" w:line="240" w:lineRule="auto"/>
        <w:ind w:left="1158" w:right="284" w:firstLine="258"/>
        <w:jc w:val="both"/>
        <w:outlineLvl w:val="2"/>
        <w:rPr>
          <w:rFonts w:ascii="Times New Roman" w:hAnsi="Times New Roman"/>
          <w:b/>
          <w:sz w:val="24"/>
          <w:szCs w:val="24"/>
        </w:rPr>
      </w:pPr>
      <w:bookmarkStart w:id="255" w:name="_Toc535396940"/>
      <w:bookmarkStart w:id="256" w:name="_Toc6310480"/>
      <w:bookmarkStart w:id="257" w:name="_Toc51084446"/>
      <w:r w:rsidRPr="00A05698">
        <w:rPr>
          <w:rFonts w:ascii="Times New Roman" w:hAnsi="Times New Roman"/>
          <w:b/>
          <w:sz w:val="24"/>
          <w:szCs w:val="24"/>
        </w:rPr>
        <w:t>4</w:t>
      </w:r>
      <w:r w:rsidR="007C0EBB" w:rsidRPr="00A05698">
        <w:rPr>
          <w:rFonts w:ascii="Times New Roman" w:hAnsi="Times New Roman"/>
          <w:b/>
          <w:sz w:val="24"/>
          <w:szCs w:val="24"/>
        </w:rPr>
        <w:t>.</w:t>
      </w:r>
      <w:r w:rsidR="00E058CB">
        <w:rPr>
          <w:rFonts w:ascii="Times New Roman" w:hAnsi="Times New Roman"/>
          <w:b/>
          <w:sz w:val="24"/>
          <w:szCs w:val="24"/>
        </w:rPr>
        <w:t>3</w:t>
      </w:r>
      <w:r w:rsidR="007C0EBB" w:rsidRPr="00A05698">
        <w:rPr>
          <w:rFonts w:ascii="Times New Roman" w:hAnsi="Times New Roman"/>
          <w:b/>
          <w:sz w:val="24"/>
          <w:szCs w:val="24"/>
        </w:rPr>
        <w:t>.4. Ressources agricoles</w:t>
      </w:r>
      <w:bookmarkEnd w:id="255"/>
      <w:bookmarkEnd w:id="256"/>
      <w:bookmarkEnd w:id="257"/>
    </w:p>
    <w:p w:rsidR="007C0EBB" w:rsidRPr="00A05698" w:rsidRDefault="007C0EBB" w:rsidP="000D0061">
      <w:pPr>
        <w:jc w:val="both"/>
      </w:pPr>
      <w:r w:rsidRPr="00A05698">
        <w:t>L</w:t>
      </w:r>
      <w:r w:rsidR="00A05714" w:rsidRPr="00A05698">
        <w:t>’</w:t>
      </w:r>
      <w:r w:rsidRPr="00A05698">
        <w:t>agriculture est considérée comme la base de l</w:t>
      </w:r>
      <w:r w:rsidR="00A05714" w:rsidRPr="00A05698">
        <w:t>’</w:t>
      </w:r>
      <w:r w:rsidRPr="00A05698">
        <w:t xml:space="preserve">économie de la Guinée-Bissau </w:t>
      </w:r>
      <w:r w:rsidR="0060580B" w:rsidRPr="00A05698">
        <w:t xml:space="preserve">du fait de </w:t>
      </w:r>
      <w:r w:rsidRPr="00A05698">
        <w:t xml:space="preserve">son poids </w:t>
      </w:r>
      <w:r w:rsidR="0060580B" w:rsidRPr="00A05698">
        <w:t>sur</w:t>
      </w:r>
      <w:r w:rsidRPr="00A05698">
        <w:t xml:space="preserve"> l</w:t>
      </w:r>
      <w:r w:rsidR="00A05714" w:rsidRPr="00A05698">
        <w:t>’</w:t>
      </w:r>
      <w:r w:rsidRPr="00A05698">
        <w:t>économie nationale et dans la consommation de la population (Plan d</w:t>
      </w:r>
      <w:r w:rsidR="00A05714" w:rsidRPr="00A05698">
        <w:t>’</w:t>
      </w:r>
      <w:r w:rsidRPr="00A05698">
        <w:t>action de la Charte de la politique de développement agricole, décembre 1997). Il contribue pour 50% au produit intérieur brut (PIB), emploie le plus environ 80% de la population active et, en 1999, fournissait environ 95,2% des recettes d</w:t>
      </w:r>
      <w:r w:rsidR="00A05714" w:rsidRPr="00A05698">
        <w:t>’</w:t>
      </w:r>
      <w:r w:rsidRPr="00A05698">
        <w:t>exportation totales du pays. La zone en faveur des activités agricoles couvre une superficie de 1 100 000 hectares, soit un tiers de la superficie totale du pays.</w:t>
      </w:r>
    </w:p>
    <w:p w:rsidR="00E6467D" w:rsidRPr="00A05698" w:rsidRDefault="00E6467D" w:rsidP="000D0061">
      <w:pPr>
        <w:jc w:val="both"/>
      </w:pPr>
    </w:p>
    <w:p w:rsidR="007C0EBB" w:rsidRPr="00A05698" w:rsidRDefault="007C0EBB" w:rsidP="000D0061">
      <w:pPr>
        <w:jc w:val="both"/>
      </w:pPr>
      <w:r w:rsidRPr="00A05698">
        <w:t>La superficie utilisée n</w:t>
      </w:r>
      <w:r w:rsidR="00A05714" w:rsidRPr="00A05698">
        <w:t>’</w:t>
      </w:r>
      <w:r w:rsidRPr="00A05698">
        <w:t>est que de 400 000 hectares, dont 220 000 sont consacrés aux cultures de riz, d</w:t>
      </w:r>
      <w:r w:rsidR="00A05714" w:rsidRPr="00A05698">
        <w:t>’</w:t>
      </w:r>
      <w:r w:rsidRPr="00A05698">
        <w:t>arachides, de manioc, de maïs, de sorgho, de pomme de terre et patates douces, entre autres. Sur les 180 000 hectares restants, davantage de cultures commerciales telles que la noix de cajou, les noix de palme, les fruits tropicaux et autres (Plan d’action pour les PMA, page 8, 2000) sont réalisées.</w:t>
      </w:r>
    </w:p>
    <w:p w:rsidR="00E33F83" w:rsidRPr="00A05698" w:rsidRDefault="00E33F83" w:rsidP="000D0061">
      <w:pPr>
        <w:jc w:val="both"/>
      </w:pPr>
    </w:p>
    <w:p w:rsidR="00E33F83" w:rsidRPr="00A05698" w:rsidRDefault="007C0EBB" w:rsidP="000D0061">
      <w:pPr>
        <w:jc w:val="both"/>
      </w:pPr>
      <w:r w:rsidRPr="00A05698">
        <w:lastRenderedPageBreak/>
        <w:t>Bien que défini comme le secteur prioritaire dans la stratégie de développement du pays, la réalité est que les ressources attribuées à ce secteur ont été insuffisantes pour le développement attendu. Les données du Plan d</w:t>
      </w:r>
      <w:r w:rsidR="00A05714" w:rsidRPr="00A05698">
        <w:t>’</w:t>
      </w:r>
      <w:r w:rsidRPr="00A05698">
        <w:t>action pour les PMA indiquent que, pendant la période 1997-1999, les ressources financières allouées à ce secteur n</w:t>
      </w:r>
      <w:r w:rsidR="00A05714" w:rsidRPr="00A05698">
        <w:t>’</w:t>
      </w:r>
      <w:r w:rsidRPr="00A05698">
        <w:t>ont pas dépassé en moyenne 0,86% du produit intérieur brut (PIB). Malgré son importance pour garantir la subsistance d</w:t>
      </w:r>
      <w:r w:rsidR="00A05714" w:rsidRPr="00A05698">
        <w:t>’</w:t>
      </w:r>
      <w:r w:rsidRPr="00A05698">
        <w:t>une grande majorité de la population, le secteur agricole a connu un développement bien en deçà des attentes, les agriculteurs ayant un faible niveau de formation face aux technologies modernes, l</w:t>
      </w:r>
      <w:r w:rsidR="00A05714" w:rsidRPr="00A05698">
        <w:t>’</w:t>
      </w:r>
      <w:r w:rsidRPr="00A05698">
        <w:t>accès à un crédit limité, travaillant souvent la terre pour le compte de tiers, principalement dans les entreprises exportatrices et à faible productivité agraire dans les propriétés individuelles.</w:t>
      </w:r>
    </w:p>
    <w:p w:rsidR="007C0EBB" w:rsidRPr="00A05698" w:rsidRDefault="007C0EBB" w:rsidP="000D0061">
      <w:pPr>
        <w:jc w:val="both"/>
      </w:pPr>
      <w:r w:rsidRPr="00A05698">
        <w:t>Cependant, le secteur a enregistré une certaine croissance, à la fois en volume et en valeur, grâce aux investissements privés. Par exemple, la production à prix constants (1986) de 1990 à 1999, stimulée par l’amélioration relative des prix à la production, est passée de 42,9 milliards de francs en 1990 à 54,2 milliards de francs en 1999, soit plus de 26%.</w:t>
      </w:r>
    </w:p>
    <w:p w:rsidR="007C0EBB" w:rsidRPr="00A05698" w:rsidRDefault="007C0EBB" w:rsidP="000D0061">
      <w:pPr>
        <w:jc w:val="both"/>
      </w:pPr>
      <w:r w:rsidRPr="00A05698">
        <w:t>La production céréalière a également augmenté entre 1994 et 1997, à l</w:t>
      </w:r>
      <w:r w:rsidR="00A05714" w:rsidRPr="00A05698">
        <w:t>’</w:t>
      </w:r>
      <w:r w:rsidRPr="00A05698">
        <w:t>exception de 1996, où la production a enregistré un taux négatif de -1,6%. En 1998, à la suite d</w:t>
      </w:r>
      <w:r w:rsidR="00A05714" w:rsidRPr="00A05698">
        <w:t>’</w:t>
      </w:r>
      <w:r w:rsidRPr="00A05698">
        <w:t>un conflit politique militaire, la production de céréales a diminué de 6%. Cette tendance s’est inversée en 1999, même si elle reste insuffisante pour couvrir les besoins alimentaires de la population.</w:t>
      </w:r>
    </w:p>
    <w:p w:rsidR="00E33F83" w:rsidRDefault="007C0EBB" w:rsidP="000D0061">
      <w:pPr>
        <w:jc w:val="both"/>
      </w:pPr>
      <w:r w:rsidRPr="00A05698">
        <w:t>La production de tubercules, de patates douces, de légumes et de fruits a augmenté entre 1994 et 1997, respectivement de 80%, 91% et 156%.</w:t>
      </w:r>
    </w:p>
    <w:p w:rsidR="00A74F4A" w:rsidRDefault="00A74F4A" w:rsidP="000D0061">
      <w:pPr>
        <w:jc w:val="both"/>
      </w:pPr>
    </w:p>
    <w:p w:rsidR="00A74F4A" w:rsidRPr="00A05698" w:rsidRDefault="00A74F4A" w:rsidP="000D0061">
      <w:pPr>
        <w:jc w:val="both"/>
      </w:pPr>
      <w:r>
        <w:t>Ainsi, les femmes sont beaucoup plus impliquées au niveau national dans le secteur de la production du riz mais aussi dans les secteurs de transformation des produit</w:t>
      </w:r>
      <w:r w:rsidR="00391EA0">
        <w:t>s</w:t>
      </w:r>
      <w:r>
        <w:t xml:space="preserve"> agricoles. Avec la création des nouvelles associations comme ANAE et d’autre soutenus par les organisations humanitaires et les bailleurs permet une croissance rapidement des activités agricoles et maraichers dans leur zone. Des études sont </w:t>
      </w:r>
      <w:r w:rsidR="00B412D3">
        <w:t>entrainées</w:t>
      </w:r>
      <w:r>
        <w:t xml:space="preserve"> d’être </w:t>
      </w:r>
      <w:r w:rsidR="00391EA0">
        <w:t>menées pour recenser l’ensemble</w:t>
      </w:r>
      <w:r>
        <w:t xml:space="preserve"> des associations des femmes qui intervient dans le secteur de la production agricole mais aussi de la transformation. </w:t>
      </w:r>
    </w:p>
    <w:p w:rsidR="00E33F83" w:rsidRPr="00A05698" w:rsidRDefault="00B9175D" w:rsidP="00E058CB">
      <w:pPr>
        <w:pStyle w:val="PargrafodaLista"/>
        <w:keepNext/>
        <w:spacing w:before="240" w:after="0" w:line="240" w:lineRule="auto"/>
        <w:ind w:left="1866" w:right="284" w:firstLine="258"/>
        <w:jc w:val="both"/>
        <w:outlineLvl w:val="2"/>
        <w:rPr>
          <w:rFonts w:ascii="Times New Roman" w:hAnsi="Times New Roman"/>
          <w:b/>
          <w:sz w:val="24"/>
          <w:szCs w:val="24"/>
        </w:rPr>
      </w:pPr>
      <w:r w:rsidRPr="00A05698">
        <w:rPr>
          <w:rFonts w:ascii="Times New Roman" w:hAnsi="Times New Roman"/>
          <w:b/>
          <w:sz w:val="24"/>
          <w:szCs w:val="24"/>
        </w:rPr>
        <w:t>4.</w:t>
      </w:r>
      <w:r w:rsidR="00E058CB">
        <w:rPr>
          <w:rFonts w:ascii="Times New Roman" w:hAnsi="Times New Roman"/>
          <w:b/>
          <w:sz w:val="24"/>
          <w:szCs w:val="24"/>
        </w:rPr>
        <w:t>3</w:t>
      </w:r>
      <w:r w:rsidR="004E5433" w:rsidRPr="00A05698">
        <w:rPr>
          <w:rFonts w:ascii="Times New Roman" w:hAnsi="Times New Roman"/>
          <w:b/>
          <w:sz w:val="24"/>
          <w:szCs w:val="24"/>
        </w:rPr>
        <w:t xml:space="preserve">.4.1 </w:t>
      </w:r>
      <w:r w:rsidRPr="00A05698">
        <w:rPr>
          <w:rFonts w:ascii="Times New Roman" w:hAnsi="Times New Roman"/>
          <w:b/>
          <w:sz w:val="24"/>
          <w:szCs w:val="24"/>
        </w:rPr>
        <w:t>Evaluation de la production céréalière</w:t>
      </w:r>
      <w:r w:rsidR="00711376" w:rsidRPr="00A05698">
        <w:rPr>
          <w:rFonts w:ascii="Times New Roman" w:hAnsi="Times New Roman"/>
          <w:b/>
          <w:sz w:val="24"/>
          <w:szCs w:val="24"/>
        </w:rPr>
        <w:t xml:space="preserve"> en 2020 et 2021</w:t>
      </w:r>
    </w:p>
    <w:p w:rsidR="009B5A8F" w:rsidRDefault="009B5A8F" w:rsidP="000D0061">
      <w:pPr>
        <w:jc w:val="both"/>
      </w:pPr>
      <w:r w:rsidRPr="00A05698">
        <w:t xml:space="preserve">La production prévisionnelle brute céréalière totale (riz, maïs, sorgho, mil, fonio) pour la campagne 2020/2021 est estimée à 257.504 tonnes. </w:t>
      </w:r>
      <w:r w:rsidR="005F14C1">
        <w:t>Ainsi, grâce à l’augmentation des superficies</w:t>
      </w:r>
      <w:r w:rsidR="00976E2D">
        <w:t>, e</w:t>
      </w:r>
      <w:r w:rsidRPr="00A05698">
        <w:t xml:space="preserve">lle accuse une hausse de 7,0% par rapport à la production céréalière totale définitive de la campagne agricole précédente qui était de 239.576 tonnes et une hausse de 15,0% par rapport à la moyenne des 5 dernières années (221.666 tonnes). La production prévisionnelle totale de céréales sèches est estimée à 59.362 tonnes contre 52.576 tonnes de la campagne agricole 2019/2020. Elle accuse une hausse de 11,4% et de 27,8% par rapport à celles de la moyenne des 5 dernières années (2015/2019).  Les données par cultures sont présentées dans le tableau </w:t>
      </w:r>
      <w:r w:rsidR="00C144CC" w:rsidRPr="00A05698">
        <w:t>1</w:t>
      </w:r>
      <w:r w:rsidRPr="00A05698">
        <w:t>3 ci-après :</w:t>
      </w:r>
    </w:p>
    <w:p w:rsidR="000D0061" w:rsidRDefault="000D0061" w:rsidP="000D0061">
      <w:pPr>
        <w:jc w:val="both"/>
      </w:pPr>
    </w:p>
    <w:p w:rsidR="000D0061" w:rsidRDefault="000D0061" w:rsidP="000D0061">
      <w:pPr>
        <w:jc w:val="both"/>
      </w:pPr>
    </w:p>
    <w:p w:rsidR="000D0061" w:rsidRDefault="000D0061" w:rsidP="000D0061">
      <w:pPr>
        <w:jc w:val="both"/>
      </w:pPr>
    </w:p>
    <w:p w:rsidR="000D0061" w:rsidRDefault="000D0061" w:rsidP="000D0061">
      <w:pPr>
        <w:jc w:val="both"/>
      </w:pPr>
    </w:p>
    <w:p w:rsidR="000D0061" w:rsidRDefault="000D0061" w:rsidP="000D0061">
      <w:pPr>
        <w:jc w:val="both"/>
      </w:pPr>
    </w:p>
    <w:p w:rsidR="000D0061" w:rsidRDefault="000D0061" w:rsidP="000D0061">
      <w:pPr>
        <w:jc w:val="both"/>
      </w:pPr>
    </w:p>
    <w:p w:rsidR="000D0061" w:rsidRDefault="000D0061" w:rsidP="000D0061">
      <w:pPr>
        <w:jc w:val="both"/>
      </w:pPr>
    </w:p>
    <w:p w:rsidR="000D0061" w:rsidRDefault="000D0061" w:rsidP="000D0061">
      <w:pPr>
        <w:jc w:val="both"/>
      </w:pPr>
    </w:p>
    <w:p w:rsidR="000D0061" w:rsidRDefault="000D0061" w:rsidP="000D0061">
      <w:pPr>
        <w:jc w:val="both"/>
      </w:pPr>
    </w:p>
    <w:p w:rsidR="000D0061" w:rsidRDefault="000D0061" w:rsidP="000D0061">
      <w:pPr>
        <w:jc w:val="both"/>
      </w:pPr>
    </w:p>
    <w:p w:rsidR="000D0061" w:rsidRPr="00A05698" w:rsidRDefault="000D0061" w:rsidP="000D0061">
      <w:pPr>
        <w:jc w:val="both"/>
      </w:pPr>
    </w:p>
    <w:p w:rsidR="006277C4" w:rsidRDefault="006277C4" w:rsidP="00C144CC">
      <w:pPr>
        <w:pStyle w:val="Primeiroavanodecorpodetexto2"/>
        <w:spacing w:after="0" w:line="240" w:lineRule="auto"/>
        <w:jc w:val="center"/>
        <w:rPr>
          <w:rFonts w:ascii="Times New Roman" w:hAnsi="Times New Roman"/>
          <w:b/>
          <w:sz w:val="20"/>
          <w:szCs w:val="20"/>
        </w:rPr>
      </w:pPr>
    </w:p>
    <w:p w:rsidR="00C144CC" w:rsidRPr="000D0061" w:rsidRDefault="00C144CC" w:rsidP="00C144CC">
      <w:pPr>
        <w:pStyle w:val="Primeiroavanodecorpodetexto2"/>
        <w:spacing w:after="0" w:line="240" w:lineRule="auto"/>
        <w:jc w:val="center"/>
        <w:rPr>
          <w:rFonts w:ascii="Times New Roman" w:hAnsi="Times New Roman"/>
          <w:b/>
          <w:sz w:val="20"/>
          <w:szCs w:val="20"/>
        </w:rPr>
      </w:pPr>
      <w:bookmarkStart w:id="258" w:name="_Toc75503444"/>
      <w:r w:rsidRPr="000D0061">
        <w:rPr>
          <w:rFonts w:ascii="Times New Roman" w:hAnsi="Times New Roman"/>
          <w:b/>
          <w:sz w:val="20"/>
          <w:szCs w:val="20"/>
        </w:rPr>
        <w:lastRenderedPageBreak/>
        <w:t xml:space="preserve">Tableau </w:t>
      </w:r>
      <w:r w:rsidRPr="000D0061">
        <w:rPr>
          <w:rFonts w:ascii="Times New Roman" w:hAnsi="Times New Roman"/>
          <w:b/>
          <w:sz w:val="20"/>
          <w:szCs w:val="20"/>
        </w:rPr>
        <w:fldChar w:fldCharType="begin"/>
      </w:r>
      <w:r w:rsidRPr="000D0061">
        <w:rPr>
          <w:rFonts w:ascii="Times New Roman" w:hAnsi="Times New Roman"/>
          <w:b/>
          <w:sz w:val="20"/>
          <w:szCs w:val="20"/>
        </w:rPr>
        <w:instrText xml:space="preserve"> </w:instrText>
      </w:r>
      <w:r w:rsidR="006C5620" w:rsidRPr="000D0061">
        <w:rPr>
          <w:rFonts w:ascii="Times New Roman" w:hAnsi="Times New Roman"/>
          <w:b/>
          <w:sz w:val="20"/>
          <w:szCs w:val="20"/>
        </w:rPr>
        <w:instrText>SEQ</w:instrText>
      </w:r>
      <w:r w:rsidRPr="000D0061">
        <w:rPr>
          <w:rFonts w:ascii="Times New Roman" w:hAnsi="Times New Roman"/>
          <w:b/>
          <w:sz w:val="20"/>
          <w:szCs w:val="20"/>
        </w:rPr>
        <w:instrText xml:space="preserve"> Tableau \* ARABIC </w:instrText>
      </w:r>
      <w:r w:rsidRPr="000D0061">
        <w:rPr>
          <w:rFonts w:ascii="Times New Roman" w:hAnsi="Times New Roman"/>
          <w:b/>
          <w:sz w:val="20"/>
          <w:szCs w:val="20"/>
        </w:rPr>
        <w:fldChar w:fldCharType="separate"/>
      </w:r>
      <w:r w:rsidR="00D51AB3" w:rsidRPr="000D0061">
        <w:rPr>
          <w:rFonts w:ascii="Times New Roman" w:hAnsi="Times New Roman"/>
          <w:b/>
          <w:noProof/>
          <w:sz w:val="20"/>
          <w:szCs w:val="20"/>
        </w:rPr>
        <w:t>10</w:t>
      </w:r>
      <w:r w:rsidRPr="000D0061">
        <w:rPr>
          <w:rFonts w:ascii="Times New Roman" w:hAnsi="Times New Roman"/>
          <w:b/>
          <w:sz w:val="20"/>
          <w:szCs w:val="20"/>
        </w:rPr>
        <w:fldChar w:fldCharType="end"/>
      </w:r>
      <w:r w:rsidRPr="000D0061">
        <w:rPr>
          <w:rFonts w:ascii="Times New Roman" w:hAnsi="Times New Roman"/>
          <w:b/>
          <w:sz w:val="20"/>
          <w:szCs w:val="20"/>
        </w:rPr>
        <w:t>: Evaluation de la production céréalière en 2020 et 2021</w:t>
      </w:r>
      <w:bookmarkEnd w:id="258"/>
    </w:p>
    <w:p w:rsidR="009B5A8F" w:rsidRPr="00A05698" w:rsidRDefault="009B5A8F" w:rsidP="009B5A8F">
      <w:pPr>
        <w:tabs>
          <w:tab w:val="left" w:pos="360"/>
        </w:tabs>
        <w:overflowPunct w:val="0"/>
        <w:autoSpaceDE w:val="0"/>
        <w:autoSpaceDN w:val="0"/>
        <w:adjustRightInd w:val="0"/>
        <w:jc w:val="center"/>
        <w:textAlignment w:val="baseline"/>
        <w:rPr>
          <w:bCs/>
          <w:iCs/>
          <w:color w:val="FF0000"/>
        </w:rPr>
      </w:pPr>
      <w:r w:rsidRPr="00A05698">
        <w:rPr>
          <w:noProof/>
          <w:lang w:val="pt-PT" w:eastAsia="pt-PT"/>
        </w:rPr>
        <w:drawing>
          <wp:inline distT="0" distB="0" distL="0" distR="0" wp14:anchorId="4EC7D6CC" wp14:editId="638834F6">
            <wp:extent cx="5107305" cy="3737113"/>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t="4000" b="32074"/>
                    <a:stretch/>
                  </pic:blipFill>
                  <pic:spPr bwMode="auto">
                    <a:xfrm>
                      <a:off x="0" y="0"/>
                      <a:ext cx="5121057" cy="3747176"/>
                    </a:xfrm>
                    <a:prstGeom prst="rect">
                      <a:avLst/>
                    </a:prstGeom>
                    <a:noFill/>
                    <a:ln>
                      <a:noFill/>
                    </a:ln>
                    <a:extLst>
                      <a:ext uri="{53640926-AAD7-44D8-BBD7-CCE9431645EC}">
                        <a14:shadowObscured xmlns:a14="http://schemas.microsoft.com/office/drawing/2010/main"/>
                      </a:ext>
                    </a:extLst>
                  </pic:spPr>
                </pic:pic>
              </a:graphicData>
            </a:graphic>
          </wp:inline>
        </w:drawing>
      </w:r>
    </w:p>
    <w:p w:rsidR="00711376" w:rsidRPr="00A05698" w:rsidRDefault="00F7502F" w:rsidP="00F7502F">
      <w:pPr>
        <w:jc w:val="center"/>
      </w:pPr>
      <w:r w:rsidRPr="00A05698">
        <w:rPr>
          <w:noProof/>
          <w:lang w:val="pt-PT" w:eastAsia="pt-PT"/>
        </w:rPr>
        <w:drawing>
          <wp:inline distT="0" distB="0" distL="0" distR="0" wp14:anchorId="7B64ADEF" wp14:editId="6071B198">
            <wp:extent cx="5106715" cy="2027224"/>
            <wp:effectExtent l="0" t="0" r="0" b="508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28A0092B-C50C-407E-A947-70E740481C1C}">
                          <a14:useLocalDpi xmlns:a14="http://schemas.microsoft.com/office/drawing/2010/main" val="0"/>
                        </a:ext>
                      </a:extLst>
                    </a:blip>
                    <a:srcRect t="67355"/>
                    <a:stretch/>
                  </pic:blipFill>
                  <pic:spPr bwMode="auto">
                    <a:xfrm>
                      <a:off x="0" y="0"/>
                      <a:ext cx="5108575" cy="2027962"/>
                    </a:xfrm>
                    <a:prstGeom prst="rect">
                      <a:avLst/>
                    </a:prstGeom>
                    <a:noFill/>
                    <a:ln>
                      <a:noFill/>
                    </a:ln>
                    <a:extLst>
                      <a:ext uri="{53640926-AAD7-44D8-BBD7-CCE9431645EC}">
                        <a14:shadowObscured xmlns:a14="http://schemas.microsoft.com/office/drawing/2010/main"/>
                      </a:ext>
                    </a:extLst>
                  </pic:spPr>
                </pic:pic>
              </a:graphicData>
            </a:graphic>
          </wp:inline>
        </w:drawing>
      </w:r>
    </w:p>
    <w:p w:rsidR="00F7502F" w:rsidRPr="00A22110" w:rsidRDefault="00F7502F" w:rsidP="000D0061">
      <w:pPr>
        <w:jc w:val="both"/>
        <w:rPr>
          <w:i/>
        </w:rPr>
      </w:pPr>
      <w:r w:rsidRPr="00A22110">
        <w:rPr>
          <w:i/>
        </w:rPr>
        <w:t>Source : S</w:t>
      </w:r>
      <w:r w:rsidR="00AD7B4B">
        <w:rPr>
          <w:i/>
        </w:rPr>
        <w:t>ervice de statistique agricole</w:t>
      </w:r>
      <w:r w:rsidRPr="00A22110">
        <w:rPr>
          <w:i/>
        </w:rPr>
        <w:t>/MADR</w:t>
      </w:r>
      <w:r w:rsidR="00AD7B4B">
        <w:rPr>
          <w:i/>
        </w:rPr>
        <w:t>, 2021</w:t>
      </w:r>
    </w:p>
    <w:p w:rsidR="00BF7D87" w:rsidRPr="00A05698" w:rsidRDefault="00BF7D87" w:rsidP="000D0061">
      <w:pPr>
        <w:jc w:val="both"/>
      </w:pPr>
    </w:p>
    <w:p w:rsidR="009B5A8F" w:rsidRPr="00A05698" w:rsidRDefault="009B5A8F" w:rsidP="000D0061">
      <w:pPr>
        <w:jc w:val="both"/>
      </w:pPr>
      <w:r w:rsidRPr="00A05698">
        <w:t xml:space="preserve">En considérant les différents types de production du riz (pluvial, bas-fonds et mangrove), il ressort que le riz enregistre une production de 198.142 tonnes, soit une hausse de 5.6 % par rapport à celle de l’année dernière et de 11.4% par rapport à la moyenne des 5 dernières années. </w:t>
      </w:r>
    </w:p>
    <w:p w:rsidR="009B5A8F" w:rsidRPr="00A05698" w:rsidRDefault="009B5A8F" w:rsidP="000D0061">
      <w:pPr>
        <w:jc w:val="both"/>
      </w:pPr>
      <w:r w:rsidRPr="00A05698">
        <w:t>En ce qui concerne les céréales sèches, on constate une hausse de production de 28.2% pour le maïs, 18.1% pour le mil suite à une augmentation des superficies et des rendements et une baisse respective de 5.9% et 40,0% pour le sorgho et le fonio par rapport à l’</w:t>
      </w:r>
      <w:r w:rsidR="00085071" w:rsidRPr="00A05698">
        <w:t>année</w:t>
      </w:r>
      <w:r w:rsidRPr="00A05698">
        <w:t xml:space="preserve"> dernière.</w:t>
      </w:r>
    </w:p>
    <w:p w:rsidR="00D01330" w:rsidRPr="00A05698" w:rsidRDefault="00D01330" w:rsidP="00A605D6">
      <w:pPr>
        <w:ind w:left="-284" w:right="-851"/>
        <w:jc w:val="both"/>
      </w:pPr>
    </w:p>
    <w:p w:rsidR="009B5A8F" w:rsidRPr="00A05698" w:rsidRDefault="009B5A8F" w:rsidP="00E058CB">
      <w:pPr>
        <w:pStyle w:val="PargrafodaLista"/>
        <w:numPr>
          <w:ilvl w:val="0"/>
          <w:numId w:val="104"/>
        </w:numPr>
        <w:spacing w:after="0"/>
        <w:ind w:right="-851"/>
        <w:jc w:val="both"/>
        <w:rPr>
          <w:rFonts w:ascii="Times New Roman" w:hAnsi="Times New Roman"/>
          <w:b/>
          <w:sz w:val="24"/>
          <w:szCs w:val="24"/>
          <w:u w:val="single"/>
        </w:rPr>
      </w:pPr>
      <w:r w:rsidRPr="00A05698">
        <w:rPr>
          <w:rFonts w:ascii="Times New Roman" w:hAnsi="Times New Roman"/>
          <w:b/>
          <w:sz w:val="24"/>
          <w:szCs w:val="24"/>
          <w:u w:val="single"/>
        </w:rPr>
        <w:t>Racines et tubercules</w:t>
      </w:r>
    </w:p>
    <w:p w:rsidR="00D01330" w:rsidRDefault="009B5A8F" w:rsidP="00483462">
      <w:pPr>
        <w:jc w:val="both"/>
      </w:pPr>
      <w:r w:rsidRPr="00A05698">
        <w:t xml:space="preserve">Pour les tubercules, le manioc accuse une hausse de 1,7% par rapport à l’année </w:t>
      </w:r>
      <w:r w:rsidR="00D01330" w:rsidRPr="00A05698">
        <w:t>dernière</w:t>
      </w:r>
      <w:r w:rsidRPr="00A05698">
        <w:t xml:space="preserve"> et une baisse de 7,1% pour la patate douce et une hausse de 12.4 % et de 7.9 % par rapport à la moyenne des 5 dernières années. </w:t>
      </w:r>
    </w:p>
    <w:p w:rsidR="00483462" w:rsidRDefault="00483462" w:rsidP="00483462">
      <w:pPr>
        <w:jc w:val="both"/>
      </w:pPr>
    </w:p>
    <w:p w:rsidR="00483462" w:rsidRPr="00A05698" w:rsidRDefault="00483462" w:rsidP="00483462">
      <w:pPr>
        <w:jc w:val="both"/>
      </w:pPr>
    </w:p>
    <w:p w:rsidR="009B5A8F" w:rsidRPr="00A05698" w:rsidRDefault="009B5A8F" w:rsidP="00E058CB">
      <w:pPr>
        <w:pStyle w:val="PargrafodaLista"/>
        <w:numPr>
          <w:ilvl w:val="0"/>
          <w:numId w:val="104"/>
        </w:numPr>
        <w:spacing w:after="0"/>
        <w:ind w:right="-851"/>
        <w:jc w:val="both"/>
        <w:rPr>
          <w:rFonts w:ascii="Times New Roman" w:hAnsi="Times New Roman"/>
          <w:b/>
          <w:sz w:val="24"/>
          <w:szCs w:val="24"/>
          <w:u w:val="single"/>
        </w:rPr>
      </w:pPr>
      <w:r w:rsidRPr="00A05698">
        <w:rPr>
          <w:rFonts w:ascii="Times New Roman" w:hAnsi="Times New Roman"/>
          <w:b/>
          <w:sz w:val="24"/>
          <w:szCs w:val="24"/>
          <w:u w:val="single"/>
        </w:rPr>
        <w:lastRenderedPageBreak/>
        <w:t>Légumineuse</w:t>
      </w:r>
    </w:p>
    <w:p w:rsidR="009B5A8F" w:rsidRPr="00A05698" w:rsidRDefault="009B5A8F" w:rsidP="00483462">
      <w:pPr>
        <w:jc w:val="both"/>
      </w:pPr>
      <w:r w:rsidRPr="00A05698">
        <w:t xml:space="preserve">Pour les légumineuses, l’arachide et niébé accusent une hausse de 2.7% et 21,3% respectivement par rapport à l’année passée et de 10.6% et 39,3% par rapport à la moyenne des 5 dernières années respectivement. </w:t>
      </w:r>
    </w:p>
    <w:p w:rsidR="00D01330" w:rsidRPr="00A05698" w:rsidRDefault="00D01330" w:rsidP="00D01330">
      <w:pPr>
        <w:ind w:left="-284" w:right="-851"/>
        <w:jc w:val="both"/>
      </w:pPr>
    </w:p>
    <w:p w:rsidR="009B5A8F" w:rsidRPr="00A05698" w:rsidRDefault="009B5A8F" w:rsidP="00E058CB">
      <w:pPr>
        <w:pStyle w:val="PargrafodaLista"/>
        <w:numPr>
          <w:ilvl w:val="0"/>
          <w:numId w:val="104"/>
        </w:numPr>
        <w:spacing w:after="0"/>
        <w:ind w:right="-851"/>
        <w:jc w:val="both"/>
        <w:rPr>
          <w:rFonts w:ascii="Times New Roman" w:hAnsi="Times New Roman"/>
          <w:b/>
          <w:sz w:val="24"/>
          <w:szCs w:val="24"/>
          <w:u w:val="single"/>
        </w:rPr>
      </w:pPr>
      <w:r w:rsidRPr="00A05698">
        <w:rPr>
          <w:rFonts w:ascii="Times New Roman" w:hAnsi="Times New Roman"/>
          <w:b/>
          <w:sz w:val="24"/>
          <w:szCs w:val="24"/>
          <w:u w:val="single"/>
        </w:rPr>
        <w:t xml:space="preserve">Autres productions agricoles </w:t>
      </w:r>
    </w:p>
    <w:p w:rsidR="009B5A8F" w:rsidRPr="00A05698" w:rsidRDefault="009B5A8F" w:rsidP="00483462">
      <w:pPr>
        <w:jc w:val="both"/>
      </w:pPr>
      <w:r w:rsidRPr="00A05698">
        <w:t xml:space="preserve">La production prévisionnelle totale d’Oléagineux est de 117.588 tonnes contre 110.905 tonnes de la campagne agricole 2019/2020. Elle accuse une hausse de 6,0 % par rapport à la production de la campagne précédente. </w:t>
      </w:r>
    </w:p>
    <w:p w:rsidR="009B5A8F" w:rsidRPr="00A05698" w:rsidRDefault="009B5A8F" w:rsidP="00483462">
      <w:pPr>
        <w:jc w:val="both"/>
      </w:pPr>
      <w:r w:rsidRPr="00A05698">
        <w:t>Pour les Légumes et légumineuses, la production prévisionnelle totale de la campagne agricole 2020/2021 est de 1.599.307 tonnes. Elle accuse une hausse de 2,7 % par rapport à la production de la campagne précédente qui était de 1.556.903 tonnes. Les données par cultures s</w:t>
      </w:r>
      <w:r w:rsidR="00480073">
        <w:t>ont présentées dans le tableau 11</w:t>
      </w:r>
      <w:r w:rsidRPr="00A05698">
        <w:t xml:space="preserve"> ci-après :</w:t>
      </w:r>
    </w:p>
    <w:tbl>
      <w:tblPr>
        <w:tblW w:w="7514" w:type="dxa"/>
        <w:jc w:val="center"/>
        <w:tblCellMar>
          <w:left w:w="70" w:type="dxa"/>
          <w:right w:w="70" w:type="dxa"/>
        </w:tblCellMar>
        <w:tblLook w:val="04A0" w:firstRow="1" w:lastRow="0" w:firstColumn="1" w:lastColumn="0" w:noHBand="0" w:noVBand="1"/>
      </w:tblPr>
      <w:tblGrid>
        <w:gridCol w:w="2977"/>
        <w:gridCol w:w="2131"/>
        <w:gridCol w:w="1355"/>
        <w:gridCol w:w="1051"/>
      </w:tblGrid>
      <w:tr w:rsidR="009B5A8F" w:rsidRPr="006277C4" w:rsidTr="0070386B">
        <w:trPr>
          <w:trHeight w:val="315"/>
          <w:jc w:val="center"/>
        </w:trPr>
        <w:tc>
          <w:tcPr>
            <w:tcW w:w="7514" w:type="dxa"/>
            <w:gridSpan w:val="4"/>
            <w:tcBorders>
              <w:top w:val="nil"/>
              <w:left w:val="nil"/>
              <w:bottom w:val="nil"/>
              <w:right w:val="nil"/>
            </w:tcBorders>
            <w:shd w:val="clear" w:color="auto" w:fill="auto"/>
            <w:noWrap/>
            <w:vAlign w:val="center"/>
            <w:hideMark/>
          </w:tcPr>
          <w:p w:rsidR="009B5A8F" w:rsidRPr="006277C4" w:rsidRDefault="001E4596" w:rsidP="001E4596">
            <w:pPr>
              <w:pStyle w:val="Primeiroavanodecorpodetexto2"/>
              <w:spacing w:after="0" w:line="240" w:lineRule="auto"/>
              <w:jc w:val="center"/>
              <w:rPr>
                <w:rFonts w:ascii="Times New Roman" w:hAnsi="Times New Roman"/>
                <w:b/>
                <w:sz w:val="20"/>
                <w:szCs w:val="20"/>
              </w:rPr>
            </w:pPr>
            <w:bookmarkStart w:id="259" w:name="_Toc75503445"/>
            <w:r w:rsidRPr="006277C4">
              <w:rPr>
                <w:rFonts w:ascii="Times New Roman" w:hAnsi="Times New Roman"/>
                <w:b/>
                <w:sz w:val="20"/>
                <w:szCs w:val="20"/>
              </w:rPr>
              <w:t xml:space="preserve">Tableau </w:t>
            </w:r>
            <w:r w:rsidRPr="006277C4">
              <w:rPr>
                <w:rFonts w:ascii="Times New Roman" w:hAnsi="Times New Roman"/>
                <w:b/>
                <w:sz w:val="20"/>
                <w:szCs w:val="20"/>
              </w:rPr>
              <w:fldChar w:fldCharType="begin"/>
            </w:r>
            <w:r w:rsidRPr="006277C4">
              <w:rPr>
                <w:rFonts w:ascii="Times New Roman" w:hAnsi="Times New Roman"/>
                <w:b/>
                <w:sz w:val="20"/>
                <w:szCs w:val="20"/>
              </w:rPr>
              <w:instrText xml:space="preserve"> </w:instrText>
            </w:r>
            <w:r w:rsidR="006C5620" w:rsidRPr="006277C4">
              <w:rPr>
                <w:rFonts w:ascii="Times New Roman" w:hAnsi="Times New Roman"/>
                <w:b/>
                <w:sz w:val="20"/>
                <w:szCs w:val="20"/>
              </w:rPr>
              <w:instrText>SEQ</w:instrText>
            </w:r>
            <w:r w:rsidRPr="006277C4">
              <w:rPr>
                <w:rFonts w:ascii="Times New Roman" w:hAnsi="Times New Roman"/>
                <w:b/>
                <w:sz w:val="20"/>
                <w:szCs w:val="20"/>
              </w:rPr>
              <w:instrText xml:space="preserve"> Tableau \* ARABIC </w:instrText>
            </w:r>
            <w:r w:rsidRPr="006277C4">
              <w:rPr>
                <w:rFonts w:ascii="Times New Roman" w:hAnsi="Times New Roman"/>
                <w:b/>
                <w:sz w:val="20"/>
                <w:szCs w:val="20"/>
              </w:rPr>
              <w:fldChar w:fldCharType="separate"/>
            </w:r>
            <w:r w:rsidR="00D51AB3" w:rsidRPr="006277C4">
              <w:rPr>
                <w:rFonts w:ascii="Times New Roman" w:hAnsi="Times New Roman"/>
                <w:b/>
                <w:noProof/>
                <w:sz w:val="20"/>
                <w:szCs w:val="20"/>
              </w:rPr>
              <w:t>11</w:t>
            </w:r>
            <w:r w:rsidRPr="006277C4">
              <w:rPr>
                <w:rFonts w:ascii="Times New Roman" w:hAnsi="Times New Roman"/>
                <w:b/>
                <w:sz w:val="20"/>
                <w:szCs w:val="20"/>
              </w:rPr>
              <w:fldChar w:fldCharType="end"/>
            </w:r>
            <w:r w:rsidRPr="006277C4">
              <w:rPr>
                <w:rFonts w:ascii="Times New Roman" w:hAnsi="Times New Roman"/>
                <w:b/>
                <w:sz w:val="20"/>
                <w:szCs w:val="20"/>
              </w:rPr>
              <w:t xml:space="preserve"> : </w:t>
            </w:r>
            <w:r w:rsidR="009B5A8F" w:rsidRPr="006277C4">
              <w:rPr>
                <w:rFonts w:ascii="Times New Roman" w:hAnsi="Times New Roman"/>
                <w:b/>
                <w:sz w:val="20"/>
                <w:szCs w:val="20"/>
              </w:rPr>
              <w:t>Production des autres produits alimentaires en tonnes</w:t>
            </w:r>
            <w:bookmarkEnd w:id="259"/>
          </w:p>
        </w:tc>
      </w:tr>
      <w:tr w:rsidR="003E7907" w:rsidRPr="00A05698" w:rsidTr="003E7907">
        <w:trPr>
          <w:trHeight w:val="315"/>
          <w:jc w:val="center"/>
        </w:trPr>
        <w:tc>
          <w:tcPr>
            <w:tcW w:w="2977" w:type="dxa"/>
            <w:vMerge w:val="restart"/>
            <w:tcBorders>
              <w:top w:val="single" w:sz="8" w:space="0" w:color="auto"/>
              <w:left w:val="single" w:sz="8" w:space="0" w:color="auto"/>
              <w:right w:val="nil"/>
            </w:tcBorders>
            <w:shd w:val="clear" w:color="auto" w:fill="DEEAF6" w:themeFill="accent1" w:themeFillTint="33"/>
            <w:noWrap/>
            <w:vAlign w:val="bottom"/>
            <w:hideMark/>
          </w:tcPr>
          <w:p w:rsidR="009B5A8F" w:rsidRPr="00A05698" w:rsidRDefault="009B5A8F" w:rsidP="0070386B">
            <w:pPr>
              <w:jc w:val="center"/>
              <w:rPr>
                <w:b/>
                <w:bCs/>
                <w:i/>
                <w:sz w:val="22"/>
                <w:szCs w:val="22"/>
              </w:rPr>
            </w:pPr>
            <w:r w:rsidRPr="00A05698">
              <w:rPr>
                <w:b/>
                <w:bCs/>
                <w:i/>
                <w:sz w:val="22"/>
                <w:szCs w:val="22"/>
              </w:rPr>
              <w:t>Produits</w:t>
            </w:r>
          </w:p>
        </w:tc>
        <w:tc>
          <w:tcPr>
            <w:tcW w:w="213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bottom"/>
            <w:hideMark/>
          </w:tcPr>
          <w:p w:rsidR="009B5A8F" w:rsidRPr="00A05698" w:rsidRDefault="009B5A8F" w:rsidP="0070386B">
            <w:pPr>
              <w:jc w:val="center"/>
              <w:rPr>
                <w:b/>
                <w:bCs/>
                <w:i/>
                <w:sz w:val="22"/>
                <w:szCs w:val="22"/>
              </w:rPr>
            </w:pPr>
            <w:r w:rsidRPr="00A05698">
              <w:rPr>
                <w:b/>
                <w:bCs/>
                <w:i/>
                <w:sz w:val="22"/>
                <w:szCs w:val="22"/>
              </w:rPr>
              <w:t>Campagne agricole 2020/2021</w:t>
            </w:r>
          </w:p>
        </w:tc>
        <w:tc>
          <w:tcPr>
            <w:tcW w:w="1355" w:type="dxa"/>
            <w:tcBorders>
              <w:top w:val="single" w:sz="8" w:space="0" w:color="auto"/>
              <w:left w:val="nil"/>
              <w:bottom w:val="single" w:sz="8" w:space="0" w:color="auto"/>
              <w:right w:val="single" w:sz="8" w:space="0" w:color="auto"/>
            </w:tcBorders>
            <w:shd w:val="clear" w:color="auto" w:fill="DEEAF6" w:themeFill="accent1" w:themeFillTint="33"/>
            <w:noWrap/>
            <w:vAlign w:val="bottom"/>
            <w:hideMark/>
          </w:tcPr>
          <w:p w:rsidR="009B5A8F" w:rsidRPr="00A05698" w:rsidRDefault="009B5A8F" w:rsidP="0070386B">
            <w:pPr>
              <w:jc w:val="center"/>
              <w:rPr>
                <w:b/>
                <w:bCs/>
                <w:i/>
                <w:sz w:val="22"/>
                <w:szCs w:val="22"/>
              </w:rPr>
            </w:pPr>
            <w:r w:rsidRPr="00A05698">
              <w:rPr>
                <w:b/>
                <w:bCs/>
                <w:i/>
                <w:sz w:val="22"/>
                <w:szCs w:val="22"/>
              </w:rPr>
              <w:t>Campagne agricole 2019/2020</w:t>
            </w:r>
          </w:p>
        </w:tc>
        <w:tc>
          <w:tcPr>
            <w:tcW w:w="1051" w:type="dxa"/>
            <w:vMerge w:val="restart"/>
            <w:tcBorders>
              <w:top w:val="single" w:sz="8" w:space="0" w:color="auto"/>
              <w:left w:val="nil"/>
              <w:right w:val="single" w:sz="8" w:space="0" w:color="auto"/>
            </w:tcBorders>
            <w:shd w:val="clear" w:color="auto" w:fill="DEEAF6" w:themeFill="accent1" w:themeFillTint="33"/>
          </w:tcPr>
          <w:p w:rsidR="009B5A8F" w:rsidRPr="00A05698" w:rsidRDefault="009B5A8F" w:rsidP="0070386B">
            <w:pPr>
              <w:jc w:val="center"/>
              <w:rPr>
                <w:b/>
                <w:bCs/>
                <w:i/>
                <w:color w:val="FF0000"/>
                <w:sz w:val="22"/>
                <w:szCs w:val="22"/>
              </w:rPr>
            </w:pPr>
          </w:p>
          <w:p w:rsidR="009B5A8F" w:rsidRPr="00A05698" w:rsidRDefault="009B5A8F" w:rsidP="0070386B">
            <w:pPr>
              <w:jc w:val="center"/>
              <w:rPr>
                <w:b/>
                <w:bCs/>
                <w:i/>
                <w:sz w:val="22"/>
                <w:szCs w:val="22"/>
              </w:rPr>
            </w:pPr>
            <w:r w:rsidRPr="00A05698">
              <w:rPr>
                <w:b/>
                <w:bCs/>
                <w:i/>
                <w:sz w:val="22"/>
                <w:szCs w:val="22"/>
              </w:rPr>
              <w:t>Ecart, %</w:t>
            </w:r>
          </w:p>
        </w:tc>
      </w:tr>
      <w:tr w:rsidR="003E7907" w:rsidRPr="00A05698" w:rsidTr="003E7907">
        <w:trPr>
          <w:trHeight w:val="60"/>
          <w:jc w:val="center"/>
        </w:trPr>
        <w:tc>
          <w:tcPr>
            <w:tcW w:w="2977" w:type="dxa"/>
            <w:vMerge/>
            <w:tcBorders>
              <w:left w:val="single" w:sz="8" w:space="0" w:color="auto"/>
              <w:bottom w:val="single" w:sz="8" w:space="0" w:color="auto"/>
              <w:right w:val="nil"/>
            </w:tcBorders>
            <w:shd w:val="clear" w:color="auto" w:fill="auto"/>
            <w:noWrap/>
            <w:vAlign w:val="bottom"/>
          </w:tcPr>
          <w:p w:rsidR="009B5A8F" w:rsidRPr="00A05698" w:rsidRDefault="009B5A8F" w:rsidP="0070386B">
            <w:pPr>
              <w:jc w:val="center"/>
              <w:rPr>
                <w:b/>
                <w:bCs/>
                <w:i/>
                <w:color w:val="FF0000"/>
                <w:sz w:val="22"/>
                <w:szCs w:val="22"/>
              </w:rPr>
            </w:pPr>
          </w:p>
        </w:tc>
        <w:tc>
          <w:tcPr>
            <w:tcW w:w="213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bottom"/>
          </w:tcPr>
          <w:p w:rsidR="009B5A8F" w:rsidRPr="00A05698" w:rsidRDefault="009B5A8F" w:rsidP="0070386B">
            <w:pPr>
              <w:jc w:val="center"/>
              <w:rPr>
                <w:b/>
                <w:bCs/>
                <w:i/>
                <w:sz w:val="22"/>
                <w:szCs w:val="22"/>
              </w:rPr>
            </w:pPr>
            <w:r w:rsidRPr="00A05698">
              <w:rPr>
                <w:b/>
                <w:bCs/>
                <w:i/>
                <w:sz w:val="22"/>
                <w:szCs w:val="22"/>
              </w:rPr>
              <w:t>Quantité</w:t>
            </w:r>
          </w:p>
        </w:tc>
        <w:tc>
          <w:tcPr>
            <w:tcW w:w="1355" w:type="dxa"/>
            <w:tcBorders>
              <w:top w:val="single" w:sz="8" w:space="0" w:color="auto"/>
              <w:left w:val="nil"/>
              <w:bottom w:val="single" w:sz="8" w:space="0" w:color="auto"/>
              <w:right w:val="single" w:sz="8" w:space="0" w:color="auto"/>
            </w:tcBorders>
            <w:shd w:val="clear" w:color="auto" w:fill="DEEAF6" w:themeFill="accent1" w:themeFillTint="33"/>
            <w:noWrap/>
            <w:vAlign w:val="bottom"/>
          </w:tcPr>
          <w:p w:rsidR="009B5A8F" w:rsidRPr="00A05698" w:rsidRDefault="009B5A8F" w:rsidP="0070386B">
            <w:pPr>
              <w:jc w:val="center"/>
              <w:rPr>
                <w:b/>
                <w:bCs/>
                <w:i/>
                <w:sz w:val="22"/>
                <w:szCs w:val="22"/>
              </w:rPr>
            </w:pPr>
            <w:r w:rsidRPr="00A05698">
              <w:rPr>
                <w:b/>
                <w:bCs/>
                <w:i/>
                <w:sz w:val="22"/>
                <w:szCs w:val="22"/>
              </w:rPr>
              <w:t>Quantité</w:t>
            </w:r>
          </w:p>
        </w:tc>
        <w:tc>
          <w:tcPr>
            <w:tcW w:w="1051" w:type="dxa"/>
            <w:vMerge/>
            <w:tcBorders>
              <w:left w:val="nil"/>
              <w:bottom w:val="single" w:sz="8" w:space="0" w:color="auto"/>
              <w:right w:val="single" w:sz="8" w:space="0" w:color="auto"/>
            </w:tcBorders>
          </w:tcPr>
          <w:p w:rsidR="009B5A8F" w:rsidRPr="00A05698" w:rsidRDefault="009B5A8F" w:rsidP="0070386B">
            <w:pPr>
              <w:jc w:val="center"/>
              <w:rPr>
                <w:b/>
                <w:bCs/>
                <w:i/>
                <w:color w:val="FF0000"/>
                <w:sz w:val="22"/>
                <w:szCs w:val="22"/>
              </w:rPr>
            </w:pPr>
          </w:p>
        </w:tc>
      </w:tr>
      <w:tr w:rsidR="009B5A8F" w:rsidRPr="00A05698" w:rsidTr="003E7907">
        <w:trPr>
          <w:trHeight w:val="315"/>
          <w:jc w:val="center"/>
        </w:trPr>
        <w:tc>
          <w:tcPr>
            <w:tcW w:w="2977" w:type="dxa"/>
            <w:tcBorders>
              <w:top w:val="single" w:sz="8" w:space="0" w:color="auto"/>
              <w:left w:val="single" w:sz="8" w:space="0" w:color="auto"/>
              <w:bottom w:val="single" w:sz="8" w:space="0" w:color="auto"/>
              <w:right w:val="nil"/>
            </w:tcBorders>
            <w:shd w:val="clear" w:color="auto" w:fill="auto"/>
            <w:noWrap/>
            <w:vAlign w:val="center"/>
            <w:hideMark/>
          </w:tcPr>
          <w:p w:rsidR="009B5A8F" w:rsidRPr="00A05698" w:rsidRDefault="009B5A8F" w:rsidP="0070386B">
            <w:pPr>
              <w:jc w:val="both"/>
              <w:rPr>
                <w:b/>
                <w:bCs/>
                <w:i/>
                <w:sz w:val="22"/>
                <w:szCs w:val="22"/>
              </w:rPr>
            </w:pPr>
            <w:r w:rsidRPr="00A05698">
              <w:rPr>
                <w:b/>
                <w:bCs/>
                <w:i/>
                <w:sz w:val="22"/>
                <w:szCs w:val="22"/>
              </w:rPr>
              <w:t xml:space="preserve">Oléagineux </w:t>
            </w:r>
          </w:p>
        </w:tc>
        <w:tc>
          <w:tcPr>
            <w:tcW w:w="2131" w:type="dxa"/>
            <w:tcBorders>
              <w:top w:val="nil"/>
              <w:left w:val="single" w:sz="8" w:space="0" w:color="auto"/>
              <w:bottom w:val="single" w:sz="8" w:space="0" w:color="auto"/>
              <w:right w:val="single" w:sz="8" w:space="0" w:color="auto"/>
            </w:tcBorders>
            <w:shd w:val="clear" w:color="auto" w:fill="auto"/>
            <w:noWrap/>
            <w:vAlign w:val="center"/>
            <w:hideMark/>
          </w:tcPr>
          <w:p w:rsidR="009B5A8F" w:rsidRPr="00A05698" w:rsidRDefault="009B5A8F" w:rsidP="0070386B">
            <w:pPr>
              <w:jc w:val="right"/>
              <w:rPr>
                <w:b/>
                <w:bCs/>
                <w:i/>
                <w:iCs/>
                <w:sz w:val="22"/>
                <w:szCs w:val="22"/>
                <w:lang w:val="pt-PT" w:eastAsia="pt-PT"/>
              </w:rPr>
            </w:pPr>
            <w:r w:rsidRPr="00A05698">
              <w:rPr>
                <w:b/>
                <w:bCs/>
                <w:i/>
                <w:iCs/>
                <w:sz w:val="22"/>
                <w:szCs w:val="22"/>
              </w:rPr>
              <w:t>117588</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b/>
                <w:bCs/>
                <w:i/>
                <w:iCs/>
                <w:sz w:val="22"/>
                <w:szCs w:val="22"/>
                <w:lang w:val="pt-PT" w:eastAsia="pt-PT"/>
              </w:rPr>
            </w:pPr>
            <w:r w:rsidRPr="00A05698">
              <w:rPr>
                <w:b/>
                <w:bCs/>
                <w:i/>
                <w:iCs/>
                <w:sz w:val="22"/>
                <w:szCs w:val="22"/>
              </w:rPr>
              <w:t>110905</w:t>
            </w:r>
          </w:p>
        </w:tc>
        <w:tc>
          <w:tcPr>
            <w:tcW w:w="1051" w:type="dxa"/>
            <w:tcBorders>
              <w:top w:val="single" w:sz="8" w:space="0" w:color="auto"/>
              <w:left w:val="nil"/>
              <w:bottom w:val="single" w:sz="8"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6,0</w:t>
            </w:r>
          </w:p>
        </w:tc>
      </w:tr>
      <w:tr w:rsidR="009B5A8F" w:rsidRPr="00A05698" w:rsidTr="003E7907">
        <w:trPr>
          <w:trHeight w:val="315"/>
          <w:jc w:val="center"/>
        </w:trPr>
        <w:tc>
          <w:tcPr>
            <w:tcW w:w="2977" w:type="dxa"/>
            <w:tcBorders>
              <w:top w:val="single" w:sz="4" w:space="0" w:color="auto"/>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Arachide</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115588</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108905</w:t>
            </w:r>
          </w:p>
        </w:tc>
        <w:tc>
          <w:tcPr>
            <w:tcW w:w="1051" w:type="dxa"/>
            <w:tcBorders>
              <w:top w:val="single" w:sz="4" w:space="0" w:color="auto"/>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6,1</w:t>
            </w:r>
          </w:p>
        </w:tc>
      </w:tr>
      <w:tr w:rsidR="009B5A8F" w:rsidRPr="00A05698" w:rsidTr="003E7907">
        <w:trPr>
          <w:trHeight w:val="330"/>
          <w:jc w:val="center"/>
        </w:trPr>
        <w:tc>
          <w:tcPr>
            <w:tcW w:w="2977" w:type="dxa"/>
            <w:tcBorders>
              <w:top w:val="nil"/>
              <w:left w:val="single" w:sz="8" w:space="0" w:color="auto"/>
              <w:bottom w:val="nil"/>
              <w:right w:val="nil"/>
            </w:tcBorders>
            <w:shd w:val="clear" w:color="auto" w:fill="auto"/>
            <w:noWrap/>
            <w:vAlign w:val="bottom"/>
            <w:hideMark/>
          </w:tcPr>
          <w:p w:rsidR="009B5A8F" w:rsidRPr="00A05698" w:rsidRDefault="009B5A8F" w:rsidP="0070386B">
            <w:pPr>
              <w:rPr>
                <w:i/>
                <w:sz w:val="22"/>
                <w:szCs w:val="22"/>
              </w:rPr>
            </w:pPr>
            <w:r w:rsidRPr="00A05698">
              <w:rPr>
                <w:i/>
                <w:sz w:val="22"/>
                <w:szCs w:val="22"/>
              </w:rPr>
              <w:t xml:space="preserve">Noix de palmiste        </w:t>
            </w:r>
          </w:p>
        </w:tc>
        <w:tc>
          <w:tcPr>
            <w:tcW w:w="2131" w:type="dxa"/>
            <w:tcBorders>
              <w:top w:val="nil"/>
              <w:left w:val="single" w:sz="8" w:space="0" w:color="auto"/>
              <w:bottom w:val="nil"/>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2000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2000</w:t>
            </w:r>
          </w:p>
        </w:tc>
        <w:tc>
          <w:tcPr>
            <w:tcW w:w="1051" w:type="dxa"/>
            <w:tcBorders>
              <w:top w:val="nil"/>
              <w:left w:val="nil"/>
              <w:bottom w:val="nil"/>
              <w:right w:val="single" w:sz="8" w:space="0" w:color="auto"/>
            </w:tcBorders>
            <w:vAlign w:val="center"/>
          </w:tcPr>
          <w:p w:rsidR="009B5A8F" w:rsidRPr="00A05698" w:rsidRDefault="009B5A8F" w:rsidP="0070386B">
            <w:pPr>
              <w:jc w:val="right"/>
              <w:rPr>
                <w:i/>
                <w:sz w:val="22"/>
                <w:szCs w:val="22"/>
              </w:rPr>
            </w:pPr>
            <w:r w:rsidRPr="00A05698">
              <w:rPr>
                <w:i/>
                <w:sz w:val="22"/>
                <w:szCs w:val="22"/>
              </w:rPr>
              <w:t>0,0</w:t>
            </w:r>
          </w:p>
        </w:tc>
      </w:tr>
      <w:tr w:rsidR="009B5A8F" w:rsidRPr="00A05698" w:rsidTr="003E7907">
        <w:trPr>
          <w:trHeight w:val="330"/>
          <w:jc w:val="center"/>
        </w:trPr>
        <w:tc>
          <w:tcPr>
            <w:tcW w:w="2977" w:type="dxa"/>
            <w:tcBorders>
              <w:top w:val="single" w:sz="8" w:space="0" w:color="auto"/>
              <w:left w:val="single" w:sz="8" w:space="0" w:color="auto"/>
              <w:bottom w:val="single" w:sz="8" w:space="0" w:color="auto"/>
              <w:right w:val="nil"/>
            </w:tcBorders>
            <w:shd w:val="clear" w:color="auto" w:fill="auto"/>
            <w:noWrap/>
            <w:vAlign w:val="center"/>
            <w:hideMark/>
          </w:tcPr>
          <w:p w:rsidR="009B5A8F" w:rsidRPr="00A05698" w:rsidRDefault="009B5A8F" w:rsidP="0070386B">
            <w:pPr>
              <w:rPr>
                <w:b/>
                <w:bCs/>
                <w:i/>
                <w:sz w:val="22"/>
                <w:szCs w:val="22"/>
              </w:rPr>
            </w:pPr>
            <w:r w:rsidRPr="00A05698">
              <w:rPr>
                <w:b/>
                <w:bCs/>
                <w:i/>
                <w:sz w:val="22"/>
                <w:szCs w:val="22"/>
              </w:rPr>
              <w:t xml:space="preserve">Légumes et légumineuses </w:t>
            </w:r>
          </w:p>
        </w:tc>
        <w:tc>
          <w:tcPr>
            <w:tcW w:w="21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5A8F" w:rsidRPr="00A05698" w:rsidRDefault="009B5A8F" w:rsidP="0070386B">
            <w:pPr>
              <w:jc w:val="right"/>
              <w:rPr>
                <w:b/>
                <w:bCs/>
                <w:i/>
                <w:iCs/>
                <w:sz w:val="22"/>
                <w:szCs w:val="22"/>
              </w:rPr>
            </w:pPr>
            <w:r w:rsidRPr="00A05698">
              <w:rPr>
                <w:b/>
                <w:bCs/>
                <w:i/>
                <w:iCs/>
                <w:sz w:val="22"/>
                <w:szCs w:val="22"/>
              </w:rPr>
              <w:t>1599307</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b/>
                <w:bCs/>
                <w:i/>
                <w:iCs/>
                <w:sz w:val="22"/>
                <w:szCs w:val="22"/>
              </w:rPr>
            </w:pPr>
            <w:r w:rsidRPr="00A05698">
              <w:rPr>
                <w:b/>
                <w:bCs/>
                <w:i/>
                <w:iCs/>
                <w:sz w:val="22"/>
                <w:szCs w:val="22"/>
              </w:rPr>
              <w:t>1556903</w:t>
            </w:r>
          </w:p>
        </w:tc>
        <w:tc>
          <w:tcPr>
            <w:tcW w:w="1051" w:type="dxa"/>
            <w:tcBorders>
              <w:top w:val="single" w:sz="8" w:space="0" w:color="auto"/>
              <w:left w:val="nil"/>
              <w:bottom w:val="single" w:sz="8"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2,7</w:t>
            </w:r>
          </w:p>
        </w:tc>
      </w:tr>
      <w:tr w:rsidR="009B5A8F" w:rsidRPr="00A05698" w:rsidTr="003E7907">
        <w:trPr>
          <w:trHeight w:val="315"/>
          <w:jc w:val="center"/>
        </w:trPr>
        <w:tc>
          <w:tcPr>
            <w:tcW w:w="2977" w:type="dxa"/>
            <w:tcBorders>
              <w:top w:val="single" w:sz="4" w:space="0" w:color="auto"/>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Niébé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1307</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903</w:t>
            </w:r>
          </w:p>
        </w:tc>
        <w:tc>
          <w:tcPr>
            <w:tcW w:w="1051" w:type="dxa"/>
            <w:tcBorders>
              <w:top w:val="single" w:sz="4" w:space="0" w:color="auto"/>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44,7</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Tomates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42000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40000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5,0</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Oignon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120000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115000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4,3</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Carottes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25000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21000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19,0</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Aubergine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175000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170000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2,9</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Choux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76000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70000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8,6</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Haricot vert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42000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40000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5,0</w:t>
            </w:r>
          </w:p>
        </w:tc>
      </w:tr>
      <w:tr w:rsidR="009B5A8F" w:rsidRPr="00A05698" w:rsidTr="003E7907">
        <w:trPr>
          <w:trHeight w:val="315"/>
          <w:jc w:val="center"/>
        </w:trPr>
        <w:tc>
          <w:tcPr>
            <w:tcW w:w="2977" w:type="dxa"/>
            <w:tcBorders>
              <w:top w:val="nil"/>
              <w:left w:val="single" w:sz="8"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Concombre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708000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700000</w:t>
            </w:r>
          </w:p>
        </w:tc>
        <w:tc>
          <w:tcPr>
            <w:tcW w:w="1051" w:type="dxa"/>
            <w:tcBorders>
              <w:top w:val="nil"/>
              <w:left w:val="nil"/>
              <w:bottom w:val="single" w:sz="4" w:space="0" w:color="auto"/>
              <w:right w:val="single" w:sz="8" w:space="0" w:color="auto"/>
            </w:tcBorders>
            <w:vAlign w:val="center"/>
          </w:tcPr>
          <w:p w:rsidR="009B5A8F" w:rsidRPr="00A05698" w:rsidRDefault="009B5A8F" w:rsidP="0070386B">
            <w:pPr>
              <w:jc w:val="right"/>
              <w:rPr>
                <w:i/>
                <w:sz w:val="22"/>
                <w:szCs w:val="22"/>
              </w:rPr>
            </w:pPr>
            <w:r w:rsidRPr="00A05698">
              <w:rPr>
                <w:i/>
                <w:sz w:val="22"/>
                <w:szCs w:val="22"/>
              </w:rPr>
              <w:t>1,1</w:t>
            </w:r>
          </w:p>
        </w:tc>
      </w:tr>
      <w:tr w:rsidR="009B5A8F" w:rsidRPr="00A05698" w:rsidTr="003E7907">
        <w:trPr>
          <w:trHeight w:val="330"/>
          <w:jc w:val="center"/>
        </w:trPr>
        <w:tc>
          <w:tcPr>
            <w:tcW w:w="2977" w:type="dxa"/>
            <w:tcBorders>
              <w:top w:val="single" w:sz="4" w:space="0" w:color="auto"/>
              <w:left w:val="single" w:sz="4" w:space="0" w:color="auto"/>
              <w:bottom w:val="single" w:sz="4" w:space="0" w:color="auto"/>
              <w:right w:val="nil"/>
            </w:tcBorders>
            <w:shd w:val="clear" w:color="auto" w:fill="auto"/>
            <w:noWrap/>
            <w:vAlign w:val="center"/>
            <w:hideMark/>
          </w:tcPr>
          <w:p w:rsidR="009B5A8F" w:rsidRPr="00A05698" w:rsidRDefault="009B5A8F" w:rsidP="0070386B">
            <w:pPr>
              <w:jc w:val="both"/>
              <w:rPr>
                <w:i/>
                <w:sz w:val="22"/>
                <w:szCs w:val="22"/>
              </w:rPr>
            </w:pPr>
            <w:r w:rsidRPr="00A05698">
              <w:rPr>
                <w:i/>
                <w:sz w:val="22"/>
                <w:szCs w:val="22"/>
              </w:rPr>
              <w:t xml:space="preserve">Gombo                              </w:t>
            </w:r>
          </w:p>
        </w:tc>
        <w:tc>
          <w:tcPr>
            <w:tcW w:w="2131" w:type="dxa"/>
            <w:tcBorders>
              <w:top w:val="nil"/>
              <w:left w:val="single" w:sz="8" w:space="0" w:color="auto"/>
              <w:bottom w:val="single" w:sz="8" w:space="0" w:color="auto"/>
              <w:right w:val="single" w:sz="8" w:space="0" w:color="auto"/>
            </w:tcBorders>
            <w:shd w:val="clear" w:color="auto" w:fill="auto"/>
            <w:noWrap/>
            <w:vAlign w:val="center"/>
          </w:tcPr>
          <w:p w:rsidR="009B5A8F" w:rsidRPr="00A05698" w:rsidRDefault="009B5A8F" w:rsidP="0070386B">
            <w:pPr>
              <w:jc w:val="right"/>
              <w:rPr>
                <w:i/>
                <w:iCs/>
                <w:sz w:val="22"/>
                <w:szCs w:val="22"/>
              </w:rPr>
            </w:pPr>
            <w:r w:rsidRPr="00A05698">
              <w:rPr>
                <w:i/>
                <w:iCs/>
                <w:sz w:val="22"/>
                <w:szCs w:val="22"/>
              </w:rPr>
              <w:t>410000</w:t>
            </w:r>
          </w:p>
        </w:tc>
        <w:tc>
          <w:tcPr>
            <w:tcW w:w="1355" w:type="dxa"/>
            <w:tcBorders>
              <w:top w:val="nil"/>
              <w:left w:val="nil"/>
              <w:bottom w:val="single" w:sz="8" w:space="0" w:color="auto"/>
              <w:right w:val="single" w:sz="8" w:space="0" w:color="auto"/>
            </w:tcBorders>
            <w:shd w:val="clear" w:color="auto" w:fill="auto"/>
            <w:noWrap/>
            <w:vAlign w:val="center"/>
            <w:hideMark/>
          </w:tcPr>
          <w:p w:rsidR="009B5A8F" w:rsidRPr="00A05698" w:rsidRDefault="009B5A8F" w:rsidP="0070386B">
            <w:pPr>
              <w:jc w:val="right"/>
              <w:rPr>
                <w:i/>
                <w:iCs/>
                <w:sz w:val="22"/>
                <w:szCs w:val="22"/>
              </w:rPr>
            </w:pPr>
            <w:r w:rsidRPr="00A05698">
              <w:rPr>
                <w:i/>
                <w:iCs/>
                <w:sz w:val="22"/>
                <w:szCs w:val="22"/>
              </w:rPr>
              <w:t>400000</w:t>
            </w:r>
          </w:p>
        </w:tc>
        <w:tc>
          <w:tcPr>
            <w:tcW w:w="1051" w:type="dxa"/>
            <w:tcBorders>
              <w:top w:val="single" w:sz="4" w:space="0" w:color="auto"/>
              <w:left w:val="nil"/>
              <w:bottom w:val="single" w:sz="4" w:space="0" w:color="auto"/>
              <w:right w:val="single" w:sz="4" w:space="0" w:color="auto"/>
            </w:tcBorders>
            <w:vAlign w:val="center"/>
          </w:tcPr>
          <w:p w:rsidR="009B5A8F" w:rsidRPr="00A05698" w:rsidRDefault="009B5A8F" w:rsidP="0070386B">
            <w:pPr>
              <w:jc w:val="right"/>
              <w:rPr>
                <w:i/>
                <w:sz w:val="22"/>
                <w:szCs w:val="22"/>
              </w:rPr>
            </w:pPr>
            <w:r w:rsidRPr="00A05698">
              <w:rPr>
                <w:i/>
                <w:sz w:val="22"/>
                <w:szCs w:val="22"/>
              </w:rPr>
              <w:t>2,5</w:t>
            </w:r>
          </w:p>
        </w:tc>
      </w:tr>
    </w:tbl>
    <w:p w:rsidR="00A22110" w:rsidRPr="006277C4" w:rsidRDefault="00A22110" w:rsidP="00A22110">
      <w:pPr>
        <w:jc w:val="both"/>
        <w:rPr>
          <w:sz w:val="20"/>
          <w:szCs w:val="20"/>
        </w:rPr>
      </w:pPr>
      <w:r w:rsidRPr="006277C4">
        <w:rPr>
          <w:sz w:val="20"/>
          <w:szCs w:val="20"/>
        </w:rPr>
        <w:t>Source : Service de statistique agricole/MADR, 2021</w:t>
      </w:r>
    </w:p>
    <w:p w:rsidR="00BF7D87" w:rsidRPr="00A05698" w:rsidRDefault="00BF7D87" w:rsidP="009B5A8F">
      <w:pPr>
        <w:rPr>
          <w:b/>
          <w:i/>
          <w:color w:val="FF0000"/>
        </w:rPr>
      </w:pPr>
    </w:p>
    <w:p w:rsidR="009B5A8F" w:rsidRPr="00A05698" w:rsidRDefault="009B5A8F" w:rsidP="00E058CB">
      <w:pPr>
        <w:pStyle w:val="PargrafodaLista"/>
        <w:numPr>
          <w:ilvl w:val="0"/>
          <w:numId w:val="104"/>
        </w:numPr>
        <w:spacing w:after="0"/>
        <w:ind w:right="-851"/>
        <w:jc w:val="both"/>
        <w:rPr>
          <w:rFonts w:ascii="Times New Roman" w:hAnsi="Times New Roman"/>
          <w:b/>
          <w:sz w:val="24"/>
          <w:szCs w:val="24"/>
          <w:u w:val="single"/>
        </w:rPr>
      </w:pPr>
      <w:r w:rsidRPr="00A05698">
        <w:rPr>
          <w:rFonts w:ascii="Times New Roman" w:hAnsi="Times New Roman"/>
          <w:b/>
          <w:sz w:val="24"/>
          <w:szCs w:val="24"/>
          <w:u w:val="single"/>
        </w:rPr>
        <w:t xml:space="preserve">Production disponible </w:t>
      </w:r>
    </w:p>
    <w:p w:rsidR="009B5A8F" w:rsidRPr="00A05698" w:rsidRDefault="00480073" w:rsidP="00483462">
      <w:pPr>
        <w:jc w:val="both"/>
      </w:pPr>
      <w:r>
        <w:t>Le tableau 12</w:t>
      </w:r>
      <w:r w:rsidR="009B5A8F" w:rsidRPr="00A05698">
        <w:t xml:space="preserve"> ci-après illustre les productions alimentaires disponibles sur la base des productions brutes de chaque produit alimentair</w:t>
      </w:r>
      <w:r w:rsidR="00391EA0">
        <w:t>e attendu cette année 2020/2021</w:t>
      </w:r>
      <w:r w:rsidR="009B5A8F" w:rsidRPr="00A05698">
        <w:t>.</w:t>
      </w:r>
    </w:p>
    <w:p w:rsidR="009B5A8F" w:rsidRPr="00E61F6E" w:rsidRDefault="009B5A8F" w:rsidP="001E4596">
      <w:pPr>
        <w:pStyle w:val="Primeiroavanodecorpodetexto2"/>
        <w:spacing w:after="0" w:line="240" w:lineRule="auto"/>
        <w:jc w:val="center"/>
        <w:rPr>
          <w:rFonts w:ascii="Times New Roman" w:hAnsi="Times New Roman"/>
          <w:b/>
          <w:sz w:val="20"/>
          <w:szCs w:val="20"/>
        </w:rPr>
      </w:pPr>
      <w:r w:rsidRPr="00E61F6E">
        <w:rPr>
          <w:rFonts w:ascii="Times New Roman" w:hAnsi="Times New Roman"/>
          <w:b/>
          <w:sz w:val="20"/>
          <w:szCs w:val="20"/>
        </w:rPr>
        <w:t xml:space="preserve">                  </w:t>
      </w:r>
      <w:bookmarkStart w:id="260" w:name="_Toc75503446"/>
      <w:r w:rsidR="001E4596" w:rsidRPr="00E61F6E">
        <w:rPr>
          <w:rFonts w:ascii="Times New Roman" w:hAnsi="Times New Roman"/>
          <w:b/>
          <w:sz w:val="20"/>
          <w:szCs w:val="20"/>
        </w:rPr>
        <w:t xml:space="preserve">Tableau </w:t>
      </w:r>
      <w:r w:rsidR="001E4596" w:rsidRPr="00E61F6E">
        <w:rPr>
          <w:rFonts w:ascii="Times New Roman" w:hAnsi="Times New Roman"/>
          <w:b/>
          <w:sz w:val="20"/>
          <w:szCs w:val="20"/>
        </w:rPr>
        <w:fldChar w:fldCharType="begin"/>
      </w:r>
      <w:r w:rsidR="001E4596" w:rsidRPr="00E61F6E">
        <w:rPr>
          <w:rFonts w:ascii="Times New Roman" w:hAnsi="Times New Roman"/>
          <w:b/>
          <w:sz w:val="20"/>
          <w:szCs w:val="20"/>
        </w:rPr>
        <w:instrText xml:space="preserve"> </w:instrText>
      </w:r>
      <w:r w:rsidR="006C5620" w:rsidRPr="00E61F6E">
        <w:rPr>
          <w:rFonts w:ascii="Times New Roman" w:hAnsi="Times New Roman"/>
          <w:b/>
          <w:sz w:val="20"/>
          <w:szCs w:val="20"/>
        </w:rPr>
        <w:instrText>SEQ</w:instrText>
      </w:r>
      <w:r w:rsidR="001E4596" w:rsidRPr="00E61F6E">
        <w:rPr>
          <w:rFonts w:ascii="Times New Roman" w:hAnsi="Times New Roman"/>
          <w:b/>
          <w:sz w:val="20"/>
          <w:szCs w:val="20"/>
        </w:rPr>
        <w:instrText xml:space="preserve"> Tableau \* ARABIC </w:instrText>
      </w:r>
      <w:r w:rsidR="001E4596" w:rsidRPr="00E61F6E">
        <w:rPr>
          <w:rFonts w:ascii="Times New Roman" w:hAnsi="Times New Roman"/>
          <w:b/>
          <w:sz w:val="20"/>
          <w:szCs w:val="20"/>
        </w:rPr>
        <w:fldChar w:fldCharType="separate"/>
      </w:r>
      <w:r w:rsidR="00D51AB3" w:rsidRPr="00E61F6E">
        <w:rPr>
          <w:rFonts w:ascii="Times New Roman" w:hAnsi="Times New Roman"/>
          <w:b/>
          <w:noProof/>
          <w:sz w:val="20"/>
          <w:szCs w:val="20"/>
        </w:rPr>
        <w:t>12</w:t>
      </w:r>
      <w:r w:rsidR="001E4596" w:rsidRPr="00E61F6E">
        <w:rPr>
          <w:rFonts w:ascii="Times New Roman" w:hAnsi="Times New Roman"/>
          <w:b/>
          <w:sz w:val="20"/>
          <w:szCs w:val="20"/>
        </w:rPr>
        <w:fldChar w:fldCharType="end"/>
      </w:r>
      <w:r w:rsidR="001E4596" w:rsidRPr="00E61F6E">
        <w:rPr>
          <w:rFonts w:ascii="Times New Roman" w:hAnsi="Times New Roman"/>
          <w:b/>
          <w:sz w:val="20"/>
          <w:szCs w:val="20"/>
        </w:rPr>
        <w:t xml:space="preserve"> </w:t>
      </w:r>
      <w:r w:rsidRPr="00E61F6E">
        <w:rPr>
          <w:rFonts w:ascii="Times New Roman" w:hAnsi="Times New Roman"/>
          <w:b/>
          <w:sz w:val="20"/>
          <w:szCs w:val="20"/>
        </w:rPr>
        <w:t>: Productions nettes des produits alimentaires 2020/2021</w:t>
      </w:r>
      <w:bookmarkEnd w:id="260"/>
    </w:p>
    <w:tbl>
      <w:tblPr>
        <w:tblW w:w="84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0"/>
        <w:gridCol w:w="2736"/>
        <w:gridCol w:w="2693"/>
      </w:tblGrid>
      <w:tr w:rsidR="000F7EB2" w:rsidRPr="00A05698" w:rsidTr="000F7EB2">
        <w:trPr>
          <w:jc w:val="center"/>
        </w:trPr>
        <w:tc>
          <w:tcPr>
            <w:tcW w:w="3070" w:type="dxa"/>
            <w:tcBorders>
              <w:bottom w:val="nil"/>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r w:rsidRPr="00A05698">
              <w:rPr>
                <w:rFonts w:ascii="Times New Roman" w:hAnsi="Times New Roman"/>
                <w:i/>
                <w:color w:val="000000"/>
                <w:sz w:val="22"/>
                <w:szCs w:val="22"/>
              </w:rPr>
              <w:t xml:space="preserve">      </w:t>
            </w:r>
            <w:r w:rsidRPr="00A05698">
              <w:rPr>
                <w:rFonts w:ascii="Times New Roman" w:hAnsi="Times New Roman"/>
                <w:b/>
                <w:i/>
                <w:color w:val="000000"/>
                <w:sz w:val="22"/>
                <w:szCs w:val="22"/>
              </w:rPr>
              <w:t>Céréales</w:t>
            </w:r>
          </w:p>
        </w:tc>
        <w:tc>
          <w:tcPr>
            <w:tcW w:w="5429" w:type="dxa"/>
            <w:gridSpan w:val="2"/>
            <w:tcBorders>
              <w:bottom w:val="single" w:sz="4" w:space="0" w:color="auto"/>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r w:rsidRPr="00A05698">
              <w:rPr>
                <w:rFonts w:ascii="Times New Roman" w:hAnsi="Times New Roman"/>
                <w:b/>
                <w:i/>
                <w:color w:val="000000"/>
                <w:sz w:val="22"/>
                <w:szCs w:val="22"/>
              </w:rPr>
              <w:t>Production</w:t>
            </w:r>
          </w:p>
        </w:tc>
      </w:tr>
      <w:tr w:rsidR="000F7EB2" w:rsidRPr="00A05698" w:rsidTr="000F7EB2">
        <w:trPr>
          <w:trHeight w:val="152"/>
          <w:jc w:val="center"/>
        </w:trPr>
        <w:tc>
          <w:tcPr>
            <w:tcW w:w="3070" w:type="dxa"/>
            <w:tcBorders>
              <w:top w:val="nil"/>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p>
        </w:tc>
        <w:tc>
          <w:tcPr>
            <w:tcW w:w="2736" w:type="dxa"/>
            <w:tcBorders>
              <w:top w:val="single" w:sz="4" w:space="0" w:color="auto"/>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r w:rsidRPr="00A05698">
              <w:rPr>
                <w:rFonts w:ascii="Times New Roman" w:hAnsi="Times New Roman"/>
                <w:b/>
                <w:i/>
                <w:color w:val="000000"/>
                <w:sz w:val="22"/>
                <w:szCs w:val="22"/>
              </w:rPr>
              <w:t>Brute (tonnes)</w:t>
            </w:r>
          </w:p>
        </w:tc>
        <w:tc>
          <w:tcPr>
            <w:tcW w:w="2693" w:type="dxa"/>
            <w:tcBorders>
              <w:top w:val="single" w:sz="4" w:space="0" w:color="auto"/>
            </w:tcBorders>
            <w:shd w:val="clear" w:color="auto" w:fill="DEEAF6" w:themeFill="accent1" w:themeFillTint="33"/>
          </w:tcPr>
          <w:p w:rsidR="009B5A8F" w:rsidRPr="00A05698" w:rsidRDefault="009B5A8F" w:rsidP="000F7EB2">
            <w:pPr>
              <w:pStyle w:val="Corpodetexto"/>
              <w:spacing w:before="0" w:after="0"/>
              <w:jc w:val="center"/>
              <w:rPr>
                <w:rFonts w:ascii="Times New Roman" w:hAnsi="Times New Roman"/>
                <w:b/>
                <w:i/>
                <w:color w:val="000000"/>
                <w:sz w:val="22"/>
                <w:szCs w:val="22"/>
              </w:rPr>
            </w:pPr>
            <w:r w:rsidRPr="00A05698">
              <w:rPr>
                <w:rFonts w:ascii="Times New Roman" w:hAnsi="Times New Roman"/>
                <w:b/>
                <w:i/>
                <w:color w:val="000000"/>
                <w:sz w:val="22"/>
                <w:szCs w:val="22"/>
              </w:rPr>
              <w:t>Nette (tonnes)*</w:t>
            </w:r>
          </w:p>
        </w:tc>
      </w:tr>
      <w:tr w:rsidR="000F7EB2" w:rsidRPr="00A05698" w:rsidTr="000F7EB2">
        <w:trPr>
          <w:jc w:val="center"/>
        </w:trPr>
        <w:tc>
          <w:tcPr>
            <w:tcW w:w="3070" w:type="dxa"/>
          </w:tcPr>
          <w:p w:rsidR="009B5A8F" w:rsidRPr="00A05698" w:rsidRDefault="009B5A8F" w:rsidP="000F7EB2">
            <w:pPr>
              <w:pStyle w:val="Corpodetexto"/>
              <w:spacing w:before="0" w:after="0"/>
              <w:rPr>
                <w:rFonts w:ascii="Times New Roman" w:hAnsi="Times New Roman"/>
                <w:i/>
                <w:color w:val="000000"/>
                <w:sz w:val="22"/>
                <w:szCs w:val="22"/>
              </w:rPr>
            </w:pPr>
            <w:r w:rsidRPr="00A05698">
              <w:rPr>
                <w:rFonts w:ascii="Times New Roman" w:hAnsi="Times New Roman"/>
                <w:i/>
                <w:color w:val="000000"/>
                <w:sz w:val="22"/>
                <w:szCs w:val="22"/>
              </w:rPr>
              <w:t>Riz</w:t>
            </w:r>
          </w:p>
        </w:tc>
        <w:tc>
          <w:tcPr>
            <w:tcW w:w="2736" w:type="dxa"/>
          </w:tcPr>
          <w:p w:rsidR="009B5A8F" w:rsidRPr="00A05698" w:rsidRDefault="009B5A8F" w:rsidP="000F7EB2">
            <w:pPr>
              <w:pStyle w:val="Corpodetexto"/>
              <w:spacing w:before="0" w:after="0"/>
              <w:jc w:val="right"/>
              <w:rPr>
                <w:rFonts w:ascii="Times New Roman" w:hAnsi="Times New Roman"/>
                <w:i/>
                <w:sz w:val="22"/>
                <w:szCs w:val="22"/>
              </w:rPr>
            </w:pPr>
            <w:r w:rsidRPr="00A05698">
              <w:rPr>
                <w:rFonts w:ascii="Times New Roman" w:hAnsi="Times New Roman"/>
                <w:i/>
                <w:sz w:val="22"/>
                <w:szCs w:val="22"/>
              </w:rPr>
              <w:t>198.142</w:t>
            </w:r>
          </w:p>
        </w:tc>
        <w:tc>
          <w:tcPr>
            <w:tcW w:w="2693" w:type="dxa"/>
          </w:tcPr>
          <w:p w:rsidR="009B5A8F" w:rsidRPr="00A05698" w:rsidRDefault="009B5A8F" w:rsidP="000F7EB2">
            <w:pPr>
              <w:pStyle w:val="Corpodetexto"/>
              <w:spacing w:before="0" w:after="0"/>
              <w:jc w:val="right"/>
              <w:rPr>
                <w:rFonts w:ascii="Times New Roman" w:hAnsi="Times New Roman"/>
                <w:i/>
                <w:sz w:val="22"/>
                <w:szCs w:val="22"/>
              </w:rPr>
            </w:pPr>
            <w:r w:rsidRPr="00A05698">
              <w:rPr>
                <w:rFonts w:ascii="Times New Roman" w:hAnsi="Times New Roman"/>
                <w:i/>
                <w:sz w:val="22"/>
                <w:szCs w:val="22"/>
              </w:rPr>
              <w:t>118.885</w:t>
            </w:r>
          </w:p>
        </w:tc>
      </w:tr>
      <w:tr w:rsidR="000F7EB2" w:rsidRPr="00A05698" w:rsidTr="000F7EB2">
        <w:trPr>
          <w:jc w:val="center"/>
        </w:trPr>
        <w:tc>
          <w:tcPr>
            <w:tcW w:w="3070" w:type="dxa"/>
          </w:tcPr>
          <w:p w:rsidR="009B5A8F" w:rsidRPr="00A05698" w:rsidRDefault="009B5A8F" w:rsidP="000F7EB2">
            <w:pPr>
              <w:pStyle w:val="Corpodetexto"/>
              <w:spacing w:before="0" w:after="0"/>
              <w:rPr>
                <w:rFonts w:ascii="Times New Roman" w:hAnsi="Times New Roman"/>
                <w:i/>
                <w:color w:val="000000"/>
                <w:sz w:val="22"/>
                <w:szCs w:val="22"/>
              </w:rPr>
            </w:pPr>
            <w:r w:rsidRPr="00A05698">
              <w:rPr>
                <w:rFonts w:ascii="Times New Roman" w:hAnsi="Times New Roman"/>
                <w:i/>
                <w:color w:val="000000"/>
                <w:sz w:val="22"/>
                <w:szCs w:val="22"/>
              </w:rPr>
              <w:t>Céréales Sèches</w:t>
            </w:r>
          </w:p>
        </w:tc>
        <w:tc>
          <w:tcPr>
            <w:tcW w:w="2736" w:type="dxa"/>
          </w:tcPr>
          <w:p w:rsidR="009B5A8F" w:rsidRPr="00A05698" w:rsidRDefault="009B5A8F" w:rsidP="000F7EB2">
            <w:pPr>
              <w:pStyle w:val="Corpodetexto"/>
              <w:spacing w:before="0" w:after="0"/>
              <w:jc w:val="right"/>
              <w:rPr>
                <w:rFonts w:ascii="Times New Roman" w:hAnsi="Times New Roman"/>
                <w:i/>
                <w:sz w:val="22"/>
                <w:szCs w:val="22"/>
              </w:rPr>
            </w:pPr>
            <w:r w:rsidRPr="00A05698">
              <w:rPr>
                <w:rFonts w:ascii="Times New Roman" w:hAnsi="Times New Roman"/>
                <w:i/>
                <w:sz w:val="22"/>
                <w:szCs w:val="22"/>
              </w:rPr>
              <w:t>59.362</w:t>
            </w:r>
          </w:p>
        </w:tc>
        <w:tc>
          <w:tcPr>
            <w:tcW w:w="2693" w:type="dxa"/>
          </w:tcPr>
          <w:p w:rsidR="009B5A8F" w:rsidRPr="00A05698" w:rsidRDefault="009B5A8F" w:rsidP="000F7EB2">
            <w:pPr>
              <w:pStyle w:val="Corpodetexto"/>
              <w:spacing w:before="0" w:after="0"/>
              <w:jc w:val="right"/>
              <w:rPr>
                <w:rFonts w:ascii="Times New Roman" w:hAnsi="Times New Roman"/>
                <w:i/>
                <w:sz w:val="22"/>
                <w:szCs w:val="22"/>
              </w:rPr>
            </w:pPr>
            <w:r w:rsidRPr="00A05698">
              <w:rPr>
                <w:rFonts w:ascii="Times New Roman" w:hAnsi="Times New Roman"/>
                <w:i/>
                <w:sz w:val="22"/>
                <w:szCs w:val="22"/>
              </w:rPr>
              <w:t>50.458</w:t>
            </w:r>
          </w:p>
        </w:tc>
      </w:tr>
      <w:tr w:rsidR="000F7EB2" w:rsidRPr="00A05698" w:rsidTr="000F7EB2">
        <w:trPr>
          <w:jc w:val="center"/>
        </w:trPr>
        <w:tc>
          <w:tcPr>
            <w:tcW w:w="3070" w:type="dxa"/>
          </w:tcPr>
          <w:p w:rsidR="009B5A8F" w:rsidRPr="00A05698" w:rsidRDefault="009B5A8F" w:rsidP="000F7EB2">
            <w:pPr>
              <w:pStyle w:val="Corpodetexto"/>
              <w:spacing w:before="0" w:after="0"/>
              <w:rPr>
                <w:rFonts w:ascii="Times New Roman" w:hAnsi="Times New Roman"/>
                <w:b/>
                <w:i/>
                <w:color w:val="000000"/>
                <w:sz w:val="22"/>
                <w:szCs w:val="22"/>
              </w:rPr>
            </w:pPr>
            <w:r w:rsidRPr="00A05698">
              <w:rPr>
                <w:rFonts w:ascii="Times New Roman" w:hAnsi="Times New Roman"/>
                <w:b/>
                <w:i/>
                <w:color w:val="000000"/>
                <w:sz w:val="22"/>
                <w:szCs w:val="22"/>
              </w:rPr>
              <w:t>Total</w:t>
            </w:r>
          </w:p>
        </w:tc>
        <w:tc>
          <w:tcPr>
            <w:tcW w:w="2736" w:type="dxa"/>
          </w:tcPr>
          <w:p w:rsidR="009B5A8F" w:rsidRPr="00A05698" w:rsidRDefault="009B5A8F" w:rsidP="000F7EB2">
            <w:pPr>
              <w:pStyle w:val="Corpodetexto"/>
              <w:spacing w:before="0" w:after="0"/>
              <w:jc w:val="right"/>
              <w:rPr>
                <w:rFonts w:ascii="Times New Roman" w:hAnsi="Times New Roman"/>
                <w:b/>
                <w:i/>
                <w:sz w:val="22"/>
                <w:szCs w:val="22"/>
              </w:rPr>
            </w:pPr>
            <w:r w:rsidRPr="00A05698">
              <w:rPr>
                <w:rFonts w:ascii="Times New Roman" w:hAnsi="Times New Roman"/>
                <w:b/>
                <w:i/>
                <w:sz w:val="22"/>
                <w:szCs w:val="22"/>
              </w:rPr>
              <w:t>257.504</w:t>
            </w:r>
          </w:p>
        </w:tc>
        <w:tc>
          <w:tcPr>
            <w:tcW w:w="2693" w:type="dxa"/>
          </w:tcPr>
          <w:p w:rsidR="009B5A8F" w:rsidRPr="00A05698" w:rsidRDefault="009B5A8F" w:rsidP="000F7EB2">
            <w:pPr>
              <w:pStyle w:val="Corpodetexto"/>
              <w:spacing w:before="0" w:after="0"/>
              <w:jc w:val="right"/>
              <w:rPr>
                <w:rFonts w:ascii="Times New Roman" w:hAnsi="Times New Roman"/>
                <w:b/>
                <w:i/>
                <w:sz w:val="22"/>
                <w:szCs w:val="22"/>
              </w:rPr>
            </w:pPr>
            <w:r w:rsidRPr="00A05698">
              <w:rPr>
                <w:rFonts w:ascii="Times New Roman" w:hAnsi="Times New Roman"/>
                <w:b/>
                <w:i/>
                <w:sz w:val="22"/>
                <w:szCs w:val="22"/>
              </w:rPr>
              <w:t>169.343</w:t>
            </w:r>
          </w:p>
        </w:tc>
      </w:tr>
    </w:tbl>
    <w:p w:rsidR="00A22110" w:rsidRPr="00E61F6E" w:rsidRDefault="00A22110" w:rsidP="00A22110">
      <w:pPr>
        <w:jc w:val="both"/>
        <w:rPr>
          <w:i/>
          <w:sz w:val="20"/>
          <w:szCs w:val="20"/>
        </w:rPr>
      </w:pPr>
      <w:r w:rsidRPr="00E61F6E">
        <w:rPr>
          <w:i/>
          <w:sz w:val="20"/>
          <w:szCs w:val="20"/>
        </w:rPr>
        <w:t>Source : Service de statistique agricole/MADR, 2021</w:t>
      </w:r>
    </w:p>
    <w:p w:rsidR="00A22110" w:rsidRPr="00A22110" w:rsidRDefault="00A22110" w:rsidP="00A22110">
      <w:pPr>
        <w:jc w:val="both"/>
        <w:rPr>
          <w:i/>
        </w:rPr>
      </w:pPr>
    </w:p>
    <w:p w:rsidR="009B5A8F" w:rsidRPr="00A05698" w:rsidRDefault="00A22110" w:rsidP="00483462">
      <w:pPr>
        <w:jc w:val="both"/>
      </w:pPr>
      <w:r w:rsidRPr="00A05698" w:rsidDel="00A22110">
        <w:rPr>
          <w:b/>
          <w:color w:val="000000"/>
        </w:rPr>
        <w:t xml:space="preserve"> </w:t>
      </w:r>
      <w:r w:rsidR="009B5A8F" w:rsidRPr="00A05698">
        <w:t>(*) Production disponible en céréales sèches = Production brute x 85% (15% de pertes et semences) ;</w:t>
      </w:r>
    </w:p>
    <w:p w:rsidR="00E33F83" w:rsidRPr="00A05698" w:rsidRDefault="009B5A8F" w:rsidP="00483462">
      <w:pPr>
        <w:jc w:val="both"/>
      </w:pPr>
      <w:r w:rsidRPr="00A05698">
        <w:t>Production disponible en riz = Production brute x 60% (perte, semences et taux d’usinage).</w:t>
      </w:r>
      <w:bookmarkStart w:id="261" w:name="_Toc535396941"/>
      <w:bookmarkStart w:id="262" w:name="_Toc6310481"/>
      <w:bookmarkStart w:id="263" w:name="_Toc51084447"/>
    </w:p>
    <w:p w:rsidR="009F2191" w:rsidRPr="00A05698" w:rsidRDefault="009F2191" w:rsidP="009F2191">
      <w:pPr>
        <w:pStyle w:val="PargrafodaLista"/>
        <w:keepNext/>
        <w:spacing w:before="240" w:after="240" w:line="240" w:lineRule="auto"/>
        <w:ind w:left="1158" w:right="284" w:firstLine="258"/>
        <w:jc w:val="both"/>
        <w:outlineLvl w:val="2"/>
        <w:rPr>
          <w:rFonts w:ascii="Times New Roman" w:hAnsi="Times New Roman"/>
          <w:b/>
          <w:sz w:val="24"/>
          <w:szCs w:val="24"/>
        </w:rPr>
      </w:pPr>
      <w:r w:rsidRPr="00A05698">
        <w:rPr>
          <w:rFonts w:ascii="Times New Roman" w:hAnsi="Times New Roman"/>
          <w:b/>
          <w:sz w:val="24"/>
          <w:szCs w:val="24"/>
        </w:rPr>
        <w:lastRenderedPageBreak/>
        <w:t>4</w:t>
      </w:r>
      <w:r w:rsidR="007C0EBB" w:rsidRPr="00A05698">
        <w:rPr>
          <w:rFonts w:ascii="Times New Roman" w:hAnsi="Times New Roman"/>
          <w:b/>
          <w:sz w:val="24"/>
          <w:szCs w:val="24"/>
        </w:rPr>
        <w:t>.</w:t>
      </w:r>
      <w:r w:rsidR="00E058CB">
        <w:rPr>
          <w:rFonts w:ascii="Times New Roman" w:hAnsi="Times New Roman"/>
          <w:b/>
          <w:sz w:val="24"/>
          <w:szCs w:val="24"/>
        </w:rPr>
        <w:t>3</w:t>
      </w:r>
      <w:r w:rsidR="007C0EBB" w:rsidRPr="00A05698">
        <w:rPr>
          <w:rFonts w:ascii="Times New Roman" w:hAnsi="Times New Roman"/>
          <w:b/>
          <w:sz w:val="24"/>
          <w:szCs w:val="24"/>
        </w:rPr>
        <w:t>.5.  Ressources halieutiques</w:t>
      </w:r>
      <w:bookmarkEnd w:id="261"/>
      <w:bookmarkEnd w:id="262"/>
      <w:bookmarkEnd w:id="263"/>
    </w:p>
    <w:p w:rsidR="007C0EBB" w:rsidRPr="00A05698" w:rsidRDefault="007C0EBB" w:rsidP="00E058CB">
      <w:pPr>
        <w:pStyle w:val="PargrafodaLista"/>
        <w:numPr>
          <w:ilvl w:val="0"/>
          <w:numId w:val="57"/>
        </w:numPr>
        <w:spacing w:before="100" w:beforeAutospacing="1" w:after="0"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 xml:space="preserve">Potentialités du secteur </w:t>
      </w:r>
    </w:p>
    <w:p w:rsidR="007C0EBB" w:rsidRPr="00A05698" w:rsidRDefault="007C0EBB" w:rsidP="00483462">
      <w:pPr>
        <w:jc w:val="both"/>
      </w:pPr>
      <w:r w:rsidRPr="00A05698">
        <w:t>Le pays possède un plateau continental de 45 000 km² s’étendant au sud-est de l</w:t>
      </w:r>
      <w:r w:rsidR="00A05714" w:rsidRPr="00A05698">
        <w:t>’</w:t>
      </w:r>
      <w:r w:rsidRPr="00A05698">
        <w:t xml:space="preserve">archipel des Bijagos. Le long de celui-ci, il y a trois zones de pêche bien définies : (i) une zone avec des profondeurs inférieures à </w:t>
      </w:r>
      <w:r w:rsidR="005C21FC" w:rsidRPr="00A05698">
        <w:t>10 m, accessible aux petits bateaux de pêche artisanale ; (</w:t>
      </w:r>
      <w:r w:rsidRPr="00A05698">
        <w:t>ii</w:t>
      </w:r>
      <w:r w:rsidR="005C21FC" w:rsidRPr="00A05698">
        <w:t>) une zone avec des</w:t>
      </w:r>
      <w:r w:rsidRPr="00A05698">
        <w:t xml:space="preserve"> profondeurs de 10-20 m et (iii) une zone de 15 000 km², qui s’étend jusqu’à 120 miles nautiques, avec </w:t>
      </w:r>
      <w:r w:rsidR="005C21FC" w:rsidRPr="00A05698">
        <w:t xml:space="preserve">des </w:t>
      </w:r>
      <w:r w:rsidR="00681BD5" w:rsidRPr="00A05698">
        <w:t>profondeurs allant</w:t>
      </w:r>
      <w:r w:rsidRPr="00A05698">
        <w:t xml:space="preserve"> de </w:t>
      </w:r>
      <w:r w:rsidR="00BE0248" w:rsidRPr="00A05698">
        <w:t>20 à</w:t>
      </w:r>
      <w:r w:rsidRPr="00A05698">
        <w:t xml:space="preserve">  200  m,  dans laquelle  opère  la flotte industrielle  étrangère.  Avec un potentiel d’exploitation des ressources halieutiques estimé à 275 000 tonnes/an, le secteur de la pêche (industrielle, semi-industrielle et artisanale) emploie actuellement environ 10 000 personnes et contribue pour 4% du PIB5 et pour 40% du budget général de l’État. La grande productivité de la ZEE (notamment grâce aux importantes superficies de mangroves et à l’archipel des Bijagós) attire des pêcheurs étrangers, tant au niveau industriel qu’artisanal. </w:t>
      </w:r>
    </w:p>
    <w:p w:rsidR="007C0EBB" w:rsidRPr="00A05698" w:rsidRDefault="007C0EBB" w:rsidP="00E058CB">
      <w:pPr>
        <w:pStyle w:val="PargrafodaLista"/>
        <w:numPr>
          <w:ilvl w:val="0"/>
          <w:numId w:val="57"/>
        </w:numPr>
        <w:spacing w:before="100" w:beforeAutospacing="1" w:after="0"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Potentiel d’embarcations et de débarquements</w:t>
      </w:r>
    </w:p>
    <w:p w:rsidR="007C0EBB" w:rsidRDefault="007C0EBB" w:rsidP="00483462">
      <w:pPr>
        <w:jc w:val="both"/>
      </w:pPr>
      <w:r w:rsidRPr="00A05698">
        <w:t>Selon la Direction de la Pêche Artisanale, 1426 licences de pêche ont été émises en 2016 pour 1106 pirogues au total, toutes catégories confondues, réparties comme suit : Guinée-Bissau (75%), Sénégal (16), Guinée Conakry (8) et Brésil (1).  Pour l’année 2017, selon les données provisoirement disponibles de la Direction de la Pêche Artisanale, environ 350 licences ont été émises et concernent pour la majorité des embarcations étrangères.</w:t>
      </w:r>
    </w:p>
    <w:p w:rsidR="00E61F6E" w:rsidRPr="00A05698" w:rsidRDefault="00E61F6E" w:rsidP="00483462">
      <w:pPr>
        <w:jc w:val="both"/>
      </w:pPr>
    </w:p>
    <w:p w:rsidR="007C0EBB" w:rsidRPr="00A05698" w:rsidRDefault="007C0EBB" w:rsidP="00E058CB">
      <w:pPr>
        <w:pStyle w:val="PargrafodaLista"/>
        <w:numPr>
          <w:ilvl w:val="0"/>
          <w:numId w:val="57"/>
        </w:numPr>
        <w:spacing w:after="0"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Pêche industrielle</w:t>
      </w:r>
    </w:p>
    <w:p w:rsidR="007C0EBB" w:rsidRPr="00A05698" w:rsidRDefault="007C0EBB" w:rsidP="00483462">
      <w:pPr>
        <w:jc w:val="both"/>
      </w:pPr>
      <w:r w:rsidRPr="00A05698">
        <w:t>La pêche industrielle est surtout pratiquée par des embarcations étrangères, et la flottille est composée d’embarcations de pêche aux poissons, aux céphalopodes, aux crevettes et aux tons. Il existe aussi des embarcations de pélagiques et de pêche à la palangre. Les principales pressions imposées par la pêche industrielle sont :  la surpêche des espèces à valeur commerciale et les prises accidentelles d’autres espèces (non autorisée par le permis), l’utilisation d’équipements non conformes (comme des filets à petite maille), la violation de l’interdiction de la pêche industrielle à l’intérieur des 12 mN, la pêche sans permis et la repêche d’animaux marins rares tels que les tortues marines ou les lamantins. La surpêche menace aussi bien les ressources biologiques, essentielles aux communautés de la zone côtière, que la biodiversité.</w:t>
      </w:r>
    </w:p>
    <w:p w:rsidR="007C0EBB" w:rsidRPr="00A05698" w:rsidRDefault="007C0EBB" w:rsidP="00E058CB">
      <w:pPr>
        <w:pStyle w:val="PargrafodaLista"/>
        <w:numPr>
          <w:ilvl w:val="0"/>
          <w:numId w:val="57"/>
        </w:numPr>
        <w:spacing w:before="100" w:beforeAutospacing="1" w:after="0"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Pêche artisanale</w:t>
      </w:r>
    </w:p>
    <w:p w:rsidR="007C0EBB" w:rsidRPr="00A05698" w:rsidRDefault="007C0EBB" w:rsidP="00483462">
      <w:pPr>
        <w:jc w:val="both"/>
      </w:pPr>
      <w:r w:rsidRPr="00A05698">
        <w:t>La pêche artisanale se pratique dans les fleuves et les estuaires le long de la côte, en particulier dans l</w:t>
      </w:r>
      <w:r w:rsidR="00A05714" w:rsidRPr="00A05698">
        <w:t>’</w:t>
      </w:r>
      <w:r w:rsidRPr="00A05698">
        <w:t>archipel des Bijagos, Cacheu et Cacine, où sont exploités le mulet et des pélagiques djafal (Ethmalosa) qui constituent environ 80% des prises. Le droit de la pêche artisanale est réservé à 12 miles nautiques, y compris les eaux entre les îles et les estuaires.  La pêche artisanale joue un rôle important vis-à-vis du développement socio-économique du pays.  Elle est considérée comme une source d</w:t>
      </w:r>
      <w:r w:rsidR="00A05714" w:rsidRPr="00A05698">
        <w:t>’</w:t>
      </w:r>
      <w:r w:rsidRPr="00A05698">
        <w:t>approvisionnement de protéines animales pour la majorité de la population côtière et contribue à la fois la sécurité alimentaire, la nutrition, ainsi qu’à la création d</w:t>
      </w:r>
      <w:r w:rsidR="00A05714" w:rsidRPr="00A05698">
        <w:t>’</w:t>
      </w:r>
      <w:r w:rsidRPr="00A05698">
        <w:t>emplois.  En outre, elle fournit de la matière première aux activités transformatrices et aux petits commerces (surtout exercés par les femmes). Les pêcheurs artisanaux de la Guinée Bissau pratiquent surtout une pêche de subsistance et possèdent20% des embarcations motorisées existantes. Les pressions sur l’environnement exercées par les pêcheurs artisanaux en Guinée Bissau sont liées à l’utilisation de filets de plusieurs centaines de mètres installés sur toute la largeur des bras de rivières et à l’utilisation de filets de petites   mailles.</w:t>
      </w:r>
    </w:p>
    <w:p w:rsidR="007C0EBB" w:rsidRPr="00A05698" w:rsidRDefault="001B552C" w:rsidP="00E058CB">
      <w:pPr>
        <w:pStyle w:val="PargrafodaLista"/>
        <w:keepNext/>
        <w:spacing w:before="240" w:after="0" w:line="240" w:lineRule="auto"/>
        <w:ind w:left="1158" w:right="284" w:firstLine="258"/>
        <w:jc w:val="both"/>
        <w:outlineLvl w:val="2"/>
        <w:rPr>
          <w:rFonts w:ascii="Times New Roman" w:hAnsi="Times New Roman"/>
          <w:b/>
          <w:sz w:val="24"/>
          <w:szCs w:val="24"/>
        </w:rPr>
      </w:pPr>
      <w:bookmarkStart w:id="264" w:name="_Toc17385799"/>
      <w:bookmarkStart w:id="265" w:name="_Toc51084448"/>
      <w:r w:rsidRPr="00A05698">
        <w:rPr>
          <w:rFonts w:ascii="Times New Roman" w:hAnsi="Times New Roman"/>
          <w:b/>
          <w:sz w:val="24"/>
          <w:szCs w:val="24"/>
        </w:rPr>
        <w:lastRenderedPageBreak/>
        <w:t>4</w:t>
      </w:r>
      <w:r w:rsidR="007C0EBB" w:rsidRPr="00A05698">
        <w:rPr>
          <w:rFonts w:ascii="Times New Roman" w:hAnsi="Times New Roman"/>
          <w:b/>
          <w:sz w:val="24"/>
          <w:szCs w:val="24"/>
        </w:rPr>
        <w:t>.</w:t>
      </w:r>
      <w:r w:rsidR="00E058CB">
        <w:rPr>
          <w:rFonts w:ascii="Times New Roman" w:hAnsi="Times New Roman"/>
          <w:b/>
          <w:sz w:val="24"/>
          <w:szCs w:val="24"/>
        </w:rPr>
        <w:t>3</w:t>
      </w:r>
      <w:r w:rsidR="007C0EBB" w:rsidRPr="00A05698">
        <w:rPr>
          <w:rFonts w:ascii="Times New Roman" w:hAnsi="Times New Roman"/>
          <w:b/>
          <w:sz w:val="24"/>
          <w:szCs w:val="24"/>
        </w:rPr>
        <w:t>.6. Santé</w:t>
      </w:r>
      <w:bookmarkEnd w:id="264"/>
      <w:bookmarkEnd w:id="265"/>
      <w:r w:rsidR="007C0EBB" w:rsidRPr="00A05698">
        <w:rPr>
          <w:rFonts w:ascii="Times New Roman" w:hAnsi="Times New Roman"/>
          <w:b/>
          <w:sz w:val="24"/>
          <w:szCs w:val="24"/>
        </w:rPr>
        <w:t xml:space="preserve"> </w:t>
      </w:r>
    </w:p>
    <w:p w:rsidR="00F8229B" w:rsidRPr="00A05698" w:rsidRDefault="00F8229B" w:rsidP="00E61F6E">
      <w:pPr>
        <w:jc w:val="both"/>
      </w:pPr>
      <w:r w:rsidRPr="00A05698">
        <w:t>Le profil épidémiologique est toujours caractérisé par la prédominance des maladies transmissibles et non transmissibles avec émergence des nouvelles maladies, accentué par les conditions défavorables du milieu et la prédominance des comportements à risque comme le tabagisme, alcoolisme, consommation de la drogue et pratiques sexuelles à risque. Tous ces facteurs déterminants jouent aussi en interaction avec la présence d’une alimentation déséquilibrée. Ce profil est également aggravé par un système de santé déficient qui n’arrive pas à donner des réponses favorables aux exigences de la population, ayant pour conséquence un taux élevé de mortalité maternelle (5490 /000 naissances vivantes) et infantile (55,4</w:t>
      </w:r>
      <w:r w:rsidR="004530F9" w:rsidRPr="00A05698">
        <w:t>‰, MICS</w:t>
      </w:r>
      <w:r w:rsidRPr="00A05698">
        <w:t xml:space="preserve"> 2014) dont les causes principales sont les complications néonatales (23%), les IRA (23%), le paludisme (21%), les maladies diarrhéiques (19%) et la malnutrition (33%). L’Indice Synthétique de Fécondité (ISF) est de 4,9 enfants par femme en âge de procréer (15-49 ans). Le taux de fécondité est de 106% chez les 15-19 ans (MICS2014) du fait que la vie procréative des femmes commence tôt et se termine assez tardivement. Les causes sont : le mariage précoce et les rapports sexuels précoces surtout chez les jeunes filles en mariage intergénérationnel et le faible taux de prévalence contraceptive. Les mutilations génitales féminines touchent 49,7% des filles âgées de 0-14 ans (MICS 2014). Selon les résultats MICS 2014, 41,8% </w:t>
      </w:r>
      <w:r w:rsidR="005A530B" w:rsidRPr="009D1492">
        <w:t>filles</w:t>
      </w:r>
      <w:r w:rsidR="005A530B">
        <w:t xml:space="preserve"> et femmes de plus de 15 ans</w:t>
      </w:r>
      <w:r w:rsidR="00FE49EB">
        <w:t>.</w:t>
      </w:r>
    </w:p>
    <w:p w:rsidR="000461D6" w:rsidRPr="00E61F6E" w:rsidRDefault="000461D6" w:rsidP="00C87747">
      <w:pPr>
        <w:pStyle w:val="Primeiroavanodecorpodetexto2"/>
        <w:spacing w:after="0" w:line="240" w:lineRule="auto"/>
        <w:jc w:val="center"/>
        <w:rPr>
          <w:rFonts w:ascii="Times New Roman" w:hAnsi="Times New Roman"/>
          <w:b/>
          <w:sz w:val="20"/>
          <w:szCs w:val="20"/>
        </w:rPr>
      </w:pPr>
      <w:bookmarkStart w:id="266" w:name="_Toc51084847"/>
      <w:bookmarkStart w:id="267" w:name="_Toc75503447"/>
      <w:r w:rsidRPr="00E61F6E">
        <w:rPr>
          <w:rFonts w:ascii="Times New Roman" w:hAnsi="Times New Roman"/>
          <w:b/>
          <w:sz w:val="20"/>
          <w:szCs w:val="20"/>
        </w:rPr>
        <w:t xml:space="preserve">Tableau </w:t>
      </w:r>
      <w:r w:rsidR="00121744" w:rsidRPr="00E61F6E">
        <w:rPr>
          <w:rFonts w:ascii="Times New Roman" w:hAnsi="Times New Roman"/>
          <w:b/>
          <w:sz w:val="20"/>
          <w:szCs w:val="20"/>
        </w:rPr>
        <w:fldChar w:fldCharType="begin"/>
      </w:r>
      <w:r w:rsidR="00121744" w:rsidRPr="00E61F6E">
        <w:rPr>
          <w:rFonts w:ascii="Times New Roman" w:hAnsi="Times New Roman"/>
          <w:b/>
          <w:sz w:val="20"/>
          <w:szCs w:val="20"/>
        </w:rPr>
        <w:instrText xml:space="preserve"> </w:instrText>
      </w:r>
      <w:r w:rsidR="006C5620" w:rsidRPr="00E61F6E">
        <w:rPr>
          <w:rFonts w:ascii="Times New Roman" w:hAnsi="Times New Roman"/>
          <w:b/>
          <w:sz w:val="20"/>
          <w:szCs w:val="20"/>
        </w:rPr>
        <w:instrText>SEQ</w:instrText>
      </w:r>
      <w:r w:rsidR="00121744" w:rsidRPr="00E61F6E">
        <w:rPr>
          <w:rFonts w:ascii="Times New Roman" w:hAnsi="Times New Roman"/>
          <w:b/>
          <w:sz w:val="20"/>
          <w:szCs w:val="20"/>
        </w:rPr>
        <w:instrText xml:space="preserve"> Tableau \* ARABIC </w:instrText>
      </w:r>
      <w:r w:rsidR="00121744" w:rsidRPr="00E61F6E">
        <w:rPr>
          <w:rFonts w:ascii="Times New Roman" w:hAnsi="Times New Roman"/>
          <w:b/>
          <w:sz w:val="20"/>
          <w:szCs w:val="20"/>
        </w:rPr>
        <w:fldChar w:fldCharType="separate"/>
      </w:r>
      <w:r w:rsidR="00D51AB3" w:rsidRPr="00E61F6E">
        <w:rPr>
          <w:rFonts w:ascii="Times New Roman" w:hAnsi="Times New Roman"/>
          <w:b/>
          <w:noProof/>
          <w:sz w:val="20"/>
          <w:szCs w:val="20"/>
        </w:rPr>
        <w:t>13</w:t>
      </w:r>
      <w:r w:rsidR="00121744" w:rsidRPr="00E61F6E">
        <w:rPr>
          <w:rFonts w:ascii="Times New Roman" w:hAnsi="Times New Roman"/>
          <w:b/>
          <w:sz w:val="20"/>
          <w:szCs w:val="20"/>
        </w:rPr>
        <w:fldChar w:fldCharType="end"/>
      </w:r>
      <w:r w:rsidRPr="00E61F6E">
        <w:rPr>
          <w:rFonts w:ascii="Times New Roman" w:hAnsi="Times New Roman"/>
          <w:b/>
          <w:sz w:val="20"/>
          <w:szCs w:val="20"/>
        </w:rPr>
        <w:t>: Indicateurs de santé</w:t>
      </w:r>
      <w:bookmarkEnd w:id="266"/>
      <w:bookmarkEnd w:id="267"/>
    </w:p>
    <w:p w:rsidR="000461D6" w:rsidRPr="00A05698" w:rsidRDefault="000461D6" w:rsidP="00743186">
      <w:pPr>
        <w:ind w:left="-284" w:right="-851"/>
        <w:jc w:val="both"/>
      </w:pPr>
    </w:p>
    <w:p w:rsidR="007C0EBB" w:rsidRPr="00F0119C" w:rsidRDefault="000461D6" w:rsidP="007D11CE">
      <w:pPr>
        <w:ind w:left="-284" w:right="-851"/>
        <w:jc w:val="center"/>
        <w:rPr>
          <w:rFonts w:eastAsia="Times New Roman"/>
          <w:i/>
          <w:sz w:val="20"/>
          <w:szCs w:val="20"/>
        </w:rPr>
      </w:pPr>
      <w:r w:rsidRPr="00F0119C">
        <w:rPr>
          <w:i/>
          <w:noProof/>
          <w:sz w:val="20"/>
          <w:szCs w:val="20"/>
          <w:lang w:val="pt-PT" w:eastAsia="pt-PT"/>
        </w:rPr>
        <w:drawing>
          <wp:anchor distT="0" distB="0" distL="114300" distR="114300" simplePos="0" relativeHeight="251658273" behindDoc="0" locked="0" layoutInCell="1" allowOverlap="1" wp14:anchorId="04B6F328" wp14:editId="799AFE53">
            <wp:simplePos x="0" y="0"/>
            <wp:positionH relativeFrom="column">
              <wp:posOffset>3145155</wp:posOffset>
            </wp:positionH>
            <wp:positionV relativeFrom="paragraph">
              <wp:posOffset>4445</wp:posOffset>
            </wp:positionV>
            <wp:extent cx="3233420" cy="3212465"/>
            <wp:effectExtent l="0" t="0" r="0" b="0"/>
            <wp:wrapTight wrapText="bothSides">
              <wp:wrapPolygon edited="0">
                <wp:start x="0" y="0"/>
                <wp:lineTo x="0" y="21348"/>
                <wp:lineTo x="21379" y="21348"/>
                <wp:lineTo x="21379" y="0"/>
                <wp:lineTo x="0" y="0"/>
              </wp:wrapPolygon>
            </wp:wrapTight>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t.jpeg"/>
                    <pic:cNvPicPr/>
                  </pic:nvPicPr>
                  <pic:blipFill>
                    <a:blip r:embed="rId51">
                      <a:extLst>
                        <a:ext uri="{28A0092B-C50C-407E-A947-70E740481C1C}">
                          <a14:useLocalDpi xmlns:a14="http://schemas.microsoft.com/office/drawing/2010/main" val="0"/>
                        </a:ext>
                      </a:extLst>
                    </a:blip>
                    <a:stretch>
                      <a:fillRect/>
                    </a:stretch>
                  </pic:blipFill>
                  <pic:spPr>
                    <a:xfrm>
                      <a:off x="0" y="0"/>
                      <a:ext cx="3233420" cy="3212465"/>
                    </a:xfrm>
                    <a:prstGeom prst="rect">
                      <a:avLst/>
                    </a:prstGeom>
                  </pic:spPr>
                </pic:pic>
              </a:graphicData>
            </a:graphic>
            <wp14:sizeRelH relativeFrom="page">
              <wp14:pctWidth>0</wp14:pctWidth>
            </wp14:sizeRelH>
            <wp14:sizeRelV relativeFrom="page">
              <wp14:pctHeight>0</wp14:pctHeight>
            </wp14:sizeRelV>
          </wp:anchor>
        </w:drawing>
      </w:r>
      <w:r w:rsidRPr="00F0119C">
        <w:rPr>
          <w:i/>
          <w:noProof/>
          <w:sz w:val="20"/>
          <w:szCs w:val="20"/>
          <w:lang w:val="pt-PT" w:eastAsia="pt-PT"/>
        </w:rPr>
        <w:drawing>
          <wp:anchor distT="0" distB="0" distL="114300" distR="114300" simplePos="0" relativeHeight="251658268" behindDoc="0" locked="0" layoutInCell="1" allowOverlap="1" wp14:anchorId="4A1BAA37" wp14:editId="225DE7C2">
            <wp:simplePos x="0" y="0"/>
            <wp:positionH relativeFrom="column">
              <wp:posOffset>-353695</wp:posOffset>
            </wp:positionH>
            <wp:positionV relativeFrom="paragraph">
              <wp:posOffset>16510</wp:posOffset>
            </wp:positionV>
            <wp:extent cx="3459480" cy="3212465"/>
            <wp:effectExtent l="0" t="0" r="0" b="0"/>
            <wp:wrapTight wrapText="bothSides">
              <wp:wrapPolygon edited="0">
                <wp:start x="0" y="0"/>
                <wp:lineTo x="0" y="21348"/>
                <wp:lineTo x="21410" y="21348"/>
                <wp:lineTo x="21410" y="0"/>
                <wp:lineTo x="0" y="0"/>
              </wp:wrapPolygon>
            </wp:wrapTight>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de.jpeg"/>
                    <pic:cNvPicPr/>
                  </pic:nvPicPr>
                  <pic:blipFill>
                    <a:blip r:embed="rId52">
                      <a:extLst>
                        <a:ext uri="{28A0092B-C50C-407E-A947-70E740481C1C}">
                          <a14:useLocalDpi xmlns:a14="http://schemas.microsoft.com/office/drawing/2010/main" val="0"/>
                        </a:ext>
                      </a:extLst>
                    </a:blip>
                    <a:stretch>
                      <a:fillRect/>
                    </a:stretch>
                  </pic:blipFill>
                  <pic:spPr>
                    <a:xfrm>
                      <a:off x="0" y="0"/>
                      <a:ext cx="3459480" cy="3212465"/>
                    </a:xfrm>
                    <a:prstGeom prst="rect">
                      <a:avLst/>
                    </a:prstGeom>
                  </pic:spPr>
                </pic:pic>
              </a:graphicData>
            </a:graphic>
            <wp14:sizeRelH relativeFrom="page">
              <wp14:pctWidth>0</wp14:pctWidth>
            </wp14:sizeRelH>
            <wp14:sizeRelV relativeFrom="page">
              <wp14:pctHeight>0</wp14:pctHeight>
            </wp14:sizeRelV>
          </wp:anchor>
        </w:drawing>
      </w:r>
      <w:r w:rsidR="00DC0923" w:rsidRPr="00F0119C">
        <w:rPr>
          <w:rFonts w:eastAsia="Times New Roman"/>
          <w:i/>
          <w:sz w:val="20"/>
          <w:szCs w:val="20"/>
        </w:rPr>
        <w:t xml:space="preserve">Source de </w:t>
      </w:r>
      <w:r w:rsidR="004530F9" w:rsidRPr="00F0119C">
        <w:rPr>
          <w:rFonts w:eastAsia="Times New Roman"/>
          <w:i/>
          <w:sz w:val="20"/>
          <w:szCs w:val="20"/>
        </w:rPr>
        <w:t>données :</w:t>
      </w:r>
      <w:r w:rsidR="00DC0923" w:rsidRPr="00F0119C">
        <w:rPr>
          <w:rFonts w:eastAsia="Times New Roman"/>
          <w:i/>
          <w:sz w:val="20"/>
          <w:szCs w:val="20"/>
        </w:rPr>
        <w:t xml:space="preserve"> Observatoire mondial de la santé, 2017</w:t>
      </w:r>
    </w:p>
    <w:p w:rsidR="00BB71BA" w:rsidRDefault="00BB71BA" w:rsidP="007D11CE">
      <w:pPr>
        <w:ind w:left="-284" w:right="-851"/>
        <w:jc w:val="center"/>
        <w:rPr>
          <w:rFonts w:eastAsia="Times New Roman"/>
        </w:rPr>
      </w:pPr>
    </w:p>
    <w:p w:rsidR="00B53D8D" w:rsidRDefault="00B53D8D" w:rsidP="0011468A">
      <w:pPr>
        <w:jc w:val="both"/>
        <w:rPr>
          <w:rFonts w:eastAsia="Times New Roman"/>
        </w:rPr>
      </w:pPr>
      <w:r>
        <w:rPr>
          <w:rFonts w:eastAsia="Times New Roman"/>
        </w:rPr>
        <w:t xml:space="preserve">Ainsi, concernant les données par rapport à la situation de la Covid 19 </w:t>
      </w:r>
      <w:r w:rsidR="00C914CF">
        <w:rPr>
          <w:rFonts w:eastAsia="Times New Roman"/>
        </w:rPr>
        <w:t xml:space="preserve">dans les régions </w:t>
      </w:r>
      <w:r w:rsidR="00A82844">
        <w:rPr>
          <w:rFonts w:eastAsia="Times New Roman"/>
        </w:rPr>
        <w:t xml:space="preserve">n’est </w:t>
      </w:r>
      <w:r w:rsidR="00C914CF">
        <w:rPr>
          <w:rFonts w:eastAsia="Times New Roman"/>
        </w:rPr>
        <w:t xml:space="preserve">pas </w:t>
      </w:r>
      <w:r w:rsidR="00A82844">
        <w:rPr>
          <w:rFonts w:eastAsia="Times New Roman"/>
        </w:rPr>
        <w:t>encore</w:t>
      </w:r>
      <w:r w:rsidR="00C914CF">
        <w:rPr>
          <w:rFonts w:eastAsia="Times New Roman"/>
        </w:rPr>
        <w:t xml:space="preserve"> disponible. Mais la situati</w:t>
      </w:r>
      <w:r w:rsidR="00DC7FF8">
        <w:rPr>
          <w:rFonts w:eastAsia="Times New Roman"/>
        </w:rPr>
        <w:t xml:space="preserve">on </w:t>
      </w:r>
      <w:r w:rsidR="007E1FCA">
        <w:rPr>
          <w:rFonts w:eastAsia="Times New Roman"/>
        </w:rPr>
        <w:t>du 22 Mars 2021</w:t>
      </w:r>
      <w:r w:rsidR="00DC7FF8">
        <w:rPr>
          <w:rFonts w:eastAsia="Times New Roman"/>
        </w:rPr>
        <w:t xml:space="preserve"> est </w:t>
      </w:r>
      <w:r w:rsidR="004549AE">
        <w:rPr>
          <w:rFonts w:eastAsia="Times New Roman"/>
        </w:rPr>
        <w:t>représentée</w:t>
      </w:r>
      <w:r w:rsidR="00DC7FF8">
        <w:rPr>
          <w:rFonts w:eastAsia="Times New Roman"/>
        </w:rPr>
        <w:t xml:space="preserve"> ci-dessous</w:t>
      </w:r>
      <w:r w:rsidR="004549AE">
        <w:rPr>
          <w:rFonts w:eastAsia="Times New Roman"/>
        </w:rPr>
        <w:t> :</w:t>
      </w:r>
    </w:p>
    <w:p w:rsidR="00E058CB" w:rsidRDefault="00E058CB" w:rsidP="00B53D8D">
      <w:pPr>
        <w:ind w:left="-284" w:right="-851"/>
        <w:rPr>
          <w:rFonts w:eastAsia="Times New Roman"/>
        </w:rPr>
      </w:pPr>
    </w:p>
    <w:tbl>
      <w:tblPr>
        <w:tblStyle w:val="Tabelacomgrelha"/>
        <w:tblW w:w="0" w:type="auto"/>
        <w:jc w:val="center"/>
        <w:tblLook w:val="04A0" w:firstRow="1" w:lastRow="0" w:firstColumn="1" w:lastColumn="0" w:noHBand="0" w:noVBand="1"/>
      </w:tblPr>
      <w:tblGrid>
        <w:gridCol w:w="2367"/>
        <w:gridCol w:w="2029"/>
        <w:gridCol w:w="1902"/>
        <w:gridCol w:w="1728"/>
      </w:tblGrid>
      <w:tr w:rsidR="005B7680" w:rsidRPr="00E61F6E" w:rsidTr="00BB0741">
        <w:trPr>
          <w:jc w:val="center"/>
        </w:trPr>
        <w:tc>
          <w:tcPr>
            <w:tcW w:w="2367" w:type="dxa"/>
            <w:shd w:val="clear" w:color="auto" w:fill="auto"/>
            <w:vAlign w:val="center"/>
          </w:tcPr>
          <w:p w:rsidR="00F347E4" w:rsidRPr="00E61F6E" w:rsidRDefault="005B7680" w:rsidP="00BB07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02124"/>
              </w:rPr>
            </w:pPr>
            <w:r w:rsidRPr="00E61F6E">
              <w:rPr>
                <w:b/>
                <w:color w:val="202124"/>
              </w:rPr>
              <w:t>Nombre</w:t>
            </w:r>
            <w:r w:rsidR="00F347E4" w:rsidRPr="00E61F6E">
              <w:rPr>
                <w:b/>
                <w:color w:val="202124"/>
              </w:rPr>
              <w:t xml:space="preserve"> total de cas confirmés</w:t>
            </w:r>
          </w:p>
        </w:tc>
        <w:tc>
          <w:tcPr>
            <w:tcW w:w="2029" w:type="dxa"/>
            <w:shd w:val="clear" w:color="auto" w:fill="auto"/>
            <w:vAlign w:val="center"/>
          </w:tcPr>
          <w:p w:rsidR="00F347E4" w:rsidRPr="00E61F6E" w:rsidRDefault="005B7680" w:rsidP="00BB07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02124"/>
              </w:rPr>
            </w:pPr>
            <w:r w:rsidRPr="00E61F6E">
              <w:rPr>
                <w:b/>
                <w:color w:val="202124"/>
              </w:rPr>
              <w:t>Total</w:t>
            </w:r>
            <w:r w:rsidR="00F347E4" w:rsidRPr="00E61F6E">
              <w:rPr>
                <w:b/>
                <w:color w:val="202124"/>
              </w:rPr>
              <w:t xml:space="preserve"> des cas actifs</w:t>
            </w:r>
          </w:p>
        </w:tc>
        <w:tc>
          <w:tcPr>
            <w:tcW w:w="1902" w:type="dxa"/>
            <w:shd w:val="clear" w:color="auto" w:fill="auto"/>
            <w:vAlign w:val="center"/>
          </w:tcPr>
          <w:p w:rsidR="00F347E4" w:rsidRPr="00E61F6E" w:rsidRDefault="005B7680" w:rsidP="00BB07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02124"/>
              </w:rPr>
            </w:pPr>
            <w:r w:rsidRPr="00E61F6E">
              <w:rPr>
                <w:b/>
                <w:color w:val="202124"/>
              </w:rPr>
              <w:t>Total</w:t>
            </w:r>
            <w:r w:rsidR="00F347E4" w:rsidRPr="00E61F6E">
              <w:rPr>
                <w:b/>
                <w:color w:val="202124"/>
              </w:rPr>
              <w:t xml:space="preserve"> récupéré</w:t>
            </w:r>
          </w:p>
        </w:tc>
        <w:tc>
          <w:tcPr>
            <w:tcW w:w="1728" w:type="dxa"/>
            <w:shd w:val="clear" w:color="auto" w:fill="auto"/>
            <w:vAlign w:val="center"/>
          </w:tcPr>
          <w:p w:rsidR="00F347E4" w:rsidRPr="00E61F6E" w:rsidRDefault="005B7680" w:rsidP="00BB07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02124"/>
              </w:rPr>
            </w:pPr>
            <w:r w:rsidRPr="00E61F6E">
              <w:rPr>
                <w:b/>
                <w:color w:val="202124"/>
              </w:rPr>
              <w:t>Nombre</w:t>
            </w:r>
            <w:r w:rsidR="00F347E4" w:rsidRPr="00E61F6E">
              <w:rPr>
                <w:b/>
                <w:color w:val="202124"/>
              </w:rPr>
              <w:t xml:space="preserve"> total de décès</w:t>
            </w:r>
          </w:p>
        </w:tc>
      </w:tr>
      <w:tr w:rsidR="005B7680" w:rsidRPr="00E61F6E" w:rsidTr="005B7680">
        <w:trPr>
          <w:jc w:val="center"/>
        </w:trPr>
        <w:tc>
          <w:tcPr>
            <w:tcW w:w="2367" w:type="dxa"/>
          </w:tcPr>
          <w:p w:rsidR="00F347E4" w:rsidRPr="00E61F6E" w:rsidRDefault="00F347E4" w:rsidP="00BB0741">
            <w:pPr>
              <w:ind w:right="-144"/>
              <w:jc w:val="center"/>
              <w:rPr>
                <w:rFonts w:eastAsia="Times New Roman"/>
                <w:b/>
              </w:rPr>
            </w:pPr>
            <w:r w:rsidRPr="00E61F6E">
              <w:rPr>
                <w:rFonts w:eastAsia="Times New Roman"/>
                <w:b/>
              </w:rPr>
              <w:t>3568</w:t>
            </w:r>
          </w:p>
        </w:tc>
        <w:tc>
          <w:tcPr>
            <w:tcW w:w="2029" w:type="dxa"/>
          </w:tcPr>
          <w:p w:rsidR="00F347E4" w:rsidRPr="00E61F6E" w:rsidRDefault="00F347E4" w:rsidP="00BB0741">
            <w:pPr>
              <w:ind w:right="-144"/>
              <w:jc w:val="center"/>
              <w:rPr>
                <w:rFonts w:eastAsia="Times New Roman"/>
                <w:b/>
              </w:rPr>
            </w:pPr>
            <w:r w:rsidRPr="00E61F6E">
              <w:rPr>
                <w:rFonts w:eastAsia="Times New Roman"/>
                <w:b/>
              </w:rPr>
              <w:t>637</w:t>
            </w:r>
          </w:p>
        </w:tc>
        <w:tc>
          <w:tcPr>
            <w:tcW w:w="1902" w:type="dxa"/>
          </w:tcPr>
          <w:p w:rsidR="00F347E4" w:rsidRPr="00E61F6E" w:rsidRDefault="00F347E4" w:rsidP="00BB0741">
            <w:pPr>
              <w:ind w:right="-144"/>
              <w:jc w:val="center"/>
              <w:rPr>
                <w:rFonts w:eastAsia="Times New Roman"/>
                <w:b/>
              </w:rPr>
            </w:pPr>
            <w:r w:rsidRPr="00E61F6E">
              <w:rPr>
                <w:rFonts w:eastAsia="Times New Roman"/>
                <w:b/>
              </w:rPr>
              <w:t>2780</w:t>
            </w:r>
          </w:p>
        </w:tc>
        <w:tc>
          <w:tcPr>
            <w:tcW w:w="1728" w:type="dxa"/>
          </w:tcPr>
          <w:p w:rsidR="00F347E4" w:rsidRPr="00E61F6E" w:rsidRDefault="00F347E4" w:rsidP="00BB0741">
            <w:pPr>
              <w:ind w:right="-144"/>
              <w:jc w:val="center"/>
              <w:rPr>
                <w:rFonts w:eastAsia="Times New Roman"/>
                <w:b/>
              </w:rPr>
            </w:pPr>
            <w:r w:rsidRPr="00E61F6E">
              <w:rPr>
                <w:rFonts w:eastAsia="Times New Roman"/>
                <w:b/>
              </w:rPr>
              <w:t>55</w:t>
            </w:r>
          </w:p>
        </w:tc>
      </w:tr>
    </w:tbl>
    <w:p w:rsidR="007C0EBB" w:rsidRPr="00A05698" w:rsidRDefault="007C0EBB" w:rsidP="00F41C03">
      <w:pPr>
        <w:pStyle w:val="PargrafodaLista"/>
        <w:numPr>
          <w:ilvl w:val="0"/>
          <w:numId w:val="57"/>
        </w:numPr>
        <w:spacing w:before="100" w:beforeAutospacing="1" w:after="0" w:line="240" w:lineRule="auto"/>
        <w:jc w:val="both"/>
        <w:rPr>
          <w:rFonts w:ascii="Times New Roman" w:eastAsia="Times New Roman" w:hAnsi="Times New Roman"/>
          <w:b/>
          <w:color w:val="000000"/>
          <w:sz w:val="24"/>
          <w:szCs w:val="24"/>
        </w:rPr>
      </w:pPr>
      <w:r w:rsidRPr="00A05698">
        <w:rPr>
          <w:rFonts w:ascii="Times New Roman" w:eastAsia="Times New Roman" w:hAnsi="Times New Roman"/>
          <w:b/>
          <w:color w:val="000000"/>
          <w:sz w:val="24"/>
          <w:szCs w:val="24"/>
        </w:rPr>
        <w:t>Indice de pauvreté</w:t>
      </w:r>
    </w:p>
    <w:p w:rsidR="00F0119C" w:rsidRPr="00A05698" w:rsidRDefault="007C0EBB" w:rsidP="0011468A">
      <w:pPr>
        <w:jc w:val="both"/>
      </w:pPr>
      <w:r w:rsidRPr="00A05698">
        <w:t>La Guinée Bissau est l’un des pays les plus pauvres au monde : 80% de la population vivent en dessous du seuil de pauvreté. Selon l’</w:t>
      </w:r>
      <w:hyperlink r:id="rId53" w:tgtFrame="_blank" w:history="1">
        <w:r w:rsidRPr="00A05698">
          <w:t>Indice de Développement Humain</w:t>
        </w:r>
      </w:hyperlink>
      <w:r w:rsidRPr="00A05698">
        <w:t xml:space="preserve"> des Nations Unies, </w:t>
      </w:r>
      <w:r w:rsidRPr="00A05698">
        <w:lastRenderedPageBreak/>
        <w:t>la Guinée Bissau figure parmi les pays les plus mal classés (178e sur 188 pays). Il doit aussi affronter un défi démographique important, alors que la population devrait doubler d’ici 2050 et que le pays fait face à des inégalités croissantes.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853"/>
        <w:gridCol w:w="592"/>
        <w:gridCol w:w="659"/>
        <w:gridCol w:w="659"/>
        <w:gridCol w:w="1000"/>
        <w:gridCol w:w="730"/>
      </w:tblGrid>
      <w:tr w:rsidR="007C0EBB" w:rsidRPr="00A05698" w:rsidTr="00242A77">
        <w:trPr>
          <w:tblHeader/>
        </w:trPr>
        <w:tc>
          <w:tcPr>
            <w:tcW w:w="585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rPr>
                <w:b/>
                <w:bCs/>
                <w:sz w:val="20"/>
                <w:szCs w:val="20"/>
              </w:rPr>
            </w:pPr>
            <w:r w:rsidRPr="00A05698">
              <w:rPr>
                <w:b/>
                <w:bCs/>
                <w:sz w:val="20"/>
                <w:szCs w:val="20"/>
              </w:rPr>
              <w:t>Indicateurs de croissance</w:t>
            </w:r>
          </w:p>
        </w:tc>
        <w:tc>
          <w:tcPr>
            <w:tcW w:w="59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2015</w:t>
            </w:r>
          </w:p>
        </w:tc>
        <w:tc>
          <w:tcPr>
            <w:tcW w:w="65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2016</w:t>
            </w:r>
          </w:p>
        </w:tc>
        <w:tc>
          <w:tcPr>
            <w:tcW w:w="65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2017</w:t>
            </w:r>
          </w:p>
        </w:tc>
        <w:tc>
          <w:tcPr>
            <w:tcW w:w="100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2018 (e)</w:t>
            </w:r>
          </w:p>
        </w:tc>
        <w:tc>
          <w:tcPr>
            <w:tcW w:w="73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vAlign w:val="center"/>
            <w:hideMark/>
          </w:tcPr>
          <w:p w:rsidR="007C0EBB" w:rsidRPr="00A05698" w:rsidRDefault="007C0EBB" w:rsidP="004F4212">
            <w:pPr>
              <w:jc w:val="center"/>
              <w:rPr>
                <w:b/>
                <w:bCs/>
                <w:sz w:val="20"/>
                <w:szCs w:val="20"/>
              </w:rPr>
            </w:pPr>
            <w:r w:rsidRPr="00A05698">
              <w:rPr>
                <w:b/>
                <w:bCs/>
                <w:sz w:val="20"/>
                <w:szCs w:val="20"/>
              </w:rPr>
              <w:t>2019 (e)</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PIB (milliards USD)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1,04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1,15</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1,30</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1,45</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1,56</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PIB (croissance annuelle en %, prix constant)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5,1</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5,0</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5,0</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5,0</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PIB par habitant (USD)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640</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692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761</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832</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877</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Endettement de l</w:t>
            </w:r>
            <w:r w:rsidR="00A05714" w:rsidRPr="00A05698">
              <w:rPr>
                <w:bCs/>
                <w:sz w:val="20"/>
                <w:szCs w:val="20"/>
              </w:rPr>
              <w:t>’</w:t>
            </w:r>
            <w:r w:rsidRPr="00A05698">
              <w:rPr>
                <w:bCs/>
                <w:sz w:val="20"/>
                <w:szCs w:val="20"/>
              </w:rPr>
              <w:t>Etat (en % du PIB)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47,3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43,3</w:t>
            </w:r>
            <w:r w:rsidRPr="00A05698">
              <w:rPr>
                <w:sz w:val="20"/>
                <w:szCs w:val="20"/>
                <w:bdr w:val="none" w:sz="0" w:space="0" w:color="auto" w:frame="1"/>
                <w:vertAlign w:val="superscript"/>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42,1</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40,8</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Taux d</w:t>
            </w:r>
            <w:r w:rsidR="00A05714" w:rsidRPr="00A05698">
              <w:rPr>
                <w:bCs/>
                <w:sz w:val="20"/>
                <w:szCs w:val="20"/>
              </w:rPr>
              <w:t>’</w:t>
            </w:r>
            <w:r w:rsidRPr="00A05698">
              <w:rPr>
                <w:bCs/>
                <w:sz w:val="20"/>
                <w:szCs w:val="20"/>
              </w:rPr>
              <w:t>inflation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2,5</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2,5</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Balance des transactions courantes (milliards USD)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-0,01</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-0,02</w:t>
            </w:r>
          </w:p>
        </w:tc>
      </w:tr>
      <w:tr w:rsidR="007C0EBB" w:rsidRPr="00A05698" w:rsidTr="00242A77">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rsidR="007C0EBB" w:rsidRPr="00A05698" w:rsidRDefault="007C0EBB" w:rsidP="004F4212">
            <w:pPr>
              <w:rPr>
                <w:bCs/>
                <w:sz w:val="20"/>
                <w:szCs w:val="20"/>
              </w:rPr>
            </w:pPr>
            <w:r w:rsidRPr="00A05698">
              <w:rPr>
                <w:bCs/>
                <w:sz w:val="20"/>
                <w:szCs w:val="20"/>
              </w:rPr>
              <w:t>Balance des transactions courantes (en % du PIB)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-0,6</w:t>
            </w:r>
          </w:p>
        </w:tc>
        <w:tc>
          <w:tcPr>
            <w:tcW w:w="73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hideMark/>
          </w:tcPr>
          <w:p w:rsidR="007C0EBB" w:rsidRPr="00A05698" w:rsidRDefault="007C0EBB" w:rsidP="004F4212">
            <w:pPr>
              <w:jc w:val="center"/>
              <w:rPr>
                <w:sz w:val="20"/>
                <w:szCs w:val="20"/>
              </w:rPr>
            </w:pPr>
            <w:r w:rsidRPr="00A05698">
              <w:rPr>
                <w:sz w:val="20"/>
                <w:szCs w:val="20"/>
              </w:rPr>
              <w:t>-0,9</w:t>
            </w:r>
          </w:p>
        </w:tc>
      </w:tr>
    </w:tbl>
    <w:p w:rsidR="007C0EBB" w:rsidRDefault="007C0EBB" w:rsidP="004F4212">
      <w:pPr>
        <w:pStyle w:val="Legenda"/>
      </w:pPr>
      <w:r w:rsidRPr="00A05698">
        <w:t xml:space="preserve">Source : FMI - World Economic Outlook </w:t>
      </w:r>
      <w:r w:rsidR="0060580B" w:rsidRPr="00A05698">
        <w:t>Data base</w:t>
      </w:r>
      <w:r w:rsidRPr="00A05698">
        <w:t xml:space="preserve"> - Dernières données disponibles (septembre 2018).</w:t>
      </w:r>
    </w:p>
    <w:p w:rsidR="00ED1558" w:rsidRDefault="00ED1558" w:rsidP="0011468A"/>
    <w:p w:rsidR="00ED1558" w:rsidRPr="0011468A" w:rsidRDefault="00ED1558" w:rsidP="0011468A"/>
    <w:p w:rsidR="00A10969" w:rsidRPr="00A05698" w:rsidRDefault="00A10969" w:rsidP="0011468A">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left="0" w:firstLine="0"/>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268" w:name="_Toc75432294"/>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ENJEU</w:t>
      </w:r>
      <w:r w:rsidR="00212D92"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 ENVIRONNEMENTAUX ET SOCIAUX</w:t>
      </w:r>
      <w:bookmarkEnd w:id="268"/>
      <w:r w:rsidR="00212D92"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11468A" w:rsidRDefault="0011468A" w:rsidP="007E6E2A">
      <w:pPr>
        <w:ind w:left="-284" w:right="-851"/>
        <w:jc w:val="both"/>
      </w:pPr>
    </w:p>
    <w:p w:rsidR="001856F5" w:rsidRPr="00A05698" w:rsidRDefault="003B38C6" w:rsidP="00B372FC">
      <w:pPr>
        <w:jc w:val="both"/>
      </w:pPr>
      <w:r w:rsidRPr="00A05698">
        <w:t>Le projet de sécurité alimentaire</w:t>
      </w:r>
      <w:r w:rsidR="00006D52">
        <w:t xml:space="preserve"> </w:t>
      </w:r>
      <w:r w:rsidR="00006D52" w:rsidRPr="00A05698">
        <w:t>d’urgence</w:t>
      </w:r>
      <w:r w:rsidRPr="00A05698">
        <w:t xml:space="preserve"> en Guinée Bissau </w:t>
      </w:r>
      <w:r w:rsidR="00B23026" w:rsidRPr="00A05698">
        <w:t xml:space="preserve">est </w:t>
      </w:r>
      <w:r w:rsidRPr="00A05698">
        <w:t>l’un des piliers de la stratégie de développement de la Guinée Bissau avec le « Terra Ranka »</w:t>
      </w:r>
      <w:r w:rsidR="00F74279" w:rsidRPr="00A05698">
        <w:t xml:space="preserve">. </w:t>
      </w:r>
      <w:r w:rsidR="00681BD5" w:rsidRPr="00A05698">
        <w:t>Il joue</w:t>
      </w:r>
      <w:r w:rsidRPr="00A05698">
        <w:t xml:space="preserve"> un rôle moteur du développement dans le secteur de l’agriculture et</w:t>
      </w:r>
      <w:r w:rsidR="00B23026" w:rsidRPr="00A05698">
        <w:t xml:space="preserve"> </w:t>
      </w:r>
      <w:r w:rsidR="00A75049" w:rsidRPr="00A05698">
        <w:t xml:space="preserve">notamment à travers </w:t>
      </w:r>
      <w:r w:rsidR="001856F5" w:rsidRPr="00A05698">
        <w:t>l</w:t>
      </w:r>
      <w:r w:rsidR="00A05714" w:rsidRPr="00A05698">
        <w:t>’</w:t>
      </w:r>
      <w:r w:rsidR="001856F5" w:rsidRPr="00A05698">
        <w:t xml:space="preserve">amélioration de la valeur ajoutée agricole créée au niveau local et </w:t>
      </w:r>
      <w:r w:rsidR="00B2564C" w:rsidRPr="00A05698">
        <w:t xml:space="preserve">de lutter contre les effets négatifs causés par la </w:t>
      </w:r>
      <w:r w:rsidR="001702DB" w:rsidRPr="00A05698">
        <w:t>pandémie</w:t>
      </w:r>
      <w:r w:rsidR="00B2564C" w:rsidRPr="00A05698">
        <w:t xml:space="preserve"> de la Covid 19 dans le pays</w:t>
      </w:r>
      <w:r w:rsidR="00F74279" w:rsidRPr="00A05698">
        <w:t xml:space="preserve">. De </w:t>
      </w:r>
      <w:r w:rsidR="004530F9" w:rsidRPr="00A05698">
        <w:t>plus, il</w:t>
      </w:r>
      <w:r w:rsidR="00F74279" w:rsidRPr="00A05698">
        <w:t xml:space="preserve"> </w:t>
      </w:r>
      <w:r w:rsidR="004530F9" w:rsidRPr="00A05698">
        <w:t>permet de</w:t>
      </w:r>
      <w:r w:rsidR="001856F5" w:rsidRPr="00A05698">
        <w:t xml:space="preserve"> lutte</w:t>
      </w:r>
      <w:r w:rsidR="006C2F2F" w:rsidRPr="00A05698">
        <w:t>r</w:t>
      </w:r>
      <w:r w:rsidR="001856F5" w:rsidRPr="00A05698">
        <w:t xml:space="preserve"> contre la pauvreté au niveau rural recèle d</w:t>
      </w:r>
      <w:r w:rsidR="00A05714" w:rsidRPr="00A05698">
        <w:t>’</w:t>
      </w:r>
      <w:r w:rsidR="001856F5" w:rsidRPr="00A05698">
        <w:t>importants enjeux de développement durable, de lutte contre les effets pervers des changements climatiques et pour une plus grande stabilité sociale.</w:t>
      </w:r>
    </w:p>
    <w:p w:rsidR="001116F6" w:rsidRPr="00A05698" w:rsidRDefault="008959F1" w:rsidP="00B372FC">
      <w:pPr>
        <w:jc w:val="both"/>
      </w:pPr>
      <w:r w:rsidRPr="00A05698">
        <w:t xml:space="preserve">Les principaux enjeux environnementaux sont associés aux activités de </w:t>
      </w:r>
      <w:r w:rsidR="003F01EA" w:rsidRPr="00A05698">
        <w:t>s</w:t>
      </w:r>
      <w:r w:rsidR="008529AC" w:rsidRPr="00A05698">
        <w:t>outien à la production agricole</w:t>
      </w:r>
      <w:r w:rsidR="00727A60" w:rsidRPr="00A05698">
        <w:t xml:space="preserve">, de </w:t>
      </w:r>
      <w:r w:rsidR="009960C1" w:rsidRPr="00A05698">
        <w:t>s</w:t>
      </w:r>
      <w:r w:rsidR="00727A60" w:rsidRPr="00A05698">
        <w:t xml:space="preserve">outien aux Filets de Sécurité communautaires et de </w:t>
      </w:r>
      <w:r w:rsidR="009960C1" w:rsidRPr="00A05698">
        <w:t>s</w:t>
      </w:r>
      <w:r w:rsidR="00727A60" w:rsidRPr="00A05698">
        <w:t>outien à l</w:t>
      </w:r>
      <w:r w:rsidR="00A05714" w:rsidRPr="00A05698">
        <w:t>’</w:t>
      </w:r>
      <w:r w:rsidR="00727A60" w:rsidRPr="00A05698">
        <w:t xml:space="preserve">atténuation des risques </w:t>
      </w:r>
      <w:r w:rsidR="009960C1" w:rsidRPr="00A05698">
        <w:t>engendr</w:t>
      </w:r>
      <w:r w:rsidR="0056242F">
        <w:t>és</w:t>
      </w:r>
      <w:r w:rsidR="009960C1" w:rsidRPr="00A05698">
        <w:t xml:space="preserve"> par la </w:t>
      </w:r>
      <w:r w:rsidR="00085BEA" w:rsidRPr="00A05698">
        <w:t>pandémie</w:t>
      </w:r>
      <w:r w:rsidR="009960C1" w:rsidRPr="00A05698">
        <w:t xml:space="preserve"> de la Covid 19 dans le</w:t>
      </w:r>
      <w:r w:rsidR="001116F6" w:rsidRPr="00A05698">
        <w:t xml:space="preserve"> secteur de l’agriculture</w:t>
      </w:r>
      <w:r w:rsidRPr="00A05698">
        <w:t xml:space="preserve"> de façon à promouvoir et assurer une exploitation rationnelle des ressources, sans dommages irréversibles pour l’environnement et les autres ressources naturelles. </w:t>
      </w:r>
    </w:p>
    <w:p w:rsidR="008959F1" w:rsidRPr="00A05698" w:rsidRDefault="008959F1" w:rsidP="00B372FC">
      <w:pPr>
        <w:jc w:val="both"/>
      </w:pPr>
      <w:r w:rsidRPr="00A05698">
        <w:t xml:space="preserve">Sur le plan socio-économique, les enjeux relèvent surtout dans le secteur de la production agricole, </w:t>
      </w:r>
      <w:r w:rsidR="00FC676D" w:rsidRPr="00A05698">
        <w:t xml:space="preserve">de la commercialisation </w:t>
      </w:r>
      <w:r w:rsidR="00E54E4D" w:rsidRPr="00A05698">
        <w:t>des produits agricole</w:t>
      </w:r>
      <w:r w:rsidR="00D46F6B">
        <w:t>s</w:t>
      </w:r>
      <w:r w:rsidR="00E54E4D" w:rsidRPr="00A05698">
        <w:t xml:space="preserve"> (noix de cajou, </w:t>
      </w:r>
      <w:r w:rsidR="00FB2EAA" w:rsidRPr="00A05698">
        <w:t xml:space="preserve">riz, légumes, etc.), les manques de moyens </w:t>
      </w:r>
      <w:r w:rsidR="007A4E64" w:rsidRPr="00A05698">
        <w:t>de production,</w:t>
      </w:r>
      <w:r w:rsidR="00FB2EAA" w:rsidRPr="00A05698">
        <w:t xml:space="preserve"> </w:t>
      </w:r>
      <w:r w:rsidR="00362B2D" w:rsidRPr="00A05698">
        <w:t>des conflits entre ac</w:t>
      </w:r>
      <w:r w:rsidRPr="00A05698">
        <w:t xml:space="preserve">teurs économiques, </w:t>
      </w:r>
      <w:r w:rsidR="00362B2D" w:rsidRPr="00A05698">
        <w:t>les manques d’infrastructures, l</w:t>
      </w:r>
      <w:r w:rsidRPr="00A05698">
        <w:t>es coûts de production, de transformation et de la commercialisation</w:t>
      </w:r>
      <w:r w:rsidR="00CE5AF9" w:rsidRPr="00A05698">
        <w:t xml:space="preserve"> surtout avec la pandémie</w:t>
      </w:r>
      <w:r w:rsidRPr="00A05698">
        <w:t>.</w:t>
      </w:r>
    </w:p>
    <w:p w:rsidR="005C5010" w:rsidRPr="00A05698" w:rsidRDefault="005C5010" w:rsidP="007E6E2A">
      <w:pPr>
        <w:ind w:left="-284" w:right="-851"/>
        <w:jc w:val="both"/>
      </w:pPr>
    </w:p>
    <w:p w:rsidR="008959F1" w:rsidRPr="00A05698" w:rsidRDefault="00F41C03" w:rsidP="004F0DC1">
      <w:pPr>
        <w:pStyle w:val="PargrafodaLista"/>
        <w:numPr>
          <w:ilvl w:val="1"/>
          <w:numId w:val="99"/>
        </w:numPr>
        <w:spacing w:after="120" w:line="240" w:lineRule="auto"/>
        <w:outlineLvl w:val="1"/>
        <w:rPr>
          <w:rFonts w:ascii="Times New Roman" w:hAnsi="Times New Roman"/>
          <w:b/>
          <w:bCs/>
          <w:sz w:val="24"/>
          <w:szCs w:val="24"/>
        </w:rPr>
      </w:pPr>
      <w:bookmarkStart w:id="269" w:name="_Toc55460141"/>
      <w:bookmarkStart w:id="270" w:name="_Toc55465534"/>
      <w:bookmarkStart w:id="271" w:name="_Toc75432295"/>
      <w:r w:rsidRPr="00A05698">
        <w:rPr>
          <w:rFonts w:ascii="Times New Roman" w:hAnsi="Times New Roman"/>
          <w:b/>
          <w:bCs/>
          <w:sz w:val="24"/>
          <w:szCs w:val="24"/>
        </w:rPr>
        <w:t>LES ENJEUX POLITIQUES ET JURIDIQUES</w:t>
      </w:r>
      <w:bookmarkEnd w:id="269"/>
      <w:bookmarkEnd w:id="270"/>
      <w:bookmarkEnd w:id="271"/>
    </w:p>
    <w:p w:rsidR="008E3816" w:rsidRPr="00A05698" w:rsidRDefault="008959F1" w:rsidP="00B372FC">
      <w:pPr>
        <w:jc w:val="both"/>
      </w:pPr>
      <w:r w:rsidRPr="00A05698">
        <w:t>Les enjeux politiques et juridiques vont se mesurer à la dimension des chantiers politiques et stratégiques mis en œuvre en vue de répondr</w:t>
      </w:r>
      <w:r w:rsidR="00157DF9">
        <w:t>e aux attentes des populations en</w:t>
      </w:r>
      <w:r w:rsidRPr="00A05698">
        <w:t xml:space="preserve"> s’appuyant sur la spécif</w:t>
      </w:r>
      <w:r w:rsidR="00DB4B93" w:rsidRPr="00A05698">
        <w:t>icité fonctionnelle du projet PUSA</w:t>
      </w:r>
      <w:r w:rsidRPr="00A05698">
        <w:t xml:space="preserve"> pour le développement du secteur de</w:t>
      </w:r>
      <w:r w:rsidR="00E84DAB" w:rsidRPr="00A05698">
        <w:t xml:space="preserve"> </w:t>
      </w:r>
      <w:r w:rsidR="007569DD" w:rsidRPr="00A05698">
        <w:t>l’agriculture et</w:t>
      </w:r>
      <w:r w:rsidRPr="00A05698">
        <w:t xml:space="preserve"> de la vision du gouvernement par rapport aux ambitions de gestion et de conservation de la biodiversité. </w:t>
      </w:r>
    </w:p>
    <w:p w:rsidR="008E3816" w:rsidRPr="00A05698" w:rsidRDefault="00AE70C6" w:rsidP="00B372FC">
      <w:pPr>
        <w:jc w:val="both"/>
      </w:pPr>
      <w:r w:rsidRPr="00A05698">
        <w:t xml:space="preserve">De plus, il existe </w:t>
      </w:r>
      <w:r w:rsidR="008959F1" w:rsidRPr="00A05698">
        <w:t>de</w:t>
      </w:r>
      <w:r w:rsidRPr="00A05698">
        <w:t>s</w:t>
      </w:r>
      <w:r w:rsidR="00F30712" w:rsidRPr="00A05698">
        <w:t xml:space="preserve"> textes de loi </w:t>
      </w:r>
      <w:r w:rsidR="008959F1" w:rsidRPr="00A05698">
        <w:t>dans tous les secteurs d’activités du pays pour réglementer l’accès et l’utilisation durable et équitable des ressources naturelles.</w:t>
      </w:r>
    </w:p>
    <w:p w:rsidR="00434BF1" w:rsidRPr="00B372FC" w:rsidRDefault="00434BF1" w:rsidP="00B372FC">
      <w:pPr>
        <w:jc w:val="both"/>
      </w:pPr>
    </w:p>
    <w:p w:rsidR="005C5010" w:rsidRPr="00A05698" w:rsidRDefault="008959F1" w:rsidP="00B372FC">
      <w:pPr>
        <w:jc w:val="both"/>
      </w:pPr>
      <w:r w:rsidRPr="00A05698">
        <w:t>Cette volonté politique et juridique de sécurisation des productions et la commercialisation des produits agricoles, la sécurisation</w:t>
      </w:r>
      <w:r w:rsidR="00716A33" w:rsidRPr="00A05698">
        <w:t xml:space="preserve"> de la </w:t>
      </w:r>
      <w:r w:rsidR="002E5CB0" w:rsidRPr="00A05698">
        <w:t>biodiversité</w:t>
      </w:r>
      <w:r w:rsidRPr="00A05698">
        <w:t xml:space="preserve">, tous ces secteurs d’activités pourront être confrontés aux contraintes humaines, financières, matérielles, institutionnelles et </w:t>
      </w:r>
      <w:r w:rsidRPr="00A05698">
        <w:lastRenderedPageBreak/>
        <w:t>structurelles liées à l</w:t>
      </w:r>
      <w:r w:rsidR="00A05714" w:rsidRPr="00A05698">
        <w:t>’</w:t>
      </w:r>
      <w:r w:rsidRPr="00A05698">
        <w:t>insuffisance des moyens d</w:t>
      </w:r>
      <w:r w:rsidR="00A05714" w:rsidRPr="00A05698">
        <w:t>’</w:t>
      </w:r>
      <w:r w:rsidRPr="00A05698">
        <w:t xml:space="preserve">accompagnement des </w:t>
      </w:r>
      <w:r w:rsidR="00921F43" w:rsidRPr="00A05698">
        <w:t>services o</w:t>
      </w:r>
      <w:r w:rsidR="00902378" w:rsidRPr="00A05698">
        <w:t xml:space="preserve">u directions techniques de l’Etat et des </w:t>
      </w:r>
      <w:r w:rsidR="00011CE6" w:rsidRPr="00A05698">
        <w:t>secteurs.</w:t>
      </w:r>
    </w:p>
    <w:p w:rsidR="008959F1" w:rsidRPr="00A05698" w:rsidRDefault="008959F1" w:rsidP="00B372FC">
      <w:pPr>
        <w:jc w:val="both"/>
      </w:pPr>
      <w:r w:rsidRPr="00A05698">
        <w:t>La prise en compte de ces aspects politiques et juridiques dans le processus de mise en œuvre des activités i</w:t>
      </w:r>
      <w:r w:rsidR="00011CE6" w:rsidRPr="00A05698">
        <w:t>nscrites dans le projet de sécurité alimentaire</w:t>
      </w:r>
      <w:r w:rsidR="00006D52">
        <w:t xml:space="preserve"> </w:t>
      </w:r>
      <w:r w:rsidR="00006D52" w:rsidRPr="00A05698">
        <w:t>d’urgence</w:t>
      </w:r>
      <w:r w:rsidRPr="00A05698">
        <w:t xml:space="preserve"> favoriserait un ancrage institutionnel et juridique durable qui garantirait une meilleure appropriation du projet </w:t>
      </w:r>
      <w:r w:rsidR="00103A08" w:rsidRPr="00A05698">
        <w:t xml:space="preserve">PUSA </w:t>
      </w:r>
      <w:r w:rsidRPr="00A05698">
        <w:t>par les différentes catégories socioprofessionnelles intervenant dans le projet (bénéficiaires, services techniques, mairies, populations).</w:t>
      </w:r>
    </w:p>
    <w:p w:rsidR="005C5010" w:rsidRPr="00A05698" w:rsidRDefault="005C5010" w:rsidP="002036A0">
      <w:pPr>
        <w:ind w:right="-851"/>
        <w:jc w:val="both"/>
      </w:pPr>
    </w:p>
    <w:p w:rsidR="008959F1" w:rsidRPr="00A05698" w:rsidRDefault="00F41C03" w:rsidP="004F0DC1">
      <w:pPr>
        <w:pStyle w:val="PargrafodaLista"/>
        <w:numPr>
          <w:ilvl w:val="1"/>
          <w:numId w:val="99"/>
        </w:numPr>
        <w:spacing w:after="120" w:line="240" w:lineRule="auto"/>
        <w:outlineLvl w:val="1"/>
        <w:rPr>
          <w:rFonts w:ascii="Times New Roman" w:hAnsi="Times New Roman"/>
          <w:b/>
          <w:bCs/>
          <w:sz w:val="24"/>
          <w:szCs w:val="24"/>
        </w:rPr>
      </w:pPr>
      <w:bookmarkStart w:id="272" w:name="_Toc55460142"/>
      <w:bookmarkStart w:id="273" w:name="_Toc55465535"/>
      <w:bookmarkStart w:id="274" w:name="_Toc75432296"/>
      <w:r w:rsidRPr="00A05698">
        <w:rPr>
          <w:rFonts w:ascii="Times New Roman" w:hAnsi="Times New Roman"/>
          <w:b/>
          <w:bCs/>
          <w:sz w:val="24"/>
          <w:szCs w:val="24"/>
        </w:rPr>
        <w:t xml:space="preserve">ENJEUX DU PROJET </w:t>
      </w:r>
      <w:bookmarkEnd w:id="272"/>
      <w:bookmarkEnd w:id="273"/>
      <w:r w:rsidRPr="00A05698">
        <w:rPr>
          <w:rFonts w:ascii="Times New Roman" w:hAnsi="Times New Roman"/>
          <w:b/>
          <w:bCs/>
          <w:sz w:val="24"/>
          <w:szCs w:val="24"/>
        </w:rPr>
        <w:t>PUSA</w:t>
      </w:r>
      <w:bookmarkEnd w:id="274"/>
    </w:p>
    <w:p w:rsidR="001D3523" w:rsidRPr="00A05698" w:rsidRDefault="008959F1" w:rsidP="00B372FC">
      <w:pPr>
        <w:jc w:val="both"/>
      </w:pPr>
      <w:r w:rsidRPr="00A05698">
        <w:t xml:space="preserve">Sous des formes diverses, les activités </w:t>
      </w:r>
      <w:r w:rsidR="005B347F" w:rsidRPr="00A05698">
        <w:t>prévu</w:t>
      </w:r>
      <w:r w:rsidR="00E626BB" w:rsidRPr="00A05698">
        <w:t>e</w:t>
      </w:r>
      <w:r w:rsidR="005B347F" w:rsidRPr="00A05698">
        <w:t xml:space="preserve">s dans </w:t>
      </w:r>
      <w:r w:rsidR="003A2BE3" w:rsidRPr="00A05698">
        <w:t>la mise en œuvre du</w:t>
      </w:r>
      <w:r w:rsidRPr="00A05698">
        <w:t xml:space="preserve"> projet </w:t>
      </w:r>
      <w:r w:rsidR="003A2BE3" w:rsidRPr="00A05698">
        <w:t xml:space="preserve">PUSA </w:t>
      </w:r>
      <w:r w:rsidRPr="00A05698">
        <w:t xml:space="preserve">pourraient se confronter à des enjeux sur l’environnement et les activités socio-économiques. </w:t>
      </w:r>
    </w:p>
    <w:p w:rsidR="008959F1" w:rsidRPr="00A05698" w:rsidRDefault="008959F1" w:rsidP="00B372FC">
      <w:pPr>
        <w:jc w:val="both"/>
      </w:pPr>
      <w:r w:rsidRPr="00A05698">
        <w:t>On peut citer notamment des effets tels qu</w:t>
      </w:r>
      <w:r w:rsidR="00513170" w:rsidRPr="00A05698">
        <w:t>e le risque de bouleversement des activités agricoles</w:t>
      </w:r>
      <w:r w:rsidRPr="00A05698">
        <w:t xml:space="preserve">, </w:t>
      </w:r>
      <w:r w:rsidR="00616063" w:rsidRPr="00A05698">
        <w:t>le risque de</w:t>
      </w:r>
      <w:r w:rsidRPr="00A05698">
        <w:t xml:space="preserve"> dégradation avancée des terres agricole</w:t>
      </w:r>
      <w:r w:rsidR="00B37CB1" w:rsidRPr="00A05698">
        <w:t>s</w:t>
      </w:r>
      <w:r w:rsidR="0038308D" w:rsidRPr="00A05698">
        <w:t xml:space="preserve">, les </w:t>
      </w:r>
      <w:r w:rsidR="004A7DC6" w:rsidRPr="00A05698">
        <w:t xml:space="preserve">enjeux au niveau de la </w:t>
      </w:r>
      <w:r w:rsidR="0038308D" w:rsidRPr="00A05698">
        <w:t>commer</w:t>
      </w:r>
      <w:r w:rsidR="004A7DC6" w:rsidRPr="00A05698">
        <w:t>cialisation</w:t>
      </w:r>
      <w:r w:rsidR="00962B92" w:rsidRPr="00A05698">
        <w:t xml:space="preserve"> des noix de cajou</w:t>
      </w:r>
      <w:r w:rsidR="00077D5A" w:rsidRPr="00A05698">
        <w:t xml:space="preserve"> </w:t>
      </w:r>
      <w:r w:rsidR="008C3508" w:rsidRPr="00A05698">
        <w:t>et des produits vivrière avec la pandémie</w:t>
      </w:r>
      <w:r w:rsidRPr="00A05698">
        <w:t>, les pertes des ressources forestières considérables, les pratiques culturales inadaptées</w:t>
      </w:r>
      <w:r w:rsidR="00477AA3" w:rsidRPr="00A05698">
        <w:t xml:space="preserve"> avec utilisation des pesticides</w:t>
      </w:r>
      <w:r w:rsidRPr="00A05698">
        <w:t>, les phénomènes d’érosion hydrique, la gestion durable des ressources en eau, la disponibilité en qualité et e</w:t>
      </w:r>
      <w:r w:rsidR="003554B4" w:rsidRPr="00A05698">
        <w:t>n quantité des semences,</w:t>
      </w:r>
      <w:r w:rsidRPr="00A05698">
        <w:t xml:space="preserve"> les manques de moins des agriculteurs, la production de</w:t>
      </w:r>
      <w:r w:rsidR="004D414B" w:rsidRPr="00A05698">
        <w:t xml:space="preserve"> déchets (solides et liquides)</w:t>
      </w:r>
      <w:r w:rsidRPr="00A05698">
        <w:t xml:space="preserve">, </w:t>
      </w:r>
      <w:r w:rsidR="00616063" w:rsidRPr="00A05698">
        <w:t>les effets de chargement climatique</w:t>
      </w:r>
      <w:r w:rsidR="004D414B" w:rsidRPr="00A05698">
        <w:t>, etc.</w:t>
      </w:r>
    </w:p>
    <w:p w:rsidR="005C5010" w:rsidRPr="00A05698" w:rsidRDefault="005C5010" w:rsidP="00B372FC">
      <w:pPr>
        <w:jc w:val="both"/>
      </w:pPr>
    </w:p>
    <w:p w:rsidR="00AC4DBD" w:rsidRPr="00A05698" w:rsidRDefault="008959F1" w:rsidP="00B372FC">
      <w:pPr>
        <w:jc w:val="both"/>
      </w:pPr>
      <w:r w:rsidRPr="00A05698">
        <w:t xml:space="preserve">Ces enjeux, qui ne devront pas être ignorés pendant la mise en œuvre du projet </w:t>
      </w:r>
      <w:r w:rsidR="008C3508" w:rsidRPr="00A05698">
        <w:t xml:space="preserve">PUSA </w:t>
      </w:r>
      <w:r w:rsidRPr="00A05698">
        <w:t>sont analysés dans le tableau ci-dessous car des recherches de solutions innovantes contribuent de façon efficace à la préservation de l’équilibre de l’environnement.</w:t>
      </w:r>
    </w:p>
    <w:p w:rsidR="00AC4DBD" w:rsidRPr="00B372FC" w:rsidRDefault="00AC4DBD" w:rsidP="00B372FC">
      <w:pPr>
        <w:pStyle w:val="Primeiroavanodecorpodetexto2"/>
        <w:spacing w:line="240" w:lineRule="auto"/>
        <w:ind w:left="0" w:firstLine="0"/>
        <w:rPr>
          <w:rFonts w:ascii="Times New Roman" w:eastAsiaTheme="minorHAnsi" w:hAnsi="Times New Roman"/>
          <w:sz w:val="24"/>
          <w:szCs w:val="24"/>
        </w:rPr>
        <w:sectPr w:rsidR="00AC4DBD" w:rsidRPr="00B372FC" w:rsidSect="00333B95">
          <w:headerReference w:type="default" r:id="rId54"/>
          <w:footerReference w:type="default" r:id="rId55"/>
          <w:pgSz w:w="11906" w:h="16838"/>
          <w:pgMar w:top="1417" w:right="1417" w:bottom="1417" w:left="1417" w:header="316" w:footer="708" w:gutter="0"/>
          <w:cols w:space="708"/>
          <w:docGrid w:linePitch="360"/>
        </w:sectPr>
      </w:pPr>
    </w:p>
    <w:p w:rsidR="008959F1" w:rsidRPr="00A05698" w:rsidRDefault="008959F1" w:rsidP="00C87747">
      <w:pPr>
        <w:pStyle w:val="Primeiroavanodecorpodetexto2"/>
        <w:spacing w:after="0" w:line="240" w:lineRule="auto"/>
        <w:jc w:val="center"/>
        <w:rPr>
          <w:rFonts w:ascii="Times New Roman" w:hAnsi="Times New Roman"/>
          <w:b/>
        </w:rPr>
      </w:pPr>
      <w:bookmarkStart w:id="275" w:name="_Toc55460641"/>
      <w:bookmarkStart w:id="276" w:name="_Toc75503448"/>
      <w:r w:rsidRPr="00A05698">
        <w:rPr>
          <w:rFonts w:ascii="Times New Roman" w:hAnsi="Times New Roman"/>
          <w:b/>
        </w:rPr>
        <w:lastRenderedPageBreak/>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E67CBC">
        <w:rPr>
          <w:rFonts w:ascii="Times New Roman" w:hAnsi="Times New Roman"/>
          <w:b/>
          <w:noProof/>
        </w:rPr>
        <w:t>14</w:t>
      </w:r>
      <w:r w:rsidRPr="00A05698">
        <w:rPr>
          <w:rFonts w:ascii="Times New Roman" w:hAnsi="Times New Roman"/>
          <w:b/>
        </w:rPr>
        <w:fldChar w:fldCharType="end"/>
      </w:r>
      <w:r w:rsidRPr="00A05698">
        <w:rPr>
          <w:rFonts w:ascii="Times New Roman" w:hAnsi="Times New Roman"/>
          <w:b/>
        </w:rPr>
        <w:t xml:space="preserve">. Analyse des enjeux du projet </w:t>
      </w:r>
      <w:bookmarkEnd w:id="275"/>
      <w:r w:rsidR="006B259C" w:rsidRPr="00A05698">
        <w:rPr>
          <w:rFonts w:ascii="Times New Roman" w:hAnsi="Times New Roman"/>
          <w:b/>
        </w:rPr>
        <w:t>PUSA</w:t>
      </w:r>
      <w:bookmarkEnd w:id="276"/>
    </w:p>
    <w:tbl>
      <w:tblPr>
        <w:tblStyle w:val="TableauGrille4-Accentuation11"/>
        <w:tblW w:w="5218" w:type="pct"/>
        <w:tblLayout w:type="fixed"/>
        <w:tblLook w:val="04A0" w:firstRow="1" w:lastRow="0" w:firstColumn="1" w:lastColumn="0" w:noHBand="0" w:noVBand="1"/>
      </w:tblPr>
      <w:tblGrid>
        <w:gridCol w:w="2790"/>
        <w:gridCol w:w="3979"/>
        <w:gridCol w:w="4164"/>
        <w:gridCol w:w="3907"/>
      </w:tblGrid>
      <w:tr w:rsidR="001D3523" w:rsidRPr="00A05698" w:rsidTr="00B37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vMerge w:val="restart"/>
            <w:shd w:val="clear" w:color="auto" w:fill="C5E0B3" w:themeFill="accent6" w:themeFillTint="66"/>
            <w:vAlign w:val="center"/>
          </w:tcPr>
          <w:p w:rsidR="008959F1" w:rsidRPr="00A05698" w:rsidRDefault="008B218B" w:rsidP="00C662B9">
            <w:pPr>
              <w:jc w:val="center"/>
            </w:pPr>
            <w:r>
              <w:t>Composantes</w:t>
            </w:r>
            <w:r w:rsidR="00CB64B8">
              <w:t xml:space="preserve"> du projet </w:t>
            </w:r>
          </w:p>
        </w:tc>
        <w:tc>
          <w:tcPr>
            <w:tcW w:w="11859" w:type="dxa"/>
            <w:gridSpan w:val="3"/>
            <w:shd w:val="clear" w:color="auto" w:fill="C5E0B3" w:themeFill="accent6" w:themeFillTint="66"/>
          </w:tcPr>
          <w:p w:rsidR="008959F1" w:rsidRPr="00A05698" w:rsidRDefault="008959F1" w:rsidP="004F4212">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A05698">
              <w:rPr>
                <w:color w:val="000000" w:themeColor="text1"/>
              </w:rPr>
              <w:t>Enjeux</w:t>
            </w:r>
          </w:p>
        </w:tc>
      </w:tr>
      <w:tr w:rsidR="00C662B9" w:rsidRPr="00A05698" w:rsidTr="00B37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vMerge/>
            <w:shd w:val="clear" w:color="auto" w:fill="C5E0B3" w:themeFill="accent6" w:themeFillTint="66"/>
          </w:tcPr>
          <w:p w:rsidR="008959F1" w:rsidRPr="00A05698" w:rsidRDefault="008959F1" w:rsidP="004F4212">
            <w:pPr>
              <w:jc w:val="center"/>
            </w:pPr>
          </w:p>
        </w:tc>
        <w:tc>
          <w:tcPr>
            <w:tcW w:w="3916" w:type="dxa"/>
          </w:tcPr>
          <w:p w:rsidR="008959F1" w:rsidRPr="00A05698" w:rsidRDefault="008959F1" w:rsidP="004F4212">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05698">
              <w:rPr>
                <w:color w:val="000000" w:themeColor="text1"/>
              </w:rPr>
              <w:t>Environnementaux</w:t>
            </w:r>
          </w:p>
        </w:tc>
        <w:tc>
          <w:tcPr>
            <w:tcW w:w="4098" w:type="dxa"/>
          </w:tcPr>
          <w:p w:rsidR="008959F1" w:rsidRPr="00A05698" w:rsidRDefault="008959F1" w:rsidP="004F4212">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05698">
              <w:rPr>
                <w:color w:val="000000" w:themeColor="text1"/>
              </w:rPr>
              <w:t>Sociaux</w:t>
            </w:r>
          </w:p>
        </w:tc>
        <w:tc>
          <w:tcPr>
            <w:tcW w:w="3845" w:type="dxa"/>
          </w:tcPr>
          <w:p w:rsidR="008959F1" w:rsidRPr="00A05698" w:rsidRDefault="008959F1" w:rsidP="004F4212">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05698">
              <w:rPr>
                <w:color w:val="000000" w:themeColor="text1"/>
              </w:rPr>
              <w:t>Economiques</w:t>
            </w:r>
          </w:p>
        </w:tc>
      </w:tr>
      <w:tr w:rsidR="00C662B9" w:rsidRPr="00A05698" w:rsidTr="00B372FC">
        <w:tc>
          <w:tcPr>
            <w:cnfStyle w:val="001000000000" w:firstRow="0" w:lastRow="0" w:firstColumn="1" w:lastColumn="0" w:oddVBand="0" w:evenVBand="0" w:oddHBand="0" w:evenHBand="0" w:firstRowFirstColumn="0" w:firstRowLastColumn="0" w:lastRowFirstColumn="0" w:lastRowLastColumn="0"/>
            <w:tcW w:w="2745" w:type="dxa"/>
            <w:vAlign w:val="center"/>
          </w:tcPr>
          <w:p w:rsidR="008959F1" w:rsidRPr="00A05698" w:rsidRDefault="008959F1" w:rsidP="00C662B9">
            <w:pPr>
              <w:jc w:val="center"/>
              <w:rPr>
                <w:b w:val="0"/>
                <w:bCs w:val="0"/>
              </w:rPr>
            </w:pPr>
          </w:p>
          <w:p w:rsidR="008959F1" w:rsidRPr="00DF21DE" w:rsidRDefault="009B77C3" w:rsidP="00CB64B8">
            <w:pPr>
              <w:jc w:val="center"/>
              <w:rPr>
                <w:i/>
                <w:color w:val="000000"/>
                <w:sz w:val="28"/>
                <w:szCs w:val="28"/>
              </w:rPr>
            </w:pPr>
            <w:r w:rsidRPr="00CB64B8">
              <w:rPr>
                <w:i/>
                <w:sz w:val="28"/>
                <w:szCs w:val="28"/>
                <w:u w:val="single"/>
              </w:rPr>
              <w:t>Soutien à la production agricole</w:t>
            </w:r>
          </w:p>
        </w:tc>
        <w:tc>
          <w:tcPr>
            <w:tcW w:w="3916" w:type="dxa"/>
            <w:vAlign w:val="center"/>
          </w:tcPr>
          <w:p w:rsidR="008959F1" w:rsidRPr="004D1BD0" w:rsidRDefault="00211E1C"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b/>
                <w:color w:val="000000"/>
              </w:rPr>
              <w:t>Risque de p</w:t>
            </w:r>
            <w:r w:rsidR="008959F1" w:rsidRPr="004D1BD0">
              <w:rPr>
                <w:rFonts w:ascii="Times New Roman" w:hAnsi="Times New Roman"/>
                <w:b/>
                <w:color w:val="000000"/>
              </w:rPr>
              <w:t>erte de couverts végétal</w:t>
            </w:r>
            <w:r w:rsidR="005E1927" w:rsidRPr="004D1BD0">
              <w:rPr>
                <w:rFonts w:ascii="Times New Roman" w:hAnsi="Times New Roman"/>
                <w:b/>
                <w:color w:val="000000"/>
              </w:rPr>
              <w:t xml:space="preserve"> </w:t>
            </w:r>
            <w:r w:rsidR="008959F1" w:rsidRPr="004D1BD0">
              <w:rPr>
                <w:rFonts w:ascii="Times New Roman" w:hAnsi="Times New Roman"/>
                <w:color w:val="000000"/>
              </w:rPr>
              <w:t>;</w:t>
            </w:r>
          </w:p>
          <w:p w:rsidR="008968F7" w:rsidRPr="004D1BD0" w:rsidRDefault="00E77109" w:rsidP="00157035">
            <w:pPr>
              <w:pStyle w:val="PargrafodaLista"/>
              <w:numPr>
                <w:ilvl w:val="0"/>
                <w:numId w:val="52"/>
              </w:numPr>
              <w:spacing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 xml:space="preserve">- </w:t>
            </w:r>
            <w:r w:rsidR="008968F7" w:rsidRPr="004D1BD0">
              <w:rPr>
                <w:rFonts w:ascii="Times New Roman" w:hAnsi="Times New Roman"/>
                <w:color w:val="000000"/>
              </w:rPr>
              <w:t>A</w:t>
            </w:r>
            <w:r w:rsidR="00CB2DB4" w:rsidRPr="004D1BD0">
              <w:rPr>
                <w:rFonts w:ascii="Times New Roman" w:hAnsi="Times New Roman"/>
                <w:color w:val="000000"/>
              </w:rPr>
              <w:t>ugmentation de</w:t>
            </w:r>
            <w:r w:rsidR="008968F7" w:rsidRPr="004D1BD0">
              <w:rPr>
                <w:rFonts w:ascii="Times New Roman" w:hAnsi="Times New Roman"/>
                <w:color w:val="000000"/>
              </w:rPr>
              <w:t xml:space="preserve"> la dégradation</w:t>
            </w:r>
            <w:r w:rsidR="00CB2DB4" w:rsidRPr="004D1BD0">
              <w:rPr>
                <w:rFonts w:ascii="Times New Roman" w:hAnsi="Times New Roman"/>
                <w:color w:val="000000"/>
              </w:rPr>
              <w:t xml:space="preserve"> </w:t>
            </w:r>
            <w:r w:rsidR="008968F7" w:rsidRPr="004D1BD0">
              <w:rPr>
                <w:rFonts w:ascii="Times New Roman" w:hAnsi="Times New Roman"/>
                <w:color w:val="000000"/>
              </w:rPr>
              <w:t xml:space="preserve">de l’écosystème </w:t>
            </w:r>
            <w:r w:rsidR="00F82DD9" w:rsidRPr="004D1BD0">
              <w:rPr>
                <w:rFonts w:ascii="Times New Roman" w:hAnsi="Times New Roman"/>
                <w:color w:val="000000"/>
              </w:rPr>
              <w:t>terrestre</w:t>
            </w:r>
            <w:r w:rsidR="00AA2A99" w:rsidRPr="004D1BD0">
              <w:rPr>
                <w:rFonts w:ascii="Times New Roman" w:hAnsi="Times New Roman"/>
                <w:color w:val="000000"/>
              </w:rPr>
              <w:t xml:space="preserve"> à cause du système traditionnel de pratique agricole itinérante</w:t>
            </w:r>
            <w:r w:rsidR="008968F7" w:rsidRPr="004D1BD0">
              <w:rPr>
                <w:rFonts w:ascii="Times New Roman" w:hAnsi="Times New Roman"/>
                <w:color w:val="000000"/>
              </w:rPr>
              <w:t> ;</w:t>
            </w:r>
          </w:p>
          <w:p w:rsidR="00DC2458" w:rsidRPr="004D1BD0" w:rsidRDefault="008968F7" w:rsidP="00157035">
            <w:pPr>
              <w:pStyle w:val="PargrafodaLista"/>
              <w:numPr>
                <w:ilvl w:val="0"/>
                <w:numId w:val="52"/>
              </w:numPr>
              <w:spacing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 xml:space="preserve">- </w:t>
            </w:r>
            <w:r w:rsidR="00DC2458" w:rsidRPr="004D1BD0">
              <w:rPr>
                <w:rFonts w:ascii="Times New Roman" w:hAnsi="Times New Roman"/>
                <w:color w:val="000000"/>
              </w:rPr>
              <w:t xml:space="preserve">Augmentation des </w:t>
            </w:r>
            <w:r w:rsidR="006727A6" w:rsidRPr="004D1BD0">
              <w:rPr>
                <w:rFonts w:ascii="Times New Roman" w:hAnsi="Times New Roman"/>
                <w:color w:val="000000"/>
              </w:rPr>
              <w:t>phénomènes</w:t>
            </w:r>
            <w:r w:rsidR="00DC2458" w:rsidRPr="004D1BD0">
              <w:rPr>
                <w:rFonts w:ascii="Times New Roman" w:hAnsi="Times New Roman"/>
                <w:color w:val="000000"/>
              </w:rPr>
              <w:t xml:space="preserve"> de </w:t>
            </w:r>
            <w:r w:rsidR="006727A6" w:rsidRPr="004D1BD0">
              <w:rPr>
                <w:rFonts w:ascii="Times New Roman" w:hAnsi="Times New Roman"/>
                <w:color w:val="000000"/>
              </w:rPr>
              <w:t>d</w:t>
            </w:r>
            <w:r w:rsidR="00DC2458" w:rsidRPr="004D1BD0">
              <w:rPr>
                <w:rFonts w:ascii="Times New Roman" w:hAnsi="Times New Roman"/>
                <w:color w:val="000000"/>
              </w:rPr>
              <w:t xml:space="preserve">éfrichement </w:t>
            </w:r>
            <w:r w:rsidR="001E32D8" w:rsidRPr="004D1BD0">
              <w:rPr>
                <w:rFonts w:ascii="Times New Roman" w:hAnsi="Times New Roman"/>
                <w:color w:val="000000"/>
              </w:rPr>
              <w:t xml:space="preserve">et de déboisement </w:t>
            </w:r>
            <w:r w:rsidR="00DC2458" w:rsidRPr="004D1BD0">
              <w:rPr>
                <w:rFonts w:ascii="Times New Roman" w:hAnsi="Times New Roman"/>
                <w:color w:val="000000"/>
              </w:rPr>
              <w:t>de</w:t>
            </w:r>
            <w:r w:rsidR="005B1C12" w:rsidRPr="004D1BD0">
              <w:rPr>
                <w:rFonts w:ascii="Times New Roman" w:hAnsi="Times New Roman"/>
                <w:color w:val="000000"/>
              </w:rPr>
              <w:t>s</w:t>
            </w:r>
            <w:r w:rsidR="00DC2458" w:rsidRPr="004D1BD0">
              <w:rPr>
                <w:rFonts w:ascii="Times New Roman" w:hAnsi="Times New Roman"/>
                <w:color w:val="000000"/>
              </w:rPr>
              <w:t xml:space="preserve"> nouvelles terres de </w:t>
            </w:r>
            <w:r w:rsidR="005B1C12" w:rsidRPr="004D1BD0">
              <w:rPr>
                <w:rFonts w:ascii="Times New Roman" w:hAnsi="Times New Roman"/>
                <w:color w:val="000000"/>
              </w:rPr>
              <w:t>culture,</w:t>
            </w:r>
            <w:r w:rsidR="00DC2458" w:rsidRPr="004D1BD0">
              <w:rPr>
                <w:rFonts w:ascii="Times New Roman" w:hAnsi="Times New Roman"/>
                <w:color w:val="000000"/>
              </w:rPr>
              <w:t xml:space="preserve"> </w:t>
            </w:r>
          </w:p>
          <w:p w:rsidR="008959F1" w:rsidRPr="004D1BD0" w:rsidRDefault="005B1C12"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w:t>
            </w:r>
            <w:r w:rsidR="00E77109" w:rsidRPr="004D1BD0">
              <w:rPr>
                <w:rFonts w:ascii="Times New Roman" w:hAnsi="Times New Roman"/>
                <w:color w:val="000000"/>
              </w:rPr>
              <w:t xml:space="preserve"> </w:t>
            </w:r>
            <w:r w:rsidR="000B7BFE">
              <w:rPr>
                <w:rFonts w:ascii="Times New Roman" w:hAnsi="Times New Roman"/>
                <w:color w:val="000000"/>
              </w:rPr>
              <w:t>Dispari</w:t>
            </w:r>
            <w:r w:rsidR="000B7BFE" w:rsidRPr="004D1BD0">
              <w:rPr>
                <w:rFonts w:ascii="Times New Roman" w:hAnsi="Times New Roman"/>
                <w:color w:val="000000"/>
              </w:rPr>
              <w:t>tion</w:t>
            </w:r>
            <w:r w:rsidR="008959F1" w:rsidRPr="004D1BD0">
              <w:rPr>
                <w:rFonts w:ascii="Times New Roman" w:hAnsi="Times New Roman"/>
                <w:color w:val="000000"/>
              </w:rPr>
              <w:t xml:space="preserve"> de certaine espèce végétale locale ;</w:t>
            </w:r>
          </w:p>
          <w:p w:rsidR="008959F1" w:rsidRPr="004D1BD0" w:rsidRDefault="005B1C12"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w:t>
            </w:r>
            <w:r w:rsidR="00E77109" w:rsidRPr="004D1BD0">
              <w:rPr>
                <w:rFonts w:ascii="Times New Roman" w:hAnsi="Times New Roman"/>
                <w:color w:val="000000"/>
              </w:rPr>
              <w:t xml:space="preserve"> </w:t>
            </w:r>
            <w:r w:rsidR="008959F1" w:rsidRPr="004D1BD0">
              <w:rPr>
                <w:rFonts w:ascii="Times New Roman" w:hAnsi="Times New Roman"/>
                <w:color w:val="000000"/>
              </w:rPr>
              <w:t xml:space="preserve">Pression sur le bois </w:t>
            </w:r>
            <w:r w:rsidR="006D1758" w:rsidRPr="004D1BD0">
              <w:rPr>
                <w:rFonts w:ascii="Times New Roman" w:hAnsi="Times New Roman"/>
                <w:color w:val="000000"/>
              </w:rPr>
              <w:t>d’œuvre et le bois d’artisanat </w:t>
            </w:r>
            <w:r w:rsidR="008959F1" w:rsidRPr="004D1BD0">
              <w:rPr>
                <w:rFonts w:ascii="Times New Roman" w:hAnsi="Times New Roman"/>
                <w:color w:val="000000"/>
              </w:rPr>
              <w:t>;</w:t>
            </w:r>
          </w:p>
          <w:p w:rsidR="008959F1" w:rsidRPr="004D1BD0" w:rsidRDefault="00F26F72"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D1BD0">
              <w:rPr>
                <w:rFonts w:ascii="Times New Roman" w:hAnsi="Times New Roman"/>
                <w:color w:val="000000"/>
              </w:rPr>
              <w:t>- R</w:t>
            </w:r>
            <w:r w:rsidR="009C7227" w:rsidRPr="004D1BD0">
              <w:rPr>
                <w:rFonts w:ascii="Times New Roman" w:hAnsi="Times New Roman"/>
                <w:color w:val="000000"/>
              </w:rPr>
              <w:t xml:space="preserve">isque d’augmentation des </w:t>
            </w:r>
            <w:r w:rsidR="008959F1" w:rsidRPr="004D1BD0">
              <w:rPr>
                <w:rFonts w:ascii="Times New Roman" w:hAnsi="Times New Roman"/>
                <w:color w:val="000000"/>
              </w:rPr>
              <w:t>Feux de brousse ;</w:t>
            </w:r>
          </w:p>
          <w:p w:rsidR="002755B4" w:rsidRPr="004D1BD0" w:rsidRDefault="002755B4" w:rsidP="00D71F39">
            <w:pPr>
              <w:pStyle w:val="PargrafodaLista"/>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D1BD0">
              <w:rPr>
                <w:rFonts w:ascii="Times New Roman" w:hAnsi="Times New Roman"/>
                <w:b/>
                <w:color w:val="000000"/>
              </w:rPr>
              <w:t>Perte de biodiversité</w:t>
            </w:r>
          </w:p>
          <w:p w:rsidR="006069E3" w:rsidRDefault="001F3684" w:rsidP="00083B97">
            <w:pPr>
              <w:cnfStyle w:val="000000000000" w:firstRow="0" w:lastRow="0" w:firstColumn="0" w:lastColumn="0" w:oddVBand="0" w:evenVBand="0" w:oddHBand="0" w:evenHBand="0" w:firstRowFirstColumn="0" w:firstRowLastColumn="0" w:lastRowFirstColumn="0" w:lastRowLastColumn="0"/>
              <w:rPr>
                <w:color w:val="000000"/>
              </w:rPr>
            </w:pPr>
            <w:r w:rsidRPr="004D1BD0">
              <w:rPr>
                <w:rFonts w:eastAsia="Calibri"/>
                <w:color w:val="000000"/>
                <w:sz w:val="20"/>
                <w:szCs w:val="20"/>
              </w:rPr>
              <w:t xml:space="preserve">- </w:t>
            </w:r>
            <w:r w:rsidR="008959F1" w:rsidRPr="004D1BD0">
              <w:rPr>
                <w:rFonts w:eastAsia="Calibri"/>
                <w:color w:val="000000"/>
                <w:sz w:val="20"/>
                <w:szCs w:val="20"/>
              </w:rPr>
              <w:t xml:space="preserve">Sans les pratiques agro écologiques qui consistent à restaurer le couvert végétal avec l’aide </w:t>
            </w:r>
            <w:r w:rsidR="00DF01E2" w:rsidRPr="004D1BD0">
              <w:rPr>
                <w:rFonts w:eastAsia="Calibri"/>
                <w:color w:val="000000"/>
                <w:sz w:val="20"/>
                <w:szCs w:val="20"/>
              </w:rPr>
              <w:t xml:space="preserve">de </w:t>
            </w:r>
            <w:r w:rsidR="00CC017B" w:rsidRPr="004D1BD0">
              <w:rPr>
                <w:rFonts w:eastAsia="Calibri"/>
                <w:color w:val="000000"/>
                <w:sz w:val="20"/>
                <w:szCs w:val="20"/>
              </w:rPr>
              <w:t>certaines espèces</w:t>
            </w:r>
            <w:r w:rsidR="008959F1" w:rsidRPr="004D1BD0">
              <w:rPr>
                <w:rFonts w:eastAsia="Calibri"/>
                <w:color w:val="000000"/>
                <w:sz w:val="20"/>
                <w:szCs w:val="20"/>
              </w:rPr>
              <w:t xml:space="preserve"> telles que : </w:t>
            </w:r>
            <w:r w:rsidR="00300349" w:rsidRPr="004D1BD0">
              <w:rPr>
                <w:rFonts w:eastAsia="Calibri"/>
                <w:color w:val="000000"/>
                <w:sz w:val="20"/>
                <w:szCs w:val="20"/>
              </w:rPr>
              <w:t xml:space="preserve">les mangroves, les palmiers, </w:t>
            </w:r>
            <w:r w:rsidR="00507FDB" w:rsidRPr="004D1BD0">
              <w:rPr>
                <w:rFonts w:eastAsia="Calibri"/>
                <w:color w:val="000000"/>
                <w:sz w:val="20"/>
                <w:szCs w:val="20"/>
              </w:rPr>
              <w:t>les Albizzia acanthifolia</w:t>
            </w:r>
            <w:r w:rsidR="00CC017B" w:rsidRPr="004D1BD0">
              <w:rPr>
                <w:rFonts w:eastAsia="Calibri"/>
                <w:color w:val="000000"/>
                <w:sz w:val="20"/>
                <w:szCs w:val="20"/>
              </w:rPr>
              <w:t xml:space="preserve">, </w:t>
            </w:r>
            <w:r w:rsidR="00E32904" w:rsidRPr="004D1BD0">
              <w:rPr>
                <w:rFonts w:eastAsia="Calibri"/>
                <w:color w:val="000000"/>
                <w:sz w:val="20"/>
                <w:szCs w:val="20"/>
              </w:rPr>
              <w:t>le Diallium guineensis</w:t>
            </w:r>
            <w:r w:rsidR="00CC017B" w:rsidRPr="004D1BD0">
              <w:rPr>
                <w:rFonts w:eastAsia="Calibri"/>
                <w:color w:val="000000"/>
                <w:sz w:val="20"/>
                <w:szCs w:val="20"/>
              </w:rPr>
              <w:t xml:space="preserve">, </w:t>
            </w:r>
            <w:r w:rsidR="00E96BBC" w:rsidRPr="004D1BD0">
              <w:rPr>
                <w:rFonts w:eastAsia="Calibri"/>
                <w:color w:val="000000"/>
                <w:sz w:val="20"/>
                <w:szCs w:val="20"/>
              </w:rPr>
              <w:t xml:space="preserve">Antiaris africana, Chlorophora regia, etc… </w:t>
            </w:r>
            <w:r w:rsidR="008959F1" w:rsidRPr="004D1BD0">
              <w:rPr>
                <w:rFonts w:eastAsia="Calibri"/>
                <w:color w:val="000000"/>
                <w:sz w:val="20"/>
                <w:szCs w:val="20"/>
              </w:rPr>
              <w:t>l’environnement continuera de se dégrader vis-à-vis des changements climatiques. Ainsi la résilience des écosystèmes face à la vulnérabilité climatique est tributaire de notre capacité à restaurer le couvert végétal</w:t>
            </w:r>
            <w:r w:rsidR="00AB4F26">
              <w:rPr>
                <w:rFonts w:eastAsia="Calibri"/>
                <w:color w:val="000000"/>
                <w:sz w:val="20"/>
                <w:szCs w:val="20"/>
              </w:rPr>
              <w:t xml:space="preserve"> </w:t>
            </w:r>
          </w:p>
          <w:p w:rsidR="0036609D" w:rsidRPr="008371D1" w:rsidRDefault="0036609D"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eastAsia="Times New Roman"/>
              </w:rPr>
            </w:pPr>
            <w:r w:rsidRPr="00C40727">
              <w:rPr>
                <w:rFonts w:ascii="Times New Roman" w:hAnsi="Times New Roman"/>
                <w:b/>
                <w:color w:val="000000"/>
              </w:rPr>
              <w:t>R</w:t>
            </w:r>
            <w:r w:rsidRPr="001F1F65">
              <w:rPr>
                <w:rFonts w:ascii="Times New Roman" w:hAnsi="Times New Roman"/>
                <w:b/>
                <w:color w:val="000000"/>
              </w:rPr>
              <w:t>isque d’augmentation des pratiques du défrichement et des feux de brousse (surtout pour la culture du riz de mangrove et du riz de plateau)</w:t>
            </w:r>
          </w:p>
          <w:p w:rsidR="008959F1" w:rsidRPr="004D1BD0" w:rsidRDefault="001C14F7"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D1BD0">
              <w:rPr>
                <w:rFonts w:ascii="Times New Roman" w:hAnsi="Times New Roman"/>
                <w:b/>
                <w:color w:val="000000"/>
              </w:rPr>
              <w:t xml:space="preserve">Dégradation ou </w:t>
            </w:r>
            <w:r w:rsidR="008959F1" w:rsidRPr="004D1BD0">
              <w:rPr>
                <w:rFonts w:ascii="Times New Roman" w:hAnsi="Times New Roman"/>
                <w:b/>
                <w:color w:val="000000"/>
              </w:rPr>
              <w:t xml:space="preserve">Pollution des sols </w:t>
            </w:r>
          </w:p>
          <w:p w:rsidR="00D612CF" w:rsidRPr="004D1BD0" w:rsidRDefault="006149F3"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 xml:space="preserve">- </w:t>
            </w:r>
            <w:r w:rsidR="008709ED" w:rsidRPr="004D1BD0">
              <w:rPr>
                <w:rFonts w:eastAsia="Calibri"/>
                <w:color w:val="000000"/>
                <w:sz w:val="20"/>
                <w:szCs w:val="20"/>
              </w:rPr>
              <w:t xml:space="preserve">Avec l´extension de la monoculture de l´anacardier, le </w:t>
            </w:r>
            <w:r w:rsidR="00D612CF" w:rsidRPr="004D1BD0">
              <w:rPr>
                <w:rFonts w:eastAsia="Calibri"/>
                <w:color w:val="000000"/>
                <w:sz w:val="20"/>
                <w:szCs w:val="20"/>
              </w:rPr>
              <w:t>défrichement de la couverture vé</w:t>
            </w:r>
            <w:r w:rsidR="00177E0B" w:rsidRPr="004D1BD0">
              <w:rPr>
                <w:rFonts w:eastAsia="Calibri"/>
                <w:color w:val="000000"/>
                <w:sz w:val="20"/>
                <w:szCs w:val="20"/>
              </w:rPr>
              <w:t xml:space="preserve">gétale, les feux de brousse, </w:t>
            </w:r>
            <w:r w:rsidR="000F67FA" w:rsidRPr="004D1BD0">
              <w:rPr>
                <w:rFonts w:eastAsia="Calibri"/>
                <w:color w:val="000000"/>
                <w:sz w:val="20"/>
                <w:szCs w:val="20"/>
              </w:rPr>
              <w:t>continuent de</w:t>
            </w:r>
            <w:r w:rsidR="00D612CF" w:rsidRPr="004D1BD0">
              <w:rPr>
                <w:rFonts w:eastAsia="Calibri"/>
                <w:color w:val="000000"/>
                <w:sz w:val="20"/>
                <w:szCs w:val="20"/>
              </w:rPr>
              <w:t xml:space="preserve"> provoque</w:t>
            </w:r>
            <w:r w:rsidR="000F67FA" w:rsidRPr="004D1BD0">
              <w:rPr>
                <w:rFonts w:eastAsia="Calibri"/>
                <w:color w:val="000000"/>
                <w:sz w:val="20"/>
                <w:szCs w:val="20"/>
              </w:rPr>
              <w:t>r</w:t>
            </w:r>
            <w:r w:rsidR="00D612CF" w:rsidRPr="004D1BD0">
              <w:rPr>
                <w:rFonts w:eastAsia="Calibri"/>
                <w:color w:val="000000"/>
                <w:sz w:val="20"/>
                <w:szCs w:val="20"/>
              </w:rPr>
              <w:t xml:space="preserve"> la destruction de la structure du sol. </w:t>
            </w:r>
          </w:p>
          <w:p w:rsidR="00152136" w:rsidRPr="004D1BD0" w:rsidRDefault="00D1466F"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w:t>
            </w:r>
            <w:r w:rsidR="00223C38" w:rsidRPr="004D1BD0">
              <w:rPr>
                <w:rFonts w:eastAsia="Calibri"/>
                <w:color w:val="000000"/>
                <w:sz w:val="20"/>
                <w:szCs w:val="20"/>
              </w:rPr>
              <w:t xml:space="preserve"> </w:t>
            </w:r>
            <w:r w:rsidR="00434BF1" w:rsidRPr="00434BF1">
              <w:rPr>
                <w:rFonts w:eastAsia="Calibri"/>
                <w:color w:val="000000"/>
                <w:sz w:val="20"/>
                <w:szCs w:val="20"/>
              </w:rPr>
              <w:t xml:space="preserve">L’utilisation irrationnelle des pesticides et </w:t>
            </w:r>
            <w:r w:rsidR="00434BF1" w:rsidRPr="00434BF1">
              <w:rPr>
                <w:rFonts w:eastAsia="Calibri"/>
                <w:color w:val="000000"/>
                <w:sz w:val="20"/>
                <w:szCs w:val="20"/>
              </w:rPr>
              <w:lastRenderedPageBreak/>
              <w:t>engrais</w:t>
            </w:r>
            <w:r w:rsidR="00223C38" w:rsidRPr="004D1BD0">
              <w:rPr>
                <w:rFonts w:eastAsia="Calibri"/>
                <w:color w:val="000000"/>
                <w:sz w:val="20"/>
                <w:szCs w:val="20"/>
              </w:rPr>
              <w:t>;</w:t>
            </w:r>
          </w:p>
          <w:p w:rsidR="00B93ADB" w:rsidRPr="00A05698" w:rsidRDefault="00B93ADB"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05698">
              <w:rPr>
                <w:rFonts w:ascii="Times New Roman" w:hAnsi="Times New Roman"/>
                <w:color w:val="000000"/>
              </w:rPr>
              <w:t>Difficultés d’accès à l’eau et à la gestion des ressources en eau</w:t>
            </w:r>
          </w:p>
          <w:p w:rsidR="005449B2" w:rsidRPr="004D1BD0" w:rsidRDefault="00ED2AE3"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 xml:space="preserve">- </w:t>
            </w:r>
            <w:r w:rsidR="005449B2" w:rsidRPr="004D1BD0">
              <w:rPr>
                <w:rFonts w:eastAsia="Calibri"/>
                <w:color w:val="000000"/>
                <w:sz w:val="20"/>
                <w:szCs w:val="20"/>
              </w:rPr>
              <w:t>Tendance de la baisse pluviométrie caractérisée par une variabilité inter et intra annuelle ;</w:t>
            </w:r>
          </w:p>
          <w:p w:rsidR="005449B2" w:rsidRPr="004D1BD0" w:rsidRDefault="00ED2AE3"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w:t>
            </w:r>
            <w:r w:rsidR="005449B2" w:rsidRPr="004D1BD0">
              <w:rPr>
                <w:rFonts w:eastAsia="Calibri"/>
                <w:color w:val="000000"/>
                <w:sz w:val="20"/>
                <w:szCs w:val="20"/>
              </w:rPr>
              <w:t>Par une baisse drastique des écoulements des cours d’eau en période de basses eaux ;</w:t>
            </w:r>
          </w:p>
          <w:p w:rsidR="00B93ADB" w:rsidRPr="004D1BD0" w:rsidRDefault="00ED2AE3"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w:t>
            </w:r>
            <w:r w:rsidR="005449B2" w:rsidRPr="004D1BD0">
              <w:rPr>
                <w:rFonts w:eastAsia="Calibri"/>
                <w:color w:val="000000"/>
                <w:sz w:val="20"/>
                <w:szCs w:val="20"/>
              </w:rPr>
              <w:t xml:space="preserve">Par la multiplicité des usages </w:t>
            </w:r>
            <w:r w:rsidR="00467215" w:rsidRPr="004D1BD0">
              <w:rPr>
                <w:rFonts w:eastAsia="Calibri"/>
                <w:color w:val="000000"/>
                <w:sz w:val="20"/>
                <w:szCs w:val="20"/>
              </w:rPr>
              <w:t xml:space="preserve">agricole qui </w:t>
            </w:r>
            <w:r w:rsidR="005449B2" w:rsidRPr="004D1BD0">
              <w:rPr>
                <w:rFonts w:eastAsia="Calibri"/>
                <w:color w:val="000000"/>
                <w:sz w:val="20"/>
                <w:szCs w:val="20"/>
              </w:rPr>
              <w:t>augmente les besoins et en</w:t>
            </w:r>
            <w:r w:rsidR="00467215" w:rsidRPr="004D1BD0">
              <w:rPr>
                <w:rFonts w:eastAsia="Calibri"/>
                <w:color w:val="000000"/>
                <w:sz w:val="20"/>
                <w:szCs w:val="20"/>
              </w:rPr>
              <w:t>gendre une forte pression sur les</w:t>
            </w:r>
            <w:r w:rsidR="005449B2" w:rsidRPr="004D1BD0">
              <w:rPr>
                <w:rFonts w:eastAsia="Calibri"/>
                <w:color w:val="000000"/>
                <w:sz w:val="20"/>
                <w:szCs w:val="20"/>
              </w:rPr>
              <w:t xml:space="preserve"> ressource</w:t>
            </w:r>
            <w:r w:rsidR="00467215" w:rsidRPr="004D1BD0">
              <w:rPr>
                <w:rFonts w:eastAsia="Calibri"/>
                <w:color w:val="000000"/>
                <w:sz w:val="20"/>
                <w:szCs w:val="20"/>
              </w:rPr>
              <w:t>s</w:t>
            </w:r>
            <w:r w:rsidR="005449B2" w:rsidRPr="004D1BD0">
              <w:rPr>
                <w:rFonts w:eastAsia="Calibri"/>
                <w:color w:val="000000"/>
                <w:sz w:val="20"/>
                <w:szCs w:val="20"/>
              </w:rPr>
              <w:t> ;</w:t>
            </w: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D1BD0">
              <w:rPr>
                <w:rFonts w:ascii="Times New Roman" w:hAnsi="Times New Roman"/>
                <w:b/>
                <w:color w:val="000000"/>
              </w:rPr>
              <w:t>Pollution de l’eau</w:t>
            </w:r>
          </w:p>
          <w:p w:rsidR="00B92B7A" w:rsidRPr="004D1BD0" w:rsidRDefault="005209B7"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w:t>
            </w:r>
            <w:r w:rsidR="00970ABF" w:rsidRPr="004D1BD0">
              <w:rPr>
                <w:rFonts w:eastAsia="Calibri"/>
                <w:color w:val="000000"/>
                <w:sz w:val="20"/>
                <w:szCs w:val="20"/>
              </w:rPr>
              <w:t>Usage des pesticides</w:t>
            </w:r>
            <w:r w:rsidR="0079471A">
              <w:rPr>
                <w:rFonts w:eastAsia="Calibri"/>
                <w:color w:val="000000"/>
                <w:sz w:val="20"/>
                <w:szCs w:val="20"/>
              </w:rPr>
              <w:t xml:space="preserve"> et des engrais</w:t>
            </w:r>
            <w:r w:rsidR="00970ABF" w:rsidRPr="004D1BD0">
              <w:rPr>
                <w:rFonts w:eastAsia="Calibri"/>
                <w:color w:val="000000"/>
                <w:sz w:val="20"/>
                <w:szCs w:val="20"/>
              </w:rPr>
              <w:t xml:space="preserve"> dans les exploitations ; </w:t>
            </w:r>
          </w:p>
          <w:p w:rsidR="00B92B7A" w:rsidRPr="004D1BD0" w:rsidRDefault="00B92B7A" w:rsidP="00010BAB">
            <w:pP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4D1BD0">
              <w:rPr>
                <w:rFonts w:eastAsia="Calibri"/>
                <w:color w:val="000000"/>
                <w:sz w:val="20"/>
                <w:szCs w:val="20"/>
              </w:rPr>
              <w:t>-Présence de fer au niveau des nappes dans certaines régions ;</w:t>
            </w:r>
          </w:p>
          <w:p w:rsidR="008D12DC" w:rsidRPr="004D1BD0" w:rsidRDefault="001B542A"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D1BD0">
              <w:rPr>
                <w:rFonts w:ascii="Times New Roman" w:hAnsi="Times New Roman"/>
                <w:b/>
                <w:color w:val="000000"/>
              </w:rPr>
              <w:t>L’agriculture de plateau, itinérante et centrée sur la conquête de nouvelles terres grâce au défrichage, n’est pas durable</w:t>
            </w:r>
            <w:r w:rsidR="00444365" w:rsidRPr="004D1BD0">
              <w:rPr>
                <w:rFonts w:ascii="Times New Roman" w:hAnsi="Times New Roman"/>
                <w:b/>
                <w:color w:val="000000"/>
              </w:rPr>
              <w:t xml:space="preserve"> </w:t>
            </w:r>
            <w:r w:rsidR="004A1098" w:rsidRPr="004D1BD0">
              <w:rPr>
                <w:rFonts w:ascii="Times New Roman" w:hAnsi="Times New Roman"/>
                <w:b/>
                <w:color w:val="000000"/>
              </w:rPr>
              <w:t>ce qui constitue un enjeu majeur</w:t>
            </w:r>
            <w:r w:rsidRPr="004D1BD0">
              <w:rPr>
                <w:rFonts w:ascii="Times New Roman" w:hAnsi="Times New Roman"/>
                <w:b/>
                <w:color w:val="000000"/>
              </w:rPr>
              <w:t>.</w:t>
            </w:r>
          </w:p>
          <w:p w:rsidR="008959F1" w:rsidRDefault="001B542A" w:rsidP="002218A2">
            <w:pPr>
              <w:jc w:val="both"/>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A05698">
              <w:rPr>
                <w:rFonts w:eastAsia="Times New Roman"/>
                <w:sz w:val="20"/>
                <w:szCs w:val="20"/>
              </w:rPr>
              <w:t xml:space="preserve"> </w:t>
            </w:r>
            <w:r w:rsidR="008D12DC" w:rsidRPr="004D1BD0">
              <w:rPr>
                <w:rFonts w:eastAsia="Calibri"/>
                <w:color w:val="000000"/>
                <w:sz w:val="20"/>
                <w:szCs w:val="20"/>
              </w:rPr>
              <w:t>-</w:t>
            </w:r>
            <w:r w:rsidR="004A1098" w:rsidRPr="004D1BD0">
              <w:rPr>
                <w:rFonts w:eastAsia="Calibri"/>
                <w:color w:val="000000"/>
                <w:sz w:val="20"/>
                <w:szCs w:val="20"/>
              </w:rPr>
              <w:t>Car e</w:t>
            </w:r>
            <w:r w:rsidRPr="004D1BD0">
              <w:rPr>
                <w:rFonts w:eastAsia="Calibri"/>
                <w:color w:val="000000"/>
                <w:sz w:val="20"/>
                <w:szCs w:val="20"/>
              </w:rPr>
              <w:t xml:space="preserve">lle </w:t>
            </w:r>
            <w:r w:rsidR="00E10125" w:rsidRPr="004D1BD0">
              <w:rPr>
                <w:rFonts w:eastAsia="Calibri"/>
                <w:color w:val="000000"/>
                <w:sz w:val="20"/>
                <w:szCs w:val="20"/>
              </w:rPr>
              <w:t>engendre :</w:t>
            </w:r>
            <w:r w:rsidRPr="004D1BD0">
              <w:rPr>
                <w:rFonts w:eastAsia="Calibri"/>
                <w:color w:val="000000"/>
                <w:sz w:val="20"/>
                <w:szCs w:val="20"/>
              </w:rPr>
              <w:t xml:space="preserve"> i) la déposition de sédiments alluviaux et colluviaux dans les zones basses des petites vallées et des mangroves, colmatant ainsi les canaux naturels et artificiels de drainage, sédiments qui sont à l’origine d’inondations </w:t>
            </w:r>
            <w:r w:rsidR="00E10125" w:rsidRPr="004D1BD0">
              <w:rPr>
                <w:rFonts w:eastAsia="Calibri"/>
                <w:color w:val="000000"/>
                <w:sz w:val="20"/>
                <w:szCs w:val="20"/>
              </w:rPr>
              <w:t>périodiques ;</w:t>
            </w:r>
            <w:r w:rsidRPr="004D1BD0">
              <w:rPr>
                <w:rFonts w:eastAsia="Calibri"/>
                <w:color w:val="000000"/>
                <w:sz w:val="20"/>
                <w:szCs w:val="20"/>
              </w:rPr>
              <w:t xml:space="preserve"> ii) la dégradation des rizières par l’avancement des marées occasionnant leur abandon au détriment de l’agriculture itinérante.</w:t>
            </w:r>
          </w:p>
          <w:p w:rsidR="004804FF" w:rsidRPr="008371D1" w:rsidRDefault="004804FF"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color w:val="000000"/>
              </w:rPr>
            </w:pPr>
            <w:r w:rsidRPr="005D4E8C">
              <w:rPr>
                <w:rFonts w:ascii="Times New Roman" w:hAnsi="Times New Roman"/>
                <w:b/>
                <w:color w:val="000000"/>
              </w:rPr>
              <w:t>La production de déchets et les émissions de gaz</w:t>
            </w:r>
            <w:r w:rsidR="008D382E" w:rsidRPr="005D4E8C">
              <w:rPr>
                <w:rFonts w:ascii="Times New Roman" w:hAnsi="Times New Roman"/>
                <w:b/>
                <w:color w:val="000000"/>
              </w:rPr>
              <w:t xml:space="preserve"> à effet de serre sont </w:t>
            </w:r>
            <w:r w:rsidR="00685385" w:rsidRPr="00685385">
              <w:rPr>
                <w:rFonts w:ascii="Times New Roman" w:hAnsi="Times New Roman"/>
                <w:b/>
                <w:color w:val="000000"/>
              </w:rPr>
              <w:t>des enjeux majeurs</w:t>
            </w:r>
            <w:r w:rsidR="008D382E" w:rsidRPr="005D4E8C">
              <w:rPr>
                <w:rFonts w:ascii="Times New Roman" w:hAnsi="Times New Roman"/>
                <w:b/>
                <w:color w:val="000000"/>
              </w:rPr>
              <w:t xml:space="preserve"> qui faudra prendre en compte lors des </w:t>
            </w:r>
            <w:r w:rsidR="00685385" w:rsidRPr="00685385">
              <w:rPr>
                <w:rFonts w:ascii="Times New Roman" w:hAnsi="Times New Roman"/>
                <w:b/>
                <w:color w:val="000000"/>
              </w:rPr>
              <w:t>activités</w:t>
            </w:r>
            <w:r w:rsidR="008D382E" w:rsidRPr="005D4E8C">
              <w:rPr>
                <w:rFonts w:ascii="Times New Roman" w:hAnsi="Times New Roman"/>
                <w:b/>
                <w:color w:val="000000"/>
              </w:rPr>
              <w:t xml:space="preserve"> du Projet.</w:t>
            </w:r>
          </w:p>
          <w:p w:rsidR="00187FE0" w:rsidRPr="004D1BD0" w:rsidRDefault="00187FE0"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Les effets induits liés à l’utilisation d’intrants agricoles (engrais, pesticides) pourraient entraîner une dégradation des terres cultivable et des ressources en eau en termes de salinité, </w:t>
            </w:r>
            <w:r w:rsidRPr="004D1BD0">
              <w:rPr>
                <w:rFonts w:ascii="Times New Roman" w:hAnsi="Times New Roman"/>
                <w:b/>
                <w:color w:val="000000"/>
                <w:szCs w:val="22"/>
              </w:rPr>
              <w:lastRenderedPageBreak/>
              <w:t xml:space="preserve">d’augmentation de la teneur d’éléments nutritifs (azote et phosphore) et de micropolluants chimiques. </w:t>
            </w:r>
          </w:p>
          <w:p w:rsidR="00187FE0" w:rsidRPr="004D1BD0" w:rsidRDefault="00187FE0"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color w:val="000000"/>
              </w:rPr>
            </w:pPr>
            <w:r w:rsidRPr="004D1BD0">
              <w:rPr>
                <w:rFonts w:ascii="Times New Roman" w:hAnsi="Times New Roman"/>
                <w:b/>
                <w:color w:val="000000"/>
                <w:szCs w:val="22"/>
              </w:rPr>
              <w:t xml:space="preserve">La dégradation des terres dans la zone centre (absence d’enrichissement des sols, disparition jachère) entraine d’énorme pression sur les ressources forestières ; </w:t>
            </w:r>
          </w:p>
        </w:tc>
        <w:tc>
          <w:tcPr>
            <w:tcW w:w="4098" w:type="dxa"/>
            <w:vAlign w:val="center"/>
          </w:tcPr>
          <w:p w:rsidR="008959F1" w:rsidRPr="004D1BD0" w:rsidRDefault="008959F1" w:rsidP="00157035">
            <w:pPr>
              <w:pStyle w:val="PargrafodaLista"/>
              <w:numPr>
                <w:ilvl w:val="0"/>
                <w:numId w:val="51"/>
              </w:numPr>
              <w:spacing w:after="0" w:line="240" w:lineRule="auto"/>
              <w:ind w:left="312"/>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lastRenderedPageBreak/>
              <w:t>Lutte contre la pauvreté et à l’insécurité alimentaire</w:t>
            </w:r>
          </w:p>
          <w:p w:rsidR="008959F1" w:rsidRPr="008371D1" w:rsidRDefault="008959F1"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371D1">
              <w:rPr>
                <w:rFonts w:ascii="Times New Roman" w:hAnsi="Times New Roman"/>
                <w:color w:val="000000"/>
              </w:rPr>
              <w:t>Certaine</w:t>
            </w:r>
            <w:r w:rsidR="0070095D" w:rsidRPr="008371D1">
              <w:rPr>
                <w:rFonts w:ascii="Times New Roman" w:hAnsi="Times New Roman"/>
                <w:color w:val="000000"/>
              </w:rPr>
              <w:t>s</w:t>
            </w:r>
            <w:r w:rsidRPr="008371D1">
              <w:rPr>
                <w:rFonts w:ascii="Times New Roman" w:hAnsi="Times New Roman"/>
                <w:color w:val="000000"/>
              </w:rPr>
              <w:t xml:space="preserve"> filière</w:t>
            </w:r>
            <w:r w:rsidR="0070095D" w:rsidRPr="008371D1">
              <w:rPr>
                <w:rFonts w:ascii="Times New Roman" w:hAnsi="Times New Roman"/>
                <w:color w:val="000000"/>
              </w:rPr>
              <w:t>s</w:t>
            </w:r>
            <w:r w:rsidRPr="008371D1">
              <w:rPr>
                <w:rFonts w:ascii="Times New Roman" w:hAnsi="Times New Roman"/>
                <w:color w:val="000000"/>
              </w:rPr>
              <w:t xml:space="preserve"> comme le </w:t>
            </w:r>
            <w:r w:rsidR="006E2059" w:rsidRPr="008371D1">
              <w:rPr>
                <w:rFonts w:ascii="Times New Roman" w:hAnsi="Times New Roman"/>
                <w:color w:val="000000"/>
              </w:rPr>
              <w:t xml:space="preserve">riz, </w:t>
            </w:r>
            <w:r w:rsidR="0070095D" w:rsidRPr="008371D1">
              <w:rPr>
                <w:rFonts w:ascii="Times New Roman" w:hAnsi="Times New Roman"/>
                <w:color w:val="000000"/>
              </w:rPr>
              <w:t xml:space="preserve">le </w:t>
            </w:r>
            <w:r w:rsidRPr="008371D1">
              <w:rPr>
                <w:rFonts w:ascii="Times New Roman" w:hAnsi="Times New Roman"/>
                <w:color w:val="000000"/>
              </w:rPr>
              <w:t>mil</w:t>
            </w:r>
            <w:r w:rsidR="0070095D" w:rsidRPr="008371D1">
              <w:rPr>
                <w:rFonts w:ascii="Times New Roman" w:hAnsi="Times New Roman"/>
                <w:color w:val="000000"/>
              </w:rPr>
              <w:t xml:space="preserve">, le sorgho </w:t>
            </w:r>
            <w:r w:rsidR="00F22625" w:rsidRPr="008371D1">
              <w:rPr>
                <w:rFonts w:ascii="Times New Roman" w:hAnsi="Times New Roman"/>
                <w:color w:val="000000"/>
              </w:rPr>
              <w:t>etc.</w:t>
            </w:r>
            <w:r w:rsidR="00811A88" w:rsidRPr="008371D1">
              <w:rPr>
                <w:rFonts w:ascii="Times New Roman" w:hAnsi="Times New Roman"/>
                <w:color w:val="000000"/>
              </w:rPr>
              <w:t xml:space="preserve">, </w:t>
            </w:r>
            <w:r w:rsidR="00157DF9" w:rsidRPr="008371D1">
              <w:rPr>
                <w:rFonts w:ascii="Times New Roman" w:hAnsi="Times New Roman"/>
                <w:color w:val="000000"/>
              </w:rPr>
              <w:t>sont</w:t>
            </w:r>
            <w:r w:rsidRPr="008371D1">
              <w:rPr>
                <w:rFonts w:ascii="Times New Roman" w:hAnsi="Times New Roman"/>
                <w:color w:val="000000"/>
              </w:rPr>
              <w:t xml:space="preserve"> souvent destiné</w:t>
            </w:r>
            <w:r w:rsidR="00157DF9" w:rsidRPr="008371D1">
              <w:rPr>
                <w:rFonts w:ascii="Times New Roman" w:hAnsi="Times New Roman"/>
                <w:color w:val="000000"/>
              </w:rPr>
              <w:t>es</w:t>
            </w:r>
            <w:r w:rsidRPr="008371D1">
              <w:rPr>
                <w:rFonts w:ascii="Times New Roman" w:hAnsi="Times New Roman"/>
                <w:color w:val="000000"/>
              </w:rPr>
              <w:t xml:space="preserve"> à l’autoconsommation fam</w:t>
            </w:r>
            <w:r w:rsidR="0070095D" w:rsidRPr="008371D1">
              <w:rPr>
                <w:rFonts w:ascii="Times New Roman" w:hAnsi="Times New Roman"/>
                <w:color w:val="000000"/>
              </w:rPr>
              <w:t xml:space="preserve">iliale dans certaine zone de la guinée </w:t>
            </w:r>
            <w:r w:rsidR="00F22625" w:rsidRPr="008371D1">
              <w:rPr>
                <w:rFonts w:ascii="Times New Roman" w:hAnsi="Times New Roman"/>
                <w:color w:val="000000"/>
              </w:rPr>
              <w:t>Bissau</w:t>
            </w:r>
            <w:r w:rsidRPr="008371D1">
              <w:rPr>
                <w:rFonts w:ascii="Times New Roman" w:hAnsi="Times New Roman"/>
                <w:color w:val="000000"/>
              </w:rPr>
              <w:t xml:space="preserve"> ainsi </w:t>
            </w:r>
            <w:r w:rsidR="00811A88" w:rsidRPr="008371D1">
              <w:rPr>
                <w:rFonts w:ascii="Times New Roman" w:hAnsi="Times New Roman"/>
                <w:color w:val="000000"/>
              </w:rPr>
              <w:t xml:space="preserve">avec les manques de moyen </w:t>
            </w:r>
            <w:r w:rsidR="001B4DC1" w:rsidRPr="008371D1">
              <w:rPr>
                <w:rFonts w:ascii="Times New Roman" w:hAnsi="Times New Roman"/>
                <w:color w:val="000000"/>
              </w:rPr>
              <w:t>de production</w:t>
            </w:r>
            <w:r w:rsidR="00811A88" w:rsidRPr="008371D1">
              <w:rPr>
                <w:rFonts w:ascii="Times New Roman" w:hAnsi="Times New Roman"/>
                <w:color w:val="000000"/>
              </w:rPr>
              <w:t xml:space="preserve"> en grand quantité</w:t>
            </w:r>
            <w:r w:rsidRPr="008371D1">
              <w:rPr>
                <w:rFonts w:ascii="Times New Roman" w:hAnsi="Times New Roman"/>
                <w:color w:val="000000"/>
              </w:rPr>
              <w:t xml:space="preserve"> </w:t>
            </w:r>
            <w:r w:rsidR="001B4DC1" w:rsidRPr="008371D1">
              <w:rPr>
                <w:rFonts w:ascii="Times New Roman" w:hAnsi="Times New Roman"/>
                <w:color w:val="000000"/>
              </w:rPr>
              <w:t xml:space="preserve">pour la commercialisation </w:t>
            </w:r>
            <w:r w:rsidRPr="008371D1">
              <w:rPr>
                <w:rFonts w:ascii="Times New Roman" w:hAnsi="Times New Roman"/>
                <w:color w:val="000000"/>
              </w:rPr>
              <w:t xml:space="preserve">peut être un enjeu majeur à prendre en compte pour atteindre </w:t>
            </w:r>
            <w:r w:rsidR="001B4DC1" w:rsidRPr="008371D1">
              <w:rPr>
                <w:rFonts w:ascii="Times New Roman" w:hAnsi="Times New Roman"/>
                <w:color w:val="000000"/>
              </w:rPr>
              <w:t>les objecti</w:t>
            </w:r>
            <w:r w:rsidR="00E947E5" w:rsidRPr="008371D1">
              <w:rPr>
                <w:rFonts w:ascii="Times New Roman" w:hAnsi="Times New Roman"/>
                <w:color w:val="000000"/>
              </w:rPr>
              <w:t>fs du projet ;</w:t>
            </w:r>
          </w:p>
          <w:p w:rsidR="001E1262" w:rsidRPr="008371D1" w:rsidRDefault="00512A9E" w:rsidP="008371D1">
            <w:pPr>
              <w:cnfStyle w:val="000000000000" w:firstRow="0" w:lastRow="0" w:firstColumn="0" w:lastColumn="0" w:oddVBand="0" w:evenVBand="0" w:oddHBand="0" w:evenHBand="0" w:firstRowFirstColumn="0" w:firstRowLastColumn="0" w:lastRowFirstColumn="0" w:lastRowLastColumn="0"/>
              <w:rPr>
                <w:color w:val="000000"/>
                <w:szCs w:val="22"/>
              </w:rPr>
            </w:pPr>
            <w:r w:rsidRPr="008371D1">
              <w:rPr>
                <w:color w:val="000000"/>
                <w:szCs w:val="22"/>
              </w:rPr>
              <w:t>-</w:t>
            </w:r>
            <w:r w:rsidR="002A653D" w:rsidRPr="008371D1">
              <w:rPr>
                <w:rFonts w:eastAsia="Calibri"/>
                <w:color w:val="000000"/>
                <w:sz w:val="20"/>
                <w:szCs w:val="20"/>
              </w:rPr>
              <w:t xml:space="preserve">Avec les effets de la </w:t>
            </w:r>
            <w:r w:rsidR="00401FF6" w:rsidRPr="008371D1">
              <w:rPr>
                <w:rFonts w:eastAsia="Calibri"/>
                <w:color w:val="000000"/>
                <w:sz w:val="20"/>
                <w:szCs w:val="20"/>
              </w:rPr>
              <w:t>pandémie</w:t>
            </w:r>
            <w:r w:rsidR="009F5E42" w:rsidRPr="008371D1">
              <w:rPr>
                <w:rFonts w:eastAsia="Calibri"/>
                <w:color w:val="000000"/>
                <w:sz w:val="20"/>
                <w:szCs w:val="20"/>
              </w:rPr>
              <w:t xml:space="preserve"> de la</w:t>
            </w:r>
            <w:r w:rsidR="00401FF6" w:rsidRPr="008371D1">
              <w:rPr>
                <w:rFonts w:eastAsia="Calibri"/>
                <w:color w:val="000000"/>
                <w:sz w:val="20"/>
                <w:szCs w:val="20"/>
              </w:rPr>
              <w:t xml:space="preserve"> Covid </w:t>
            </w:r>
            <w:r w:rsidR="00F22625" w:rsidRPr="008371D1">
              <w:rPr>
                <w:rFonts w:eastAsia="Calibri"/>
                <w:color w:val="000000"/>
                <w:sz w:val="20"/>
                <w:szCs w:val="20"/>
              </w:rPr>
              <w:t xml:space="preserve">19 </w:t>
            </w:r>
            <w:r w:rsidR="005D4760" w:rsidRPr="008371D1">
              <w:rPr>
                <w:rFonts w:eastAsia="Calibri"/>
                <w:color w:val="000000"/>
                <w:sz w:val="20"/>
                <w:szCs w:val="20"/>
              </w:rPr>
              <w:t xml:space="preserve">dans le secteur de la </w:t>
            </w:r>
            <w:r w:rsidR="00F251E8" w:rsidRPr="008371D1">
              <w:rPr>
                <w:rFonts w:eastAsia="Calibri"/>
                <w:color w:val="000000"/>
                <w:sz w:val="20"/>
                <w:szCs w:val="20"/>
              </w:rPr>
              <w:t xml:space="preserve">commercialisation </w:t>
            </w:r>
            <w:r w:rsidR="00881C1A" w:rsidRPr="008371D1">
              <w:rPr>
                <w:rFonts w:eastAsia="Calibri"/>
                <w:color w:val="000000"/>
                <w:sz w:val="20"/>
                <w:szCs w:val="20"/>
              </w:rPr>
              <w:t>des noix de cajou (</w:t>
            </w:r>
            <w:r w:rsidR="00EF2A40" w:rsidRPr="008371D1">
              <w:rPr>
                <w:rFonts w:eastAsia="Calibri"/>
                <w:color w:val="000000"/>
                <w:sz w:val="20"/>
                <w:szCs w:val="20"/>
              </w:rPr>
              <w:t>seule source</w:t>
            </w:r>
            <w:r w:rsidR="00881C1A" w:rsidRPr="008371D1">
              <w:rPr>
                <w:rFonts w:eastAsia="Calibri"/>
                <w:color w:val="000000"/>
                <w:sz w:val="20"/>
                <w:szCs w:val="20"/>
              </w:rPr>
              <w:t xml:space="preserve"> de revenu pour beaucoup de famille) </w:t>
            </w:r>
            <w:r w:rsidR="00F251E8" w:rsidRPr="008371D1">
              <w:rPr>
                <w:rFonts w:eastAsia="Calibri"/>
                <w:color w:val="000000"/>
                <w:sz w:val="20"/>
                <w:szCs w:val="20"/>
              </w:rPr>
              <w:t xml:space="preserve">et les manques de </w:t>
            </w:r>
            <w:r w:rsidR="00E858F4" w:rsidRPr="008371D1">
              <w:rPr>
                <w:rFonts w:eastAsia="Calibri"/>
                <w:color w:val="000000"/>
                <w:sz w:val="20"/>
                <w:szCs w:val="20"/>
              </w:rPr>
              <w:t xml:space="preserve">moyen de la population </w:t>
            </w:r>
            <w:r w:rsidR="002A1FDF" w:rsidRPr="008371D1">
              <w:rPr>
                <w:rFonts w:eastAsia="Calibri"/>
                <w:color w:val="000000"/>
                <w:sz w:val="20"/>
                <w:szCs w:val="20"/>
              </w:rPr>
              <w:t>pour satisfaire l</w:t>
            </w:r>
            <w:r w:rsidR="00E61292" w:rsidRPr="008371D1">
              <w:rPr>
                <w:rFonts w:eastAsia="Calibri"/>
                <w:color w:val="000000"/>
                <w:sz w:val="20"/>
                <w:szCs w:val="20"/>
              </w:rPr>
              <w:t xml:space="preserve">eur besoin quotidien est l’un des enjeux majeurs qu’il </w:t>
            </w:r>
            <w:r w:rsidR="00A97414" w:rsidRPr="008371D1">
              <w:rPr>
                <w:rFonts w:eastAsia="Calibri"/>
                <w:color w:val="000000"/>
                <w:sz w:val="20"/>
                <w:szCs w:val="20"/>
              </w:rPr>
              <w:t>faudra relever par l’Etat et le projet PUSA.</w:t>
            </w:r>
            <w:r w:rsidR="00E61292" w:rsidRPr="008371D1">
              <w:rPr>
                <w:rFonts w:eastAsia="Calibri"/>
                <w:color w:val="000000"/>
                <w:sz w:val="20"/>
                <w:szCs w:val="20"/>
              </w:rPr>
              <w:t xml:space="preserve"> </w:t>
            </w:r>
            <w:r w:rsidR="00B0263C" w:rsidRPr="008371D1">
              <w:rPr>
                <w:rFonts w:eastAsia="Calibri"/>
                <w:color w:val="000000"/>
                <w:sz w:val="20"/>
                <w:szCs w:val="20"/>
              </w:rPr>
              <w:t xml:space="preserve"> </w:t>
            </w:r>
            <w:r w:rsidR="00F22625" w:rsidRPr="008371D1">
              <w:rPr>
                <w:rFonts w:eastAsia="Calibri"/>
                <w:color w:val="000000"/>
                <w:sz w:val="20"/>
                <w:szCs w:val="20"/>
              </w:rPr>
              <w:t>Par</w:t>
            </w:r>
            <w:r w:rsidR="008959F1" w:rsidRPr="008371D1">
              <w:rPr>
                <w:rFonts w:eastAsia="Calibri"/>
                <w:color w:val="000000"/>
                <w:sz w:val="20"/>
                <w:szCs w:val="20"/>
              </w:rPr>
              <w:t xml:space="preserve"> un appui de façon durable et soutenue aux populations vulnérables dans la zone d’intervention du projet ;</w:t>
            </w:r>
          </w:p>
          <w:p w:rsidR="008959F1" w:rsidRPr="008371D1" w:rsidRDefault="00EF2A40" w:rsidP="008371D1">
            <w:pPr>
              <w:cnfStyle w:val="000000000000" w:firstRow="0" w:lastRow="0" w:firstColumn="0" w:lastColumn="0" w:oddVBand="0" w:evenVBand="0" w:oddHBand="0" w:evenHBand="0" w:firstRowFirstColumn="0" w:firstRowLastColumn="0" w:lastRowFirstColumn="0" w:lastRowLastColumn="0"/>
              <w:rPr>
                <w:color w:val="000000"/>
                <w:szCs w:val="22"/>
              </w:rPr>
            </w:pPr>
            <w:r w:rsidRPr="008371D1">
              <w:rPr>
                <w:color w:val="000000"/>
                <w:szCs w:val="22"/>
              </w:rPr>
              <w:t>-</w:t>
            </w:r>
            <w:r w:rsidR="008959F1" w:rsidRPr="008371D1">
              <w:rPr>
                <w:rFonts w:eastAsia="Calibri"/>
                <w:color w:val="000000"/>
                <w:sz w:val="20"/>
                <w:szCs w:val="20"/>
              </w:rPr>
              <w:t>Détournement d</w:t>
            </w:r>
            <w:r w:rsidR="00A05714" w:rsidRPr="008371D1">
              <w:rPr>
                <w:rFonts w:eastAsia="Calibri"/>
                <w:color w:val="000000"/>
                <w:sz w:val="20"/>
                <w:szCs w:val="20"/>
              </w:rPr>
              <w:t>’</w:t>
            </w:r>
            <w:r w:rsidR="008959F1" w:rsidRPr="008371D1">
              <w:rPr>
                <w:rFonts w:eastAsia="Calibri"/>
                <w:color w:val="000000"/>
                <w:sz w:val="20"/>
                <w:szCs w:val="20"/>
              </w:rPr>
              <w:t>objectifs du projet au profit d</w:t>
            </w:r>
            <w:r w:rsidR="00A05714" w:rsidRPr="008371D1">
              <w:rPr>
                <w:rFonts w:eastAsia="Calibri"/>
                <w:color w:val="000000"/>
                <w:sz w:val="20"/>
                <w:szCs w:val="20"/>
              </w:rPr>
              <w:t>’</w:t>
            </w:r>
            <w:r w:rsidR="008959F1" w:rsidRPr="008371D1">
              <w:rPr>
                <w:rFonts w:eastAsia="Calibri"/>
                <w:color w:val="000000"/>
                <w:sz w:val="20"/>
                <w:szCs w:val="20"/>
              </w:rPr>
              <w:t xml:space="preserve">intérêt </w:t>
            </w:r>
            <w:r w:rsidR="00B24A75" w:rsidRPr="008371D1">
              <w:rPr>
                <w:rFonts w:eastAsia="Calibri"/>
                <w:color w:val="000000"/>
                <w:sz w:val="20"/>
                <w:szCs w:val="20"/>
              </w:rPr>
              <w:t xml:space="preserve">personnel ou </w:t>
            </w:r>
            <w:r w:rsidR="008959F1" w:rsidRPr="008371D1">
              <w:rPr>
                <w:rFonts w:eastAsia="Calibri"/>
                <w:color w:val="000000"/>
                <w:sz w:val="20"/>
                <w:szCs w:val="20"/>
              </w:rPr>
              <w:t>partisan ou politique au détriment des ayants droits légitimes.</w:t>
            </w:r>
          </w:p>
          <w:p w:rsidR="002F7F35" w:rsidRPr="008371D1" w:rsidRDefault="008959F1"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Implication des </w:t>
            </w:r>
            <w:r w:rsidR="00A23519" w:rsidRPr="004D1BD0">
              <w:rPr>
                <w:rFonts w:ascii="Times New Roman" w:hAnsi="Times New Roman"/>
                <w:b/>
                <w:color w:val="000000"/>
                <w:szCs w:val="22"/>
              </w:rPr>
              <w:t xml:space="preserve">services ou des associations ou </w:t>
            </w:r>
            <w:r w:rsidR="00AE149C" w:rsidRPr="004D1BD0">
              <w:rPr>
                <w:rFonts w:ascii="Times New Roman" w:hAnsi="Times New Roman"/>
                <w:b/>
                <w:color w:val="000000"/>
                <w:szCs w:val="22"/>
              </w:rPr>
              <w:t>fédérations</w:t>
            </w:r>
            <w:r w:rsidR="00A23519" w:rsidRPr="004D1BD0">
              <w:rPr>
                <w:rFonts w:ascii="Times New Roman" w:hAnsi="Times New Roman"/>
                <w:b/>
                <w:color w:val="000000"/>
                <w:szCs w:val="22"/>
              </w:rPr>
              <w:t xml:space="preserve"> s’</w:t>
            </w:r>
            <w:r w:rsidRPr="004D1BD0">
              <w:rPr>
                <w:rFonts w:ascii="Times New Roman" w:hAnsi="Times New Roman"/>
                <w:b/>
                <w:color w:val="000000"/>
                <w:szCs w:val="22"/>
              </w:rPr>
              <w:t>activant dans le domaine de la</w:t>
            </w:r>
            <w:r w:rsidR="00AE149C" w:rsidRPr="004D1BD0">
              <w:rPr>
                <w:rFonts w:ascii="Times New Roman" w:hAnsi="Times New Roman"/>
                <w:b/>
                <w:color w:val="000000"/>
                <w:szCs w:val="22"/>
              </w:rPr>
              <w:t xml:space="preserve"> production ou de la </w:t>
            </w:r>
            <w:r w:rsidR="00B27BB7" w:rsidRPr="004D1BD0">
              <w:rPr>
                <w:rFonts w:ascii="Times New Roman" w:hAnsi="Times New Roman"/>
                <w:b/>
                <w:color w:val="000000"/>
                <w:szCs w:val="22"/>
              </w:rPr>
              <w:t xml:space="preserve">transformation ou de la commercialisation des productions agricoles surtout </w:t>
            </w:r>
            <w:r w:rsidR="00072782" w:rsidRPr="004D1BD0">
              <w:rPr>
                <w:rFonts w:ascii="Times New Roman" w:hAnsi="Times New Roman"/>
                <w:b/>
                <w:color w:val="000000"/>
                <w:szCs w:val="22"/>
              </w:rPr>
              <w:t>la noix</w:t>
            </w:r>
            <w:r w:rsidR="00B27BB7" w:rsidRPr="004D1BD0">
              <w:rPr>
                <w:rFonts w:ascii="Times New Roman" w:hAnsi="Times New Roman"/>
                <w:b/>
                <w:color w:val="000000"/>
                <w:szCs w:val="22"/>
              </w:rPr>
              <w:t xml:space="preserve"> de cajou reste un </w:t>
            </w:r>
            <w:r w:rsidR="002853E5" w:rsidRPr="004D1BD0">
              <w:rPr>
                <w:rFonts w:ascii="Times New Roman" w:hAnsi="Times New Roman"/>
                <w:b/>
                <w:color w:val="000000"/>
                <w:szCs w:val="22"/>
              </w:rPr>
              <w:t xml:space="preserve">enjeu </w:t>
            </w:r>
            <w:r w:rsidR="00072782" w:rsidRPr="004D1BD0">
              <w:rPr>
                <w:rFonts w:ascii="Times New Roman" w:hAnsi="Times New Roman"/>
                <w:b/>
                <w:color w:val="000000"/>
                <w:szCs w:val="22"/>
              </w:rPr>
              <w:t>très</w:t>
            </w:r>
            <w:r w:rsidR="002853E5" w:rsidRPr="004D1BD0">
              <w:rPr>
                <w:rFonts w:ascii="Times New Roman" w:hAnsi="Times New Roman"/>
                <w:b/>
                <w:color w:val="000000"/>
                <w:szCs w:val="22"/>
              </w:rPr>
              <w:t xml:space="preserve"> important au sien de la mise en œuvre du </w:t>
            </w:r>
            <w:r w:rsidR="00072782" w:rsidRPr="004D1BD0">
              <w:rPr>
                <w:rFonts w:ascii="Times New Roman" w:hAnsi="Times New Roman"/>
                <w:b/>
                <w:color w:val="000000"/>
                <w:szCs w:val="22"/>
              </w:rPr>
              <w:t>projet.</w:t>
            </w:r>
          </w:p>
          <w:p w:rsidR="00F11832" w:rsidRPr="008371D1" w:rsidRDefault="00072782"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Risque de c</w:t>
            </w:r>
            <w:r w:rsidR="008959F1" w:rsidRPr="004D1BD0">
              <w:rPr>
                <w:rFonts w:ascii="Times New Roman" w:hAnsi="Times New Roman"/>
                <w:b/>
                <w:color w:val="000000"/>
                <w:szCs w:val="22"/>
              </w:rPr>
              <w:t>onflits au sein d’une même catégorie socioprofessionnelle où les litiges engagent des individus d’une même famille, d’une même communauté villageoise ou d’une même prof</w:t>
            </w:r>
            <w:r w:rsidR="00771D36" w:rsidRPr="004D1BD0">
              <w:rPr>
                <w:rFonts w:ascii="Times New Roman" w:hAnsi="Times New Roman"/>
                <w:b/>
                <w:color w:val="000000"/>
                <w:szCs w:val="22"/>
              </w:rPr>
              <w:t xml:space="preserve">ession portant sur les </w:t>
            </w:r>
            <w:r w:rsidR="00771D36" w:rsidRPr="004D1BD0">
              <w:rPr>
                <w:rFonts w:ascii="Times New Roman" w:hAnsi="Times New Roman"/>
                <w:b/>
                <w:color w:val="000000"/>
                <w:szCs w:val="22"/>
              </w:rPr>
              <w:lastRenderedPageBreak/>
              <w:t>q</w:t>
            </w:r>
            <w:r w:rsidR="00C61B73" w:rsidRPr="004D1BD0">
              <w:rPr>
                <w:rFonts w:ascii="Times New Roman" w:hAnsi="Times New Roman"/>
                <w:b/>
                <w:color w:val="000000"/>
                <w:szCs w:val="22"/>
              </w:rPr>
              <w:t xml:space="preserve">uantités ou </w:t>
            </w:r>
            <w:r w:rsidR="00AD77BB" w:rsidRPr="004D1BD0">
              <w:rPr>
                <w:rFonts w:ascii="Times New Roman" w:hAnsi="Times New Roman"/>
                <w:b/>
                <w:color w:val="000000"/>
                <w:szCs w:val="22"/>
              </w:rPr>
              <w:t xml:space="preserve">les </w:t>
            </w:r>
            <w:r w:rsidR="00C61B73" w:rsidRPr="004D1BD0">
              <w:rPr>
                <w:rFonts w:ascii="Times New Roman" w:hAnsi="Times New Roman"/>
                <w:b/>
                <w:color w:val="000000"/>
                <w:szCs w:val="22"/>
              </w:rPr>
              <w:t xml:space="preserve">qualités </w:t>
            </w:r>
            <w:r w:rsidR="0056754D" w:rsidRPr="004D1BD0">
              <w:rPr>
                <w:rFonts w:ascii="Times New Roman" w:hAnsi="Times New Roman"/>
                <w:b/>
                <w:color w:val="000000"/>
                <w:szCs w:val="22"/>
              </w:rPr>
              <w:t>des semences</w:t>
            </w:r>
            <w:r w:rsidR="00014F3D" w:rsidRPr="004D1BD0">
              <w:rPr>
                <w:rFonts w:ascii="Times New Roman" w:hAnsi="Times New Roman"/>
                <w:b/>
                <w:color w:val="000000"/>
                <w:szCs w:val="22"/>
              </w:rPr>
              <w:t xml:space="preserve"> ou </w:t>
            </w:r>
            <w:r w:rsidR="006030EB" w:rsidRPr="004D1BD0">
              <w:rPr>
                <w:rFonts w:ascii="Times New Roman" w:hAnsi="Times New Roman"/>
                <w:b/>
                <w:color w:val="000000"/>
                <w:szCs w:val="22"/>
              </w:rPr>
              <w:t>des e</w:t>
            </w:r>
            <w:r w:rsidR="00AD77BB" w:rsidRPr="004D1BD0">
              <w:rPr>
                <w:rFonts w:ascii="Times New Roman" w:hAnsi="Times New Roman"/>
                <w:b/>
                <w:color w:val="000000"/>
                <w:szCs w:val="22"/>
              </w:rPr>
              <w:t xml:space="preserve">ngrais </w:t>
            </w:r>
            <w:r w:rsidR="0056754D" w:rsidRPr="004D1BD0">
              <w:rPr>
                <w:rFonts w:ascii="Times New Roman" w:hAnsi="Times New Roman"/>
                <w:b/>
                <w:color w:val="000000"/>
                <w:szCs w:val="22"/>
              </w:rPr>
              <w:t xml:space="preserve">ou des matériels à </w:t>
            </w:r>
            <w:r w:rsidR="002D7D99" w:rsidRPr="004D1BD0">
              <w:rPr>
                <w:rFonts w:ascii="Times New Roman" w:hAnsi="Times New Roman"/>
                <w:b/>
                <w:color w:val="000000"/>
                <w:szCs w:val="22"/>
              </w:rPr>
              <w:t>acheter</w:t>
            </w:r>
            <w:r w:rsidR="00C87356" w:rsidRPr="004D1BD0">
              <w:rPr>
                <w:rFonts w:ascii="Times New Roman" w:hAnsi="Times New Roman"/>
                <w:b/>
                <w:color w:val="000000"/>
                <w:szCs w:val="22"/>
              </w:rPr>
              <w:t xml:space="preserve"> et à distribuer.</w:t>
            </w:r>
          </w:p>
          <w:p w:rsidR="002F7F35" w:rsidRPr="008371D1" w:rsidRDefault="005326BD"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083B97">
              <w:rPr>
                <w:rFonts w:ascii="Times New Roman" w:hAnsi="Times New Roman"/>
                <w:b/>
                <w:color w:val="000000"/>
                <w:szCs w:val="22"/>
              </w:rPr>
              <w:t xml:space="preserve">Manque et non-respect des lois pour reconnaitre les femmes à l’accès à la terre pourra être </w:t>
            </w:r>
            <w:r w:rsidR="00003032" w:rsidRPr="00083B97">
              <w:rPr>
                <w:rFonts w:ascii="Times New Roman" w:hAnsi="Times New Roman"/>
                <w:b/>
                <w:color w:val="000000"/>
                <w:szCs w:val="22"/>
              </w:rPr>
              <w:t>une source importante</w:t>
            </w:r>
            <w:r w:rsidRPr="00083B97">
              <w:rPr>
                <w:rFonts w:ascii="Times New Roman" w:hAnsi="Times New Roman"/>
                <w:b/>
                <w:color w:val="000000"/>
                <w:szCs w:val="22"/>
              </w:rPr>
              <w:t xml:space="preserve"> des actes de VBG  </w:t>
            </w:r>
          </w:p>
          <w:p w:rsidR="002F7F35" w:rsidRPr="008371D1" w:rsidRDefault="008959F1"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Augmentation des difficultés des éleveurs pour atteindre les zones de pâturage ou d’abreuvoir des animaux</w:t>
            </w:r>
            <w:r w:rsidR="0021317C" w:rsidRPr="004D1BD0">
              <w:rPr>
                <w:rFonts w:ascii="Times New Roman" w:hAnsi="Times New Roman"/>
                <w:b/>
                <w:color w:val="000000"/>
                <w:szCs w:val="22"/>
              </w:rPr>
              <w:t xml:space="preserve"> due à augmentation des espaces cultivé</w:t>
            </w:r>
            <w:r w:rsidR="007274D8" w:rsidRPr="004D1BD0">
              <w:rPr>
                <w:rFonts w:ascii="Times New Roman" w:hAnsi="Times New Roman"/>
                <w:b/>
                <w:color w:val="000000"/>
                <w:szCs w:val="22"/>
              </w:rPr>
              <w:t>e</w:t>
            </w:r>
            <w:r w:rsidR="0021317C" w:rsidRPr="004D1BD0">
              <w:rPr>
                <w:rFonts w:ascii="Times New Roman" w:hAnsi="Times New Roman"/>
                <w:b/>
                <w:color w:val="000000"/>
                <w:szCs w:val="22"/>
              </w:rPr>
              <w:t>s</w:t>
            </w:r>
            <w:r w:rsidRPr="004D1BD0">
              <w:rPr>
                <w:rFonts w:ascii="Times New Roman" w:hAnsi="Times New Roman"/>
                <w:b/>
                <w:color w:val="000000"/>
                <w:szCs w:val="22"/>
              </w:rPr>
              <w:t>.</w:t>
            </w:r>
          </w:p>
          <w:p w:rsidR="008959F1" w:rsidRPr="004D1BD0" w:rsidRDefault="008959F1" w:rsidP="00157035">
            <w:pPr>
              <w:pStyle w:val="PargrafodaLista"/>
              <w:numPr>
                <w:ilvl w:val="0"/>
                <w:numId w:val="51"/>
              </w:numPr>
              <w:spacing w:after="0" w:line="240" w:lineRule="auto"/>
              <w:ind w:left="17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Aspect sécuritaire </w:t>
            </w:r>
            <w:r w:rsidR="007274D8" w:rsidRPr="004D1BD0">
              <w:rPr>
                <w:rFonts w:ascii="Times New Roman" w:hAnsi="Times New Roman"/>
                <w:b/>
                <w:color w:val="000000"/>
                <w:szCs w:val="22"/>
              </w:rPr>
              <w:t xml:space="preserve">et sanitaire dans </w:t>
            </w:r>
            <w:r w:rsidR="00EB7917" w:rsidRPr="004D1BD0">
              <w:rPr>
                <w:rFonts w:ascii="Times New Roman" w:hAnsi="Times New Roman"/>
                <w:b/>
                <w:color w:val="000000"/>
                <w:szCs w:val="22"/>
              </w:rPr>
              <w:t>les différentes zones</w:t>
            </w:r>
            <w:r w:rsidR="007274D8" w:rsidRPr="004D1BD0">
              <w:rPr>
                <w:rFonts w:ascii="Times New Roman" w:hAnsi="Times New Roman"/>
                <w:b/>
                <w:color w:val="000000"/>
                <w:szCs w:val="22"/>
              </w:rPr>
              <w:t xml:space="preserve"> d’intervention </w:t>
            </w:r>
            <w:r w:rsidRPr="004D1BD0">
              <w:rPr>
                <w:rFonts w:ascii="Times New Roman" w:hAnsi="Times New Roman"/>
                <w:b/>
                <w:color w:val="000000"/>
                <w:szCs w:val="22"/>
              </w:rPr>
              <w:t>du projet</w:t>
            </w:r>
          </w:p>
          <w:p w:rsidR="007802D8" w:rsidRPr="008371D1" w:rsidRDefault="001D4337"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8371D1">
              <w:rPr>
                <w:color w:val="000000"/>
                <w:sz w:val="20"/>
                <w:szCs w:val="20"/>
              </w:rPr>
              <w:t>-</w:t>
            </w:r>
            <w:r w:rsidR="008959F1" w:rsidRPr="008371D1">
              <w:rPr>
                <w:color w:val="000000"/>
                <w:sz w:val="20"/>
                <w:szCs w:val="20"/>
              </w:rPr>
              <w:t>Les respects des normes sanitaires, d’hygiène, et sécuritaire</w:t>
            </w:r>
            <w:r w:rsidR="001C5593" w:rsidRPr="008371D1">
              <w:rPr>
                <w:color w:val="000000"/>
                <w:sz w:val="20"/>
                <w:szCs w:val="20"/>
              </w:rPr>
              <w:t xml:space="preserve"> par rapport à l’utilisation des pesticides</w:t>
            </w:r>
            <w:r w:rsidR="007802D8" w:rsidRPr="008371D1">
              <w:rPr>
                <w:color w:val="000000"/>
                <w:sz w:val="20"/>
                <w:szCs w:val="20"/>
              </w:rPr>
              <w:t> ;</w:t>
            </w:r>
          </w:p>
          <w:p w:rsidR="00473743" w:rsidRPr="008371D1" w:rsidRDefault="001D4337"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8371D1">
              <w:rPr>
                <w:color w:val="000000"/>
                <w:sz w:val="20"/>
                <w:szCs w:val="20"/>
              </w:rPr>
              <w:t>-</w:t>
            </w:r>
            <w:r w:rsidR="007802D8" w:rsidRPr="008371D1">
              <w:rPr>
                <w:color w:val="000000"/>
                <w:sz w:val="20"/>
                <w:szCs w:val="20"/>
              </w:rPr>
              <w:t>Les maladies d’origine hydrique sont responsables d’environ 9 pour cent des décès et de presque 50 pour cent de la mortalité infantile. Ces chiffres sont dus aux conditions sanitaires et à l’utilisation des eaux de surface pour la boisson.</w:t>
            </w:r>
          </w:p>
          <w:p w:rsidR="00473743" w:rsidRPr="008371D1" w:rsidRDefault="001D4337"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rPr>
              <w:t>-</w:t>
            </w:r>
            <w:r w:rsidR="00473743" w:rsidRPr="008371D1">
              <w:rPr>
                <w:color w:val="000000"/>
                <w:sz w:val="20"/>
                <w:szCs w:val="20"/>
              </w:rPr>
              <w:t xml:space="preserve">Découragement de la population à cause </w:t>
            </w:r>
            <w:r w:rsidR="005F570E" w:rsidRPr="008371D1">
              <w:rPr>
                <w:color w:val="000000"/>
                <w:sz w:val="20"/>
                <w:szCs w:val="20"/>
              </w:rPr>
              <w:t xml:space="preserve">des </w:t>
            </w:r>
            <w:r w:rsidR="00E65679" w:rsidRPr="008371D1">
              <w:rPr>
                <w:color w:val="000000"/>
                <w:sz w:val="20"/>
                <w:szCs w:val="20"/>
              </w:rPr>
              <w:t>inondations</w:t>
            </w:r>
            <w:r w:rsidR="005F570E" w:rsidRPr="008371D1">
              <w:rPr>
                <w:color w:val="000000"/>
                <w:sz w:val="20"/>
                <w:szCs w:val="20"/>
              </w:rPr>
              <w:t xml:space="preserve"> ou de </w:t>
            </w:r>
            <w:r w:rsidR="00E65679" w:rsidRPr="008371D1">
              <w:rPr>
                <w:color w:val="000000"/>
                <w:sz w:val="20"/>
                <w:szCs w:val="20"/>
              </w:rPr>
              <w:t>la salinisation</w:t>
            </w:r>
            <w:r w:rsidR="00473743" w:rsidRPr="008371D1">
              <w:rPr>
                <w:color w:val="000000"/>
                <w:sz w:val="20"/>
                <w:szCs w:val="20"/>
              </w:rPr>
              <w:t xml:space="preserve"> des terres rizicoles </w:t>
            </w:r>
            <w:r w:rsidR="005F570E" w:rsidRPr="008371D1">
              <w:rPr>
                <w:color w:val="000000"/>
                <w:sz w:val="20"/>
                <w:szCs w:val="20"/>
              </w:rPr>
              <w:t>dans</w:t>
            </w:r>
            <w:r w:rsidR="00E65679" w:rsidRPr="008371D1">
              <w:rPr>
                <w:color w:val="000000"/>
                <w:sz w:val="20"/>
                <w:szCs w:val="20"/>
              </w:rPr>
              <w:t xml:space="preserve"> l’intérieur du pays</w:t>
            </w:r>
            <w:r w:rsidR="005F570E" w:rsidRPr="008371D1">
              <w:rPr>
                <w:color w:val="000000"/>
                <w:sz w:val="20"/>
                <w:szCs w:val="20"/>
              </w:rPr>
              <w:t xml:space="preserve"> </w:t>
            </w:r>
            <w:r w:rsidR="00E65679" w:rsidRPr="008371D1">
              <w:rPr>
                <w:color w:val="000000"/>
                <w:sz w:val="20"/>
                <w:szCs w:val="20"/>
              </w:rPr>
              <w:t>(Tomboli, Gabu, Quinara, etc.) ;</w:t>
            </w:r>
          </w:p>
          <w:p w:rsidR="006763EA" w:rsidRPr="008371D1" w:rsidRDefault="001D4337" w:rsidP="008371D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6763EA" w:rsidRPr="008371D1">
              <w:rPr>
                <w:color w:val="000000"/>
                <w:sz w:val="20"/>
                <w:szCs w:val="20"/>
              </w:rPr>
              <w:t>Risque de discrimination des femmes pourrait être noter avec la situation du pays ;</w:t>
            </w:r>
          </w:p>
          <w:p w:rsidR="00E04B7D" w:rsidRPr="008371D1" w:rsidRDefault="00187EBE" w:rsidP="00157035">
            <w:pPr>
              <w:pStyle w:val="PargrafodaLista"/>
              <w:numPr>
                <w:ilvl w:val="0"/>
                <w:numId w:val="51"/>
              </w:numPr>
              <w:ind w:left="170" w:hanging="142"/>
              <w:jc w:val="both"/>
              <w:cnfStyle w:val="000000000000" w:firstRow="0" w:lastRow="0" w:firstColumn="0" w:lastColumn="0" w:oddVBand="0" w:evenVBand="0" w:oddHBand="0" w:evenHBand="0" w:firstRowFirstColumn="0" w:firstRowLastColumn="0" w:lastRowFirstColumn="0" w:lastRowLastColumn="0"/>
              <w:rPr>
                <w:b/>
                <w:color w:val="000000"/>
                <w:szCs w:val="22"/>
              </w:rPr>
            </w:pPr>
            <w:r w:rsidRPr="004D1BD0">
              <w:rPr>
                <w:rFonts w:ascii="Times New Roman" w:hAnsi="Times New Roman"/>
                <w:b/>
                <w:color w:val="000000"/>
                <w:szCs w:val="22"/>
              </w:rPr>
              <w:t>Augmentation des difficultés des éleveurs</w:t>
            </w:r>
            <w:r>
              <w:rPr>
                <w:rFonts w:ascii="Times New Roman" w:hAnsi="Times New Roman"/>
                <w:b/>
                <w:color w:val="000000"/>
                <w:szCs w:val="22"/>
              </w:rPr>
              <w:t xml:space="preserve"> par rapport à la </w:t>
            </w:r>
            <w:r w:rsidR="004C4208">
              <w:rPr>
                <w:rFonts w:ascii="Times New Roman" w:hAnsi="Times New Roman"/>
                <w:b/>
                <w:color w:val="000000"/>
                <w:szCs w:val="22"/>
              </w:rPr>
              <w:t>santé</w:t>
            </w:r>
            <w:r>
              <w:rPr>
                <w:rFonts w:ascii="Times New Roman" w:hAnsi="Times New Roman"/>
                <w:b/>
                <w:color w:val="000000"/>
                <w:szCs w:val="22"/>
              </w:rPr>
              <w:t xml:space="preserve"> des animaux </w:t>
            </w:r>
            <w:r w:rsidR="002664E1">
              <w:rPr>
                <w:rFonts w:ascii="Times New Roman" w:hAnsi="Times New Roman"/>
                <w:b/>
                <w:color w:val="000000"/>
                <w:szCs w:val="22"/>
              </w:rPr>
              <w:t>(</w:t>
            </w:r>
            <w:r w:rsidR="002664E1" w:rsidRPr="002664E1">
              <w:rPr>
                <w:b/>
                <w:color w:val="000000"/>
                <w:szCs w:val="22"/>
              </w:rPr>
              <w:t>notamment</w:t>
            </w:r>
            <w:r w:rsidR="002664E1">
              <w:rPr>
                <w:b/>
                <w:color w:val="000000"/>
                <w:szCs w:val="22"/>
              </w:rPr>
              <w:t xml:space="preserve"> </w:t>
            </w:r>
            <w:r w:rsidR="002664E1" w:rsidRPr="008371D1">
              <w:rPr>
                <w:rFonts w:ascii="Times New Roman" w:hAnsi="Times New Roman"/>
                <w:b/>
                <w:color w:val="000000"/>
                <w:szCs w:val="22"/>
              </w:rPr>
              <w:t xml:space="preserve">la vaccination, la </w:t>
            </w:r>
            <w:r w:rsidR="002664E1" w:rsidRPr="002664E1">
              <w:rPr>
                <w:rFonts w:ascii="Times New Roman" w:hAnsi="Times New Roman"/>
                <w:b/>
                <w:color w:val="000000"/>
                <w:szCs w:val="22"/>
              </w:rPr>
              <w:t>vermification</w:t>
            </w:r>
            <w:r w:rsidR="002664E1">
              <w:rPr>
                <w:rFonts w:ascii="Times New Roman" w:hAnsi="Times New Roman"/>
                <w:b/>
                <w:color w:val="000000"/>
                <w:szCs w:val="22"/>
              </w:rPr>
              <w:t>)</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 xml:space="preserve">Risque de développement de </w:t>
            </w:r>
            <w:r w:rsidR="003A0620" w:rsidRPr="008371D1">
              <w:rPr>
                <w:color w:val="000000"/>
                <w:sz w:val="20"/>
                <w:szCs w:val="20"/>
              </w:rPr>
              <w:t xml:space="preserve">maladies parasitoses chez les animaux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Risque d’exposition à des agents pathogènes contenus dans les déchets organiques et autres zoonoses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w:t>
            </w:r>
            <w:r w:rsidR="00104F51" w:rsidRPr="008371D1">
              <w:rPr>
                <w:color w:val="000000"/>
                <w:sz w:val="20"/>
                <w:szCs w:val="20"/>
              </w:rPr>
              <w:t>Augmentation de la pression sur les parcours naturels (surpâturage)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 xml:space="preserve">Les problèmes d’interdiction d’accès aux puits ou mares ;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Risque de blessure des animaux s’abreuvant au niveau des mares ;</w:t>
            </w:r>
          </w:p>
          <w:p w:rsidR="00104F51" w:rsidRPr="008371D1" w:rsidRDefault="008822CA" w:rsidP="008371D1">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r w:rsidR="00104F51" w:rsidRPr="008371D1">
              <w:rPr>
                <w:color w:val="000000"/>
                <w:sz w:val="20"/>
                <w:szCs w:val="20"/>
              </w:rPr>
              <w:t>Amélioration contre le vol de bétail et au banditisme</w:t>
            </w:r>
          </w:p>
          <w:p w:rsidR="00473743" w:rsidRPr="004D1BD0" w:rsidRDefault="008822CA" w:rsidP="008371D1">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 w:val="20"/>
                <w:szCs w:val="20"/>
              </w:rPr>
              <w:t>-</w:t>
            </w:r>
            <w:r w:rsidR="00104F51" w:rsidRPr="008371D1">
              <w:rPr>
                <w:color w:val="000000"/>
                <w:sz w:val="20"/>
                <w:szCs w:val="20"/>
              </w:rPr>
              <w:t>Réduction des problèmes d'accès à l'eau pour l’abreuvage du bétail</w:t>
            </w:r>
          </w:p>
        </w:tc>
        <w:tc>
          <w:tcPr>
            <w:tcW w:w="3845" w:type="dxa"/>
            <w:vAlign w:val="center"/>
          </w:tcPr>
          <w:p w:rsidR="00980057" w:rsidRPr="00A05698" w:rsidRDefault="00980057"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05698">
              <w:rPr>
                <w:rFonts w:ascii="Times New Roman" w:hAnsi="Times New Roman"/>
                <w:color w:val="000000"/>
              </w:rPr>
              <w:lastRenderedPageBreak/>
              <w:t>Coûts élevés de production dans certaines filières ;</w:t>
            </w:r>
          </w:p>
          <w:p w:rsidR="00327103" w:rsidRPr="00A05698" w:rsidRDefault="00327103" w:rsidP="00010BAB">
            <w:pPr>
              <w:contextualSpacing/>
              <w:cnfStyle w:val="000000000000" w:firstRow="0" w:lastRow="0" w:firstColumn="0" w:lastColumn="0" w:oddVBand="0" w:evenVBand="0" w:oddHBand="0" w:evenHBand="0" w:firstRowFirstColumn="0" w:firstRowLastColumn="0" w:lastRowFirstColumn="0" w:lastRowLastColumn="0"/>
              <w:rPr>
                <w:rFonts w:eastAsia="Calibri"/>
                <w:iCs/>
                <w:color w:val="000000"/>
                <w:sz w:val="20"/>
                <w:szCs w:val="20"/>
              </w:rPr>
            </w:pPr>
            <w:r w:rsidRPr="00A05698">
              <w:rPr>
                <w:rFonts w:eastAsia="Calibri"/>
                <w:iCs/>
                <w:color w:val="000000"/>
                <w:sz w:val="20"/>
                <w:szCs w:val="20"/>
              </w:rPr>
              <w:t>-Liés aux facteurs de production (eau, motopompe, gasoil, etc.)</w:t>
            </w:r>
          </w:p>
          <w:p w:rsidR="00327103" w:rsidRPr="00A05698" w:rsidRDefault="00327103" w:rsidP="00010BAB">
            <w:pPr>
              <w:contextualSpacing/>
              <w:cnfStyle w:val="000000000000" w:firstRow="0" w:lastRow="0" w:firstColumn="0" w:lastColumn="0" w:oddVBand="0" w:evenVBand="0" w:oddHBand="0" w:evenHBand="0" w:firstRowFirstColumn="0" w:firstRowLastColumn="0" w:lastRowFirstColumn="0" w:lastRowLastColumn="0"/>
              <w:rPr>
                <w:rFonts w:eastAsia="Calibri"/>
                <w:iCs/>
                <w:color w:val="000000"/>
                <w:sz w:val="20"/>
                <w:szCs w:val="20"/>
              </w:rPr>
            </w:pPr>
            <w:r w:rsidRPr="00A05698">
              <w:rPr>
                <w:rFonts w:eastAsia="Calibri"/>
                <w:iCs/>
                <w:color w:val="000000"/>
                <w:sz w:val="20"/>
                <w:szCs w:val="20"/>
              </w:rPr>
              <w:t xml:space="preserve">-Lies aux prix d’achat des intrants par la population </w:t>
            </w:r>
          </w:p>
          <w:p w:rsidR="00327103" w:rsidRPr="00A05698" w:rsidRDefault="00327103" w:rsidP="00010BAB">
            <w:pPr>
              <w:contextualSpacing/>
              <w:cnfStyle w:val="000000000000" w:firstRow="0" w:lastRow="0" w:firstColumn="0" w:lastColumn="0" w:oddVBand="0" w:evenVBand="0" w:oddHBand="0" w:evenHBand="0" w:firstRowFirstColumn="0" w:firstRowLastColumn="0" w:lastRowFirstColumn="0" w:lastRowLastColumn="0"/>
              <w:rPr>
                <w:rFonts w:eastAsia="Calibri"/>
                <w:iCs/>
                <w:color w:val="000000"/>
                <w:sz w:val="20"/>
                <w:szCs w:val="20"/>
              </w:rPr>
            </w:pPr>
            <w:r w:rsidRPr="00A05698">
              <w:rPr>
                <w:rFonts w:eastAsia="Calibri"/>
                <w:iCs/>
                <w:color w:val="000000"/>
                <w:sz w:val="20"/>
                <w:szCs w:val="20"/>
              </w:rPr>
              <w:t>-Les délais de payement des prêts des agriculteurs trop peut.</w:t>
            </w:r>
          </w:p>
          <w:p w:rsidR="00980057" w:rsidRPr="004D1BD0" w:rsidRDefault="00980057" w:rsidP="00010BAB">
            <w:pPr>
              <w:cnfStyle w:val="000000000000" w:firstRow="0" w:lastRow="0" w:firstColumn="0" w:lastColumn="0" w:oddVBand="0" w:evenVBand="0" w:oddHBand="0" w:evenHBand="0" w:firstRowFirstColumn="0" w:firstRowLastColumn="0" w:lastRowFirstColumn="0" w:lastRowLastColumn="0"/>
              <w:rPr>
                <w:b/>
                <w:color w:val="000000"/>
                <w:szCs w:val="22"/>
              </w:rPr>
            </w:pP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Commercialisation des produits</w:t>
            </w:r>
            <w:r w:rsidR="00E27C49" w:rsidRPr="004D1BD0">
              <w:rPr>
                <w:rFonts w:ascii="Times New Roman" w:hAnsi="Times New Roman"/>
                <w:b/>
                <w:color w:val="000000"/>
                <w:szCs w:val="22"/>
              </w:rPr>
              <w:t xml:space="preserve"> </w:t>
            </w:r>
            <w:r w:rsidR="00C92C17" w:rsidRPr="004D1BD0">
              <w:rPr>
                <w:rFonts w:ascii="Times New Roman" w:hAnsi="Times New Roman"/>
                <w:b/>
                <w:color w:val="000000"/>
                <w:szCs w:val="22"/>
              </w:rPr>
              <w:t>agricole</w:t>
            </w:r>
            <w:r w:rsidR="006961C9" w:rsidRPr="004D1BD0">
              <w:rPr>
                <w:rFonts w:ascii="Times New Roman" w:hAnsi="Times New Roman"/>
                <w:b/>
                <w:color w:val="000000"/>
                <w:szCs w:val="22"/>
              </w:rPr>
              <w:t>s</w:t>
            </w:r>
          </w:p>
          <w:p w:rsidR="008959F1" w:rsidRPr="004D1BD0" w:rsidRDefault="00FC7F19"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rPr>
            </w:pPr>
            <w:r w:rsidRPr="004D1BD0">
              <w:rPr>
                <w:rFonts w:ascii="Times New Roman" w:hAnsi="Times New Roman"/>
                <w:color w:val="000000"/>
                <w:szCs w:val="22"/>
              </w:rPr>
              <w:t xml:space="preserve">- </w:t>
            </w:r>
            <w:r w:rsidR="008959F1" w:rsidRPr="004D1BD0">
              <w:rPr>
                <w:rFonts w:ascii="Times New Roman" w:hAnsi="Times New Roman"/>
                <w:color w:val="000000"/>
                <w:szCs w:val="22"/>
              </w:rPr>
              <w:t>Les marchés</w:t>
            </w:r>
            <w:r w:rsidR="006961C9" w:rsidRPr="004D1BD0">
              <w:rPr>
                <w:rFonts w:ascii="Times New Roman" w:hAnsi="Times New Roman"/>
                <w:color w:val="000000"/>
                <w:szCs w:val="22"/>
              </w:rPr>
              <w:t xml:space="preserve"> nationales et internationale</w:t>
            </w:r>
            <w:r w:rsidR="008959F1" w:rsidRPr="004D1BD0">
              <w:rPr>
                <w:rFonts w:ascii="Times New Roman" w:hAnsi="Times New Roman"/>
                <w:color w:val="000000"/>
                <w:szCs w:val="22"/>
              </w:rPr>
              <w:t xml:space="preserve"> ne semblent pas être maîtrisés au moins pour certaines filières </w:t>
            </w:r>
            <w:r w:rsidR="006961C9" w:rsidRPr="004D1BD0">
              <w:rPr>
                <w:rFonts w:ascii="Times New Roman" w:hAnsi="Times New Roman"/>
                <w:color w:val="000000"/>
                <w:szCs w:val="22"/>
              </w:rPr>
              <w:t xml:space="preserve">par les producteurs et </w:t>
            </w:r>
            <w:r w:rsidR="008E2DFA" w:rsidRPr="004D1BD0">
              <w:rPr>
                <w:rFonts w:ascii="Times New Roman" w:hAnsi="Times New Roman"/>
                <w:color w:val="000000"/>
                <w:szCs w:val="22"/>
              </w:rPr>
              <w:t xml:space="preserve">commerçants surtout </w:t>
            </w:r>
            <w:r w:rsidR="00F22341" w:rsidRPr="004D1BD0">
              <w:rPr>
                <w:rFonts w:ascii="Times New Roman" w:hAnsi="Times New Roman"/>
                <w:color w:val="000000"/>
                <w:szCs w:val="22"/>
              </w:rPr>
              <w:t xml:space="preserve">pour </w:t>
            </w:r>
            <w:r w:rsidR="008E2DFA" w:rsidRPr="004D1BD0">
              <w:rPr>
                <w:rFonts w:ascii="Times New Roman" w:hAnsi="Times New Roman"/>
                <w:color w:val="000000"/>
                <w:szCs w:val="22"/>
              </w:rPr>
              <w:t xml:space="preserve">le secteur </w:t>
            </w:r>
            <w:r w:rsidR="00F22341" w:rsidRPr="004D1BD0">
              <w:rPr>
                <w:rFonts w:ascii="Times New Roman" w:hAnsi="Times New Roman"/>
                <w:color w:val="000000"/>
                <w:szCs w:val="22"/>
              </w:rPr>
              <w:t>de la noix</w:t>
            </w:r>
            <w:r w:rsidR="008E2DFA" w:rsidRPr="004D1BD0">
              <w:rPr>
                <w:rFonts w:ascii="Times New Roman" w:hAnsi="Times New Roman"/>
                <w:color w:val="000000"/>
                <w:szCs w:val="22"/>
              </w:rPr>
              <w:t xml:space="preserve"> de cajou </w:t>
            </w:r>
            <w:r w:rsidR="00F22341" w:rsidRPr="004D1BD0">
              <w:rPr>
                <w:rFonts w:ascii="Times New Roman" w:hAnsi="Times New Roman"/>
                <w:color w:val="000000"/>
                <w:szCs w:val="22"/>
              </w:rPr>
              <w:t>avec l’existence de la pandémie C</w:t>
            </w:r>
            <w:r w:rsidRPr="004D1BD0">
              <w:rPr>
                <w:rFonts w:ascii="Times New Roman" w:hAnsi="Times New Roman"/>
                <w:color w:val="000000"/>
                <w:szCs w:val="22"/>
              </w:rPr>
              <w:t>ovid 19 ;</w:t>
            </w:r>
          </w:p>
          <w:p w:rsidR="008959F1" w:rsidRPr="004D1BD0" w:rsidRDefault="00FC7F19"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rPr>
            </w:pPr>
            <w:r w:rsidRPr="004D1BD0">
              <w:rPr>
                <w:rFonts w:ascii="Times New Roman" w:hAnsi="Times New Roman"/>
                <w:color w:val="000000"/>
                <w:szCs w:val="22"/>
              </w:rPr>
              <w:t xml:space="preserve">- </w:t>
            </w:r>
            <w:r w:rsidR="008959F1" w:rsidRPr="004D1BD0">
              <w:rPr>
                <w:rFonts w:ascii="Times New Roman" w:hAnsi="Times New Roman"/>
                <w:color w:val="000000"/>
                <w:szCs w:val="22"/>
              </w:rPr>
              <w:t>Les problèmes et difficultés d’accès au</w:t>
            </w:r>
            <w:r w:rsidRPr="004D1BD0">
              <w:rPr>
                <w:rFonts w:ascii="Times New Roman" w:hAnsi="Times New Roman"/>
                <w:color w:val="000000"/>
                <w:szCs w:val="22"/>
              </w:rPr>
              <w:t>x</w:t>
            </w:r>
            <w:r w:rsidR="008959F1" w:rsidRPr="004D1BD0">
              <w:rPr>
                <w:rFonts w:ascii="Times New Roman" w:hAnsi="Times New Roman"/>
                <w:color w:val="000000"/>
                <w:szCs w:val="22"/>
              </w:rPr>
              <w:t xml:space="preserve"> marché</w:t>
            </w:r>
            <w:r w:rsidRPr="004D1BD0">
              <w:rPr>
                <w:rFonts w:ascii="Times New Roman" w:hAnsi="Times New Roman"/>
                <w:color w:val="000000"/>
                <w:szCs w:val="22"/>
              </w:rPr>
              <w:t>s</w:t>
            </w:r>
            <w:r w:rsidR="008959F1" w:rsidRPr="004D1BD0">
              <w:rPr>
                <w:rFonts w:ascii="Times New Roman" w:hAnsi="Times New Roman"/>
                <w:color w:val="000000"/>
                <w:szCs w:val="22"/>
              </w:rPr>
              <w:t> </w:t>
            </w:r>
            <w:r w:rsidRPr="004D1BD0">
              <w:rPr>
                <w:rFonts w:ascii="Times New Roman" w:hAnsi="Times New Roman"/>
                <w:color w:val="000000"/>
                <w:szCs w:val="22"/>
              </w:rPr>
              <w:t xml:space="preserve">locales </w:t>
            </w:r>
            <w:r w:rsidR="00090315" w:rsidRPr="004D1BD0">
              <w:rPr>
                <w:rFonts w:ascii="Times New Roman" w:hAnsi="Times New Roman"/>
                <w:color w:val="000000"/>
                <w:szCs w:val="22"/>
              </w:rPr>
              <w:t>ou sous régionale pa</w:t>
            </w:r>
            <w:r w:rsidR="005E393E" w:rsidRPr="004D1BD0">
              <w:rPr>
                <w:rFonts w:ascii="Times New Roman" w:hAnsi="Times New Roman"/>
                <w:color w:val="000000"/>
                <w:szCs w:val="22"/>
              </w:rPr>
              <w:t xml:space="preserve">r les producteurs </w:t>
            </w:r>
            <w:r w:rsidR="00090315" w:rsidRPr="004D1BD0">
              <w:rPr>
                <w:rFonts w:ascii="Times New Roman" w:hAnsi="Times New Roman"/>
                <w:color w:val="000000"/>
                <w:szCs w:val="22"/>
              </w:rPr>
              <w:t xml:space="preserve">pour écouler leurs produits </w:t>
            </w:r>
            <w:r w:rsidR="00AF79EB" w:rsidRPr="004D1BD0">
              <w:rPr>
                <w:rFonts w:ascii="Times New Roman" w:hAnsi="Times New Roman"/>
                <w:color w:val="000000"/>
                <w:szCs w:val="22"/>
              </w:rPr>
              <w:t>agricoles ;</w:t>
            </w:r>
            <w:r w:rsidR="008959F1" w:rsidRPr="004D1BD0">
              <w:rPr>
                <w:rFonts w:ascii="Times New Roman" w:hAnsi="Times New Roman"/>
                <w:color w:val="000000"/>
                <w:szCs w:val="22"/>
              </w:rPr>
              <w:t xml:space="preserve"> </w:t>
            </w:r>
          </w:p>
          <w:p w:rsidR="008C2CE0" w:rsidRPr="004D1BD0" w:rsidRDefault="008C2CE0"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rPr>
            </w:pP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La qualit</w:t>
            </w:r>
            <w:r w:rsidR="004D3811" w:rsidRPr="004D1BD0">
              <w:rPr>
                <w:rFonts w:ascii="Times New Roman" w:hAnsi="Times New Roman"/>
                <w:b/>
                <w:color w:val="000000"/>
                <w:szCs w:val="22"/>
              </w:rPr>
              <w:t>é de</w:t>
            </w:r>
            <w:r w:rsidRPr="004D1BD0">
              <w:rPr>
                <w:rFonts w:ascii="Times New Roman" w:hAnsi="Times New Roman"/>
                <w:b/>
                <w:color w:val="000000"/>
                <w:szCs w:val="22"/>
              </w:rPr>
              <w:t xml:space="preserve"> transformations des produits </w:t>
            </w:r>
            <w:r w:rsidR="00AF79EB" w:rsidRPr="004D1BD0">
              <w:rPr>
                <w:rFonts w:ascii="Times New Roman" w:hAnsi="Times New Roman"/>
                <w:b/>
                <w:color w:val="000000"/>
                <w:szCs w:val="22"/>
              </w:rPr>
              <w:t xml:space="preserve">agricoles </w:t>
            </w:r>
            <w:r w:rsidR="006F7D7C" w:rsidRPr="004D1BD0">
              <w:rPr>
                <w:rFonts w:ascii="Times New Roman" w:hAnsi="Times New Roman"/>
                <w:b/>
                <w:color w:val="000000"/>
                <w:szCs w:val="22"/>
              </w:rPr>
              <w:t xml:space="preserve">par les associations, GIE ou </w:t>
            </w:r>
            <w:r w:rsidR="00980057" w:rsidRPr="004D1BD0">
              <w:rPr>
                <w:rFonts w:ascii="Times New Roman" w:hAnsi="Times New Roman"/>
                <w:b/>
                <w:color w:val="000000"/>
                <w:szCs w:val="22"/>
              </w:rPr>
              <w:t xml:space="preserve">fédérations </w:t>
            </w:r>
            <w:r w:rsidR="00AF79EB" w:rsidRPr="004D1BD0">
              <w:rPr>
                <w:rFonts w:ascii="Times New Roman" w:hAnsi="Times New Roman"/>
                <w:b/>
                <w:color w:val="000000"/>
                <w:szCs w:val="22"/>
              </w:rPr>
              <w:t>pour la</w:t>
            </w:r>
            <w:r w:rsidRPr="004D1BD0">
              <w:rPr>
                <w:rFonts w:ascii="Times New Roman" w:hAnsi="Times New Roman"/>
                <w:b/>
                <w:color w:val="000000"/>
                <w:szCs w:val="22"/>
              </w:rPr>
              <w:t xml:space="preserve"> commercialisation (nationale et/ou internationale) qui répondent aux normes et conditions sanitaires requises </w:t>
            </w:r>
            <w:r w:rsidR="004D3811" w:rsidRPr="004D1BD0">
              <w:rPr>
                <w:rFonts w:ascii="Times New Roman" w:hAnsi="Times New Roman"/>
                <w:b/>
                <w:color w:val="000000"/>
                <w:szCs w:val="22"/>
              </w:rPr>
              <w:t>pour concurrencer les produits importés ;</w:t>
            </w:r>
          </w:p>
          <w:p w:rsidR="008959F1" w:rsidRPr="004D1BD0" w:rsidRDefault="008959F1" w:rsidP="00010BAB">
            <w:pPr>
              <w:pStyle w:val="PargrafodaLista"/>
              <w:spacing w:line="240" w:lineRule="auto"/>
              <w:ind w:left="32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8959F1" w:rsidRPr="004D1BD0" w:rsidRDefault="00AF79EB"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Exploitation des </w:t>
            </w:r>
            <w:r w:rsidR="00B27D18" w:rsidRPr="004D1BD0">
              <w:rPr>
                <w:rFonts w:ascii="Times New Roman" w:hAnsi="Times New Roman"/>
                <w:b/>
                <w:color w:val="000000"/>
                <w:szCs w:val="22"/>
              </w:rPr>
              <w:t>périmètres</w:t>
            </w:r>
            <w:r w:rsidRPr="004D1BD0">
              <w:rPr>
                <w:rFonts w:ascii="Times New Roman" w:hAnsi="Times New Roman"/>
                <w:b/>
                <w:color w:val="000000"/>
                <w:szCs w:val="22"/>
              </w:rPr>
              <w:t xml:space="preserve"> maraichers </w:t>
            </w:r>
            <w:r w:rsidR="008959F1" w:rsidRPr="004D1BD0">
              <w:rPr>
                <w:rFonts w:ascii="Times New Roman" w:hAnsi="Times New Roman"/>
                <w:b/>
                <w:color w:val="000000"/>
                <w:szCs w:val="22"/>
              </w:rPr>
              <w:t>pourraient constituer un en</w:t>
            </w:r>
            <w:r w:rsidR="00EA366C" w:rsidRPr="004D1BD0">
              <w:rPr>
                <w:rFonts w:ascii="Times New Roman" w:hAnsi="Times New Roman"/>
                <w:b/>
                <w:color w:val="000000"/>
                <w:szCs w:val="22"/>
              </w:rPr>
              <w:t>jeu majeur pour ces jeunes des</w:t>
            </w:r>
            <w:r w:rsidR="008959F1" w:rsidRPr="004D1BD0">
              <w:rPr>
                <w:rFonts w:ascii="Times New Roman" w:hAnsi="Times New Roman"/>
                <w:b/>
                <w:color w:val="000000"/>
                <w:szCs w:val="22"/>
              </w:rPr>
              <w:t xml:space="preserve"> localité</w:t>
            </w:r>
            <w:r w:rsidR="00EA366C" w:rsidRPr="004D1BD0">
              <w:rPr>
                <w:rFonts w:ascii="Times New Roman" w:hAnsi="Times New Roman"/>
                <w:b/>
                <w:color w:val="000000"/>
                <w:szCs w:val="22"/>
              </w:rPr>
              <w:t>s</w:t>
            </w:r>
            <w:r w:rsidR="00D802F0" w:rsidRPr="004D1BD0">
              <w:rPr>
                <w:rFonts w:ascii="Times New Roman" w:hAnsi="Times New Roman"/>
                <w:b/>
                <w:color w:val="000000"/>
                <w:szCs w:val="22"/>
              </w:rPr>
              <w:t xml:space="preserve"> concernées</w:t>
            </w:r>
            <w:r w:rsidR="008959F1" w:rsidRPr="004D1BD0">
              <w:rPr>
                <w:rFonts w:ascii="Times New Roman" w:hAnsi="Times New Roman"/>
                <w:b/>
                <w:color w:val="000000"/>
                <w:szCs w:val="22"/>
              </w:rPr>
              <w:t xml:space="preserve"> en ce qu’il peut </w:t>
            </w:r>
            <w:r w:rsidR="008959F1" w:rsidRPr="004D1BD0">
              <w:rPr>
                <w:rFonts w:ascii="Times New Roman" w:hAnsi="Times New Roman"/>
                <w:b/>
                <w:color w:val="000000"/>
                <w:szCs w:val="22"/>
              </w:rPr>
              <w:lastRenderedPageBreak/>
              <w:t>offrir des emplois directs et permanents ;</w:t>
            </w:r>
          </w:p>
          <w:p w:rsidR="008959F1" w:rsidRPr="004D1BD0" w:rsidRDefault="008959F1" w:rsidP="00010BAB">
            <w:pPr>
              <w:pStyle w:val="PargrafodaLista"/>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Développement de l</w:t>
            </w:r>
            <w:r w:rsidR="00A05714" w:rsidRPr="004D1BD0">
              <w:rPr>
                <w:rFonts w:ascii="Times New Roman" w:hAnsi="Times New Roman"/>
                <w:b/>
                <w:color w:val="000000"/>
                <w:szCs w:val="22"/>
              </w:rPr>
              <w:t>’</w:t>
            </w:r>
            <w:r w:rsidRPr="004D1BD0">
              <w:rPr>
                <w:rFonts w:ascii="Times New Roman" w:hAnsi="Times New Roman"/>
                <w:b/>
                <w:color w:val="000000"/>
                <w:szCs w:val="22"/>
              </w:rPr>
              <w:t>entreprenariat rural dans le domaine des PME-PMI ;</w:t>
            </w:r>
          </w:p>
          <w:p w:rsidR="00D92271" w:rsidRPr="004D1BD0" w:rsidRDefault="00D92271" w:rsidP="00010BAB">
            <w:pPr>
              <w:cnfStyle w:val="000000000000" w:firstRow="0" w:lastRow="0" w:firstColumn="0" w:lastColumn="0" w:oddVBand="0" w:evenVBand="0" w:oddHBand="0" w:evenHBand="0" w:firstRowFirstColumn="0" w:firstRowLastColumn="0" w:lastRowFirstColumn="0" w:lastRowLastColumn="0"/>
              <w:rPr>
                <w:b/>
                <w:color w:val="000000"/>
                <w:szCs w:val="22"/>
              </w:rPr>
            </w:pPr>
          </w:p>
          <w:p w:rsidR="00D92271" w:rsidRPr="004D1BD0" w:rsidRDefault="00D92271" w:rsidP="00010BAB">
            <w:pPr>
              <w:pStyle w:val="PargrafodaLista"/>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CA648E"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Améliorati</w:t>
            </w:r>
            <w:r w:rsidR="00FB5F1D" w:rsidRPr="004D1BD0">
              <w:rPr>
                <w:rFonts w:ascii="Times New Roman" w:hAnsi="Times New Roman"/>
                <w:b/>
                <w:color w:val="000000"/>
                <w:szCs w:val="22"/>
              </w:rPr>
              <w:t xml:space="preserve">on des revenus des </w:t>
            </w:r>
            <w:r w:rsidR="005F73E7" w:rsidRPr="004D1BD0">
              <w:rPr>
                <w:rFonts w:ascii="Times New Roman" w:hAnsi="Times New Roman"/>
                <w:b/>
                <w:color w:val="000000"/>
                <w:szCs w:val="22"/>
              </w:rPr>
              <w:t xml:space="preserve">agriculteurs </w:t>
            </w:r>
            <w:r w:rsidR="00362E8C" w:rsidRPr="004D1BD0">
              <w:rPr>
                <w:rFonts w:ascii="Times New Roman" w:hAnsi="Times New Roman"/>
                <w:b/>
                <w:color w:val="000000"/>
                <w:szCs w:val="22"/>
              </w:rPr>
              <w:t>grâce</w:t>
            </w:r>
            <w:r w:rsidR="005F73E7" w:rsidRPr="004D1BD0">
              <w:rPr>
                <w:rFonts w:ascii="Times New Roman" w:hAnsi="Times New Roman"/>
                <w:b/>
                <w:color w:val="000000"/>
                <w:szCs w:val="22"/>
              </w:rPr>
              <w:t xml:space="preserve"> au </w:t>
            </w:r>
            <w:r w:rsidR="00362E8C" w:rsidRPr="004D1BD0">
              <w:rPr>
                <w:rFonts w:ascii="Times New Roman" w:hAnsi="Times New Roman"/>
                <w:b/>
                <w:color w:val="000000"/>
                <w:szCs w:val="22"/>
              </w:rPr>
              <w:t xml:space="preserve">renforcement des capacité techniques </w:t>
            </w:r>
            <w:r w:rsidR="00542272" w:rsidRPr="004D1BD0">
              <w:rPr>
                <w:rFonts w:ascii="Times New Roman" w:hAnsi="Times New Roman"/>
                <w:b/>
                <w:color w:val="000000"/>
                <w:szCs w:val="22"/>
              </w:rPr>
              <w:t xml:space="preserve">et </w:t>
            </w:r>
            <w:r w:rsidR="00C76D5B" w:rsidRPr="004D1BD0">
              <w:rPr>
                <w:rFonts w:ascii="Times New Roman" w:hAnsi="Times New Roman"/>
                <w:b/>
                <w:color w:val="000000"/>
                <w:szCs w:val="22"/>
              </w:rPr>
              <w:t>matériels</w:t>
            </w:r>
            <w:r w:rsidR="00542272" w:rsidRPr="004D1BD0">
              <w:rPr>
                <w:rFonts w:ascii="Times New Roman" w:hAnsi="Times New Roman"/>
                <w:b/>
                <w:color w:val="000000"/>
                <w:szCs w:val="22"/>
              </w:rPr>
              <w:t xml:space="preserve"> </w:t>
            </w:r>
            <w:r w:rsidR="00C76D5B" w:rsidRPr="004D1BD0">
              <w:rPr>
                <w:rFonts w:ascii="Times New Roman" w:hAnsi="Times New Roman"/>
                <w:b/>
                <w:color w:val="000000"/>
                <w:szCs w:val="22"/>
              </w:rPr>
              <w:t xml:space="preserve">qu’offrira le projet PUSA </w:t>
            </w:r>
            <w:r w:rsidR="00362E8C" w:rsidRPr="004D1BD0">
              <w:rPr>
                <w:rFonts w:ascii="Times New Roman" w:hAnsi="Times New Roman"/>
                <w:b/>
                <w:color w:val="000000"/>
                <w:szCs w:val="22"/>
              </w:rPr>
              <w:t>;</w:t>
            </w:r>
          </w:p>
          <w:p w:rsidR="00CA648E" w:rsidRPr="004D1BD0" w:rsidRDefault="00CA648E" w:rsidP="00010BAB">
            <w:pPr>
              <w:pStyle w:val="PargrafodaLista"/>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CA648E" w:rsidRPr="004D1BD0" w:rsidRDefault="00351DD2"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Pr>
                <w:rFonts w:ascii="Times New Roman" w:hAnsi="Times New Roman"/>
                <w:b/>
                <w:iCs/>
                <w:color w:val="000000"/>
                <w:szCs w:val="22"/>
              </w:rPr>
              <w:t>La présence et l</w:t>
            </w:r>
            <w:r w:rsidR="007E1919">
              <w:rPr>
                <w:rFonts w:ascii="Times New Roman" w:hAnsi="Times New Roman"/>
                <w:b/>
                <w:iCs/>
                <w:color w:val="000000"/>
                <w:szCs w:val="22"/>
              </w:rPr>
              <w:t xml:space="preserve">’augmentation </w:t>
            </w:r>
            <w:r>
              <w:rPr>
                <w:rFonts w:ascii="Times New Roman" w:hAnsi="Times New Roman"/>
                <w:b/>
                <w:iCs/>
                <w:color w:val="000000"/>
                <w:szCs w:val="22"/>
              </w:rPr>
              <w:t>des importateurs de la noix de cajou</w:t>
            </w:r>
            <w:r w:rsidR="00CA648E" w:rsidRPr="004D1BD0">
              <w:rPr>
                <w:rFonts w:ascii="Times New Roman" w:hAnsi="Times New Roman"/>
                <w:b/>
                <w:iCs/>
                <w:color w:val="000000"/>
                <w:szCs w:val="22"/>
              </w:rPr>
              <w:t xml:space="preserve"> simultanée</w:t>
            </w:r>
            <w:r w:rsidR="00B43051">
              <w:rPr>
                <w:rFonts w:ascii="Times New Roman" w:hAnsi="Times New Roman"/>
                <w:b/>
                <w:iCs/>
                <w:color w:val="000000"/>
                <w:szCs w:val="22"/>
              </w:rPr>
              <w:t xml:space="preserve"> au niveau des</w:t>
            </w:r>
            <w:r w:rsidR="00CA648E" w:rsidRPr="004D1BD0">
              <w:rPr>
                <w:rFonts w:ascii="Times New Roman" w:hAnsi="Times New Roman"/>
                <w:b/>
                <w:iCs/>
                <w:color w:val="000000"/>
                <w:szCs w:val="22"/>
              </w:rPr>
              <w:t xml:space="preserve"> marchés </w:t>
            </w:r>
            <w:r w:rsidR="00B43051">
              <w:rPr>
                <w:rFonts w:ascii="Times New Roman" w:hAnsi="Times New Roman"/>
                <w:b/>
                <w:iCs/>
                <w:color w:val="000000"/>
                <w:szCs w:val="22"/>
              </w:rPr>
              <w:t xml:space="preserve">constituer </w:t>
            </w:r>
            <w:r w:rsidR="0073132A">
              <w:rPr>
                <w:rFonts w:ascii="Times New Roman" w:hAnsi="Times New Roman"/>
                <w:b/>
                <w:iCs/>
                <w:color w:val="000000"/>
                <w:szCs w:val="22"/>
              </w:rPr>
              <w:t>un enjeu économique important qu’il faudra réglementer pour permettre au</w:t>
            </w:r>
            <w:r w:rsidR="00AB040F">
              <w:rPr>
                <w:rFonts w:ascii="Times New Roman" w:hAnsi="Times New Roman"/>
                <w:b/>
                <w:iCs/>
                <w:color w:val="000000"/>
                <w:szCs w:val="22"/>
              </w:rPr>
              <w:t>x</w:t>
            </w:r>
            <w:r w:rsidR="0073132A">
              <w:rPr>
                <w:rFonts w:ascii="Times New Roman" w:hAnsi="Times New Roman"/>
                <w:b/>
                <w:iCs/>
                <w:color w:val="000000"/>
                <w:szCs w:val="22"/>
              </w:rPr>
              <w:t xml:space="preserve"> producteur</w:t>
            </w:r>
            <w:r w:rsidR="00AB040F">
              <w:rPr>
                <w:rFonts w:ascii="Times New Roman" w:hAnsi="Times New Roman"/>
                <w:b/>
                <w:iCs/>
                <w:color w:val="000000"/>
                <w:szCs w:val="22"/>
              </w:rPr>
              <w:t xml:space="preserve">s d’accroitre leurs </w:t>
            </w:r>
            <w:r w:rsidR="00434BF1">
              <w:rPr>
                <w:rFonts w:ascii="Times New Roman" w:hAnsi="Times New Roman"/>
                <w:b/>
                <w:iCs/>
                <w:color w:val="000000"/>
                <w:szCs w:val="22"/>
              </w:rPr>
              <w:t>revenus</w:t>
            </w:r>
            <w:r w:rsidR="00434BF1" w:rsidRPr="004D1BD0">
              <w:rPr>
                <w:rFonts w:ascii="Times New Roman" w:hAnsi="Times New Roman"/>
                <w:b/>
                <w:iCs/>
                <w:color w:val="000000"/>
                <w:szCs w:val="22"/>
              </w:rPr>
              <w:t xml:space="preserve"> ;</w:t>
            </w:r>
          </w:p>
          <w:p w:rsidR="00CA648E" w:rsidRPr="004D1BD0" w:rsidRDefault="00CA648E" w:rsidP="00010BAB">
            <w:pPr>
              <w:cnfStyle w:val="000000000000" w:firstRow="0" w:lastRow="0" w:firstColumn="0" w:lastColumn="0" w:oddVBand="0" w:evenVBand="0" w:oddHBand="0" w:evenHBand="0" w:firstRowFirstColumn="0" w:firstRowLastColumn="0" w:lastRowFirstColumn="0" w:lastRowLastColumn="0"/>
              <w:rPr>
                <w:b/>
                <w:color w:val="000000"/>
                <w:szCs w:val="22"/>
              </w:rPr>
            </w:pPr>
          </w:p>
        </w:tc>
      </w:tr>
      <w:tr w:rsidR="00C662B9" w:rsidRPr="00A05698" w:rsidTr="00B37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shd w:val="clear" w:color="auto" w:fill="FFFFFF" w:themeFill="background1"/>
            <w:vAlign w:val="center"/>
          </w:tcPr>
          <w:p w:rsidR="008959F1" w:rsidRPr="00A05698" w:rsidRDefault="00EA70EE" w:rsidP="00C662B9">
            <w:pPr>
              <w:jc w:val="center"/>
              <w:rPr>
                <w:bCs w:val="0"/>
                <w:i/>
                <w:sz w:val="28"/>
                <w:szCs w:val="28"/>
              </w:rPr>
            </w:pPr>
            <w:r w:rsidRPr="00A05698">
              <w:rPr>
                <w:bCs w:val="0"/>
                <w:i/>
                <w:sz w:val="28"/>
                <w:szCs w:val="28"/>
              </w:rPr>
              <w:lastRenderedPageBreak/>
              <w:t xml:space="preserve">Soutien aux Filets de Sécurité communautaires </w:t>
            </w:r>
          </w:p>
        </w:tc>
        <w:tc>
          <w:tcPr>
            <w:tcW w:w="3916" w:type="dxa"/>
            <w:shd w:val="clear" w:color="auto" w:fill="FFFFFF" w:themeFill="background1"/>
            <w:vAlign w:val="center"/>
          </w:tcPr>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Perte de couverts végétal et </w:t>
            </w:r>
            <w:r w:rsidR="00F36227" w:rsidRPr="00F36227">
              <w:rPr>
                <w:rFonts w:ascii="Times New Roman" w:hAnsi="Times New Roman"/>
                <w:b/>
                <w:color w:val="000000"/>
                <w:szCs w:val="22"/>
              </w:rPr>
              <w:t>d'habitats critiques, naturels ou</w:t>
            </w:r>
            <w:r w:rsidR="007B48B1">
              <w:rPr>
                <w:rFonts w:ascii="Times New Roman" w:hAnsi="Times New Roman"/>
                <w:b/>
                <w:color w:val="000000"/>
                <w:szCs w:val="22"/>
              </w:rPr>
              <w:t xml:space="preserve"> de haute valeur</w:t>
            </w:r>
            <w:r w:rsidRPr="004D1BD0">
              <w:rPr>
                <w:rFonts w:ascii="Times New Roman" w:hAnsi="Times New Roman"/>
                <w:b/>
                <w:color w:val="000000"/>
                <w:szCs w:val="22"/>
              </w:rPr>
              <w:t xml:space="preserve"> pour la faune</w:t>
            </w:r>
            <w:r w:rsidR="004C6A2A" w:rsidRPr="004D1BD0">
              <w:rPr>
                <w:rFonts w:ascii="Times New Roman" w:hAnsi="Times New Roman"/>
                <w:b/>
                <w:color w:val="000000"/>
                <w:szCs w:val="22"/>
              </w:rPr>
              <w:t>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Phénomènes de déboisement pour les activités de libération des emprises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Disparation de certaine espèce végétale locale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Pollution des eaux de surface et sous souterraine</w:t>
            </w:r>
            <w:r w:rsidR="004C6A2A" w:rsidRPr="004D1BD0">
              <w:rPr>
                <w:rFonts w:ascii="Times New Roman" w:hAnsi="Times New Roman"/>
                <w:b/>
                <w:color w:val="000000"/>
                <w:szCs w:val="22"/>
              </w:rPr>
              <w:t> ;</w:t>
            </w:r>
          </w:p>
          <w:p w:rsidR="002B747A" w:rsidRPr="004D1BD0" w:rsidRDefault="004C6A2A"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Dégradation des sols ou sous-sols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Une mauvaise utilisation et de gestion de ces sources peut polluer les eaux</w:t>
            </w:r>
            <w:r w:rsidR="004C6A2A" w:rsidRPr="004D1BD0">
              <w:rPr>
                <w:rFonts w:ascii="Times New Roman" w:hAnsi="Times New Roman"/>
                <w:b/>
                <w:color w:val="000000"/>
                <w:szCs w:val="22"/>
              </w:rPr>
              <w:t> ;</w:t>
            </w:r>
          </w:p>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rPr>
            </w:pPr>
            <w:r w:rsidRPr="004D1BD0">
              <w:rPr>
                <w:rFonts w:ascii="Times New Roman" w:hAnsi="Times New Roman"/>
                <w:b/>
                <w:color w:val="000000"/>
                <w:szCs w:val="22"/>
              </w:rPr>
              <w:t>Par rapport à la fragilisation et l’imperméabilisation du sol</w:t>
            </w:r>
            <w:r w:rsidR="004C6A2A" w:rsidRPr="004D1BD0">
              <w:rPr>
                <w:rFonts w:ascii="Times New Roman" w:hAnsi="Times New Roman"/>
                <w:b/>
                <w:color w:val="000000"/>
                <w:szCs w:val="22"/>
              </w:rPr>
              <w:t> ;</w:t>
            </w:r>
          </w:p>
        </w:tc>
        <w:tc>
          <w:tcPr>
            <w:tcW w:w="4098" w:type="dxa"/>
            <w:shd w:val="clear" w:color="auto" w:fill="FFFFFF" w:themeFill="background1"/>
            <w:vAlign w:val="center"/>
          </w:tcPr>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Besoin en infrastructures agricoles</w:t>
            </w:r>
          </w:p>
          <w:p w:rsidR="008959F1" w:rsidRPr="004D1BD0" w:rsidRDefault="00865147" w:rsidP="00157035">
            <w:pPr>
              <w:pStyle w:val="PargrafodaLista"/>
              <w:numPr>
                <w:ilvl w:val="0"/>
                <w:numId w:val="52"/>
              </w:numPr>
              <w:spacing w:after="0"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w:t>
            </w:r>
            <w:r w:rsidR="00541C71" w:rsidRPr="004D1BD0">
              <w:rPr>
                <w:rFonts w:ascii="Times New Roman" w:hAnsi="Times New Roman"/>
                <w:iCs/>
                <w:color w:val="000000"/>
                <w:szCs w:val="22"/>
              </w:rPr>
              <w:t xml:space="preserve"> </w:t>
            </w:r>
            <w:r w:rsidR="008959F1" w:rsidRPr="004D1BD0">
              <w:rPr>
                <w:rFonts w:ascii="Times New Roman" w:hAnsi="Times New Roman"/>
                <w:iCs/>
                <w:color w:val="000000"/>
                <w:szCs w:val="22"/>
              </w:rPr>
              <w:t>Obtention en nombre des infrastructures de stockage des semences</w:t>
            </w:r>
            <w:r w:rsidR="0001211A" w:rsidRPr="004D1BD0">
              <w:rPr>
                <w:rFonts w:ascii="Times New Roman" w:hAnsi="Times New Roman"/>
                <w:iCs/>
                <w:color w:val="000000"/>
                <w:szCs w:val="22"/>
              </w:rPr>
              <w:t>, des engrais</w:t>
            </w:r>
            <w:r w:rsidR="008959F1" w:rsidRPr="004D1BD0">
              <w:rPr>
                <w:rFonts w:ascii="Times New Roman" w:hAnsi="Times New Roman"/>
                <w:iCs/>
                <w:color w:val="000000"/>
                <w:szCs w:val="22"/>
              </w:rPr>
              <w:t xml:space="preserve"> et des récoltes</w:t>
            </w:r>
            <w:r w:rsidR="0001211A" w:rsidRPr="004D1BD0">
              <w:rPr>
                <w:rFonts w:ascii="Times New Roman" w:hAnsi="Times New Roman"/>
                <w:iCs/>
                <w:color w:val="000000"/>
                <w:szCs w:val="22"/>
              </w:rPr>
              <w:t xml:space="preserve"> (noix de cajou, riz, mil,</w:t>
            </w:r>
            <w:r w:rsidR="00B3145B" w:rsidRPr="004D1BD0">
              <w:rPr>
                <w:rFonts w:ascii="Times New Roman" w:hAnsi="Times New Roman"/>
                <w:iCs/>
                <w:color w:val="000000"/>
                <w:szCs w:val="22"/>
              </w:rPr>
              <w:t xml:space="preserve"> maïs, etc.)</w:t>
            </w:r>
            <w:r w:rsidR="008959F1" w:rsidRPr="004D1BD0">
              <w:rPr>
                <w:rFonts w:ascii="Times New Roman" w:hAnsi="Times New Roman"/>
                <w:iCs/>
                <w:color w:val="000000"/>
                <w:szCs w:val="22"/>
              </w:rPr>
              <w:t xml:space="preserve"> so</w:t>
            </w:r>
            <w:r w:rsidR="002222DD" w:rsidRPr="004D1BD0">
              <w:rPr>
                <w:rFonts w:ascii="Times New Roman" w:hAnsi="Times New Roman"/>
                <w:iCs/>
                <w:color w:val="000000"/>
                <w:szCs w:val="22"/>
              </w:rPr>
              <w:t>nt les principaux enjeux dans le pays ;</w:t>
            </w:r>
          </w:p>
          <w:p w:rsidR="008959F1" w:rsidRPr="004D1BD0" w:rsidRDefault="00230F38" w:rsidP="00157035">
            <w:pPr>
              <w:pStyle w:val="PargrafodaLista"/>
              <w:numPr>
                <w:ilvl w:val="0"/>
                <w:numId w:val="52"/>
              </w:numPr>
              <w:spacing w:after="0"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-Les</w:t>
            </w:r>
            <w:r w:rsidR="008959F1" w:rsidRPr="004D1BD0">
              <w:rPr>
                <w:rFonts w:ascii="Times New Roman" w:hAnsi="Times New Roman"/>
                <w:iCs/>
                <w:color w:val="000000"/>
                <w:szCs w:val="22"/>
              </w:rPr>
              <w:t xml:space="preserve"> capacité</w:t>
            </w:r>
            <w:r w:rsidRPr="004D1BD0">
              <w:rPr>
                <w:rFonts w:ascii="Times New Roman" w:hAnsi="Times New Roman"/>
                <w:iCs/>
                <w:color w:val="000000"/>
                <w:szCs w:val="22"/>
              </w:rPr>
              <w:t>s</w:t>
            </w:r>
            <w:r w:rsidR="008959F1" w:rsidRPr="004D1BD0">
              <w:rPr>
                <w:rFonts w:ascii="Times New Roman" w:hAnsi="Times New Roman"/>
                <w:iCs/>
                <w:color w:val="000000"/>
                <w:szCs w:val="22"/>
              </w:rPr>
              <w:t xml:space="preserve"> </w:t>
            </w:r>
            <w:r w:rsidR="00B739F6" w:rsidRPr="004D1BD0">
              <w:rPr>
                <w:rFonts w:ascii="Times New Roman" w:hAnsi="Times New Roman"/>
                <w:iCs/>
                <w:color w:val="000000"/>
                <w:szCs w:val="22"/>
              </w:rPr>
              <w:t>stockage</w:t>
            </w:r>
            <w:r w:rsidRPr="004D1BD0">
              <w:rPr>
                <w:rFonts w:ascii="Times New Roman" w:hAnsi="Times New Roman"/>
                <w:iCs/>
                <w:color w:val="000000"/>
                <w:szCs w:val="22"/>
              </w:rPr>
              <w:t>s</w:t>
            </w:r>
            <w:r w:rsidR="00B739F6" w:rsidRPr="004D1BD0">
              <w:rPr>
                <w:rFonts w:ascii="Times New Roman" w:hAnsi="Times New Roman"/>
                <w:iCs/>
                <w:color w:val="000000"/>
                <w:szCs w:val="22"/>
              </w:rPr>
              <w:t xml:space="preserve"> font</w:t>
            </w:r>
            <w:r w:rsidR="008959F1" w:rsidRPr="004D1BD0">
              <w:rPr>
                <w:rFonts w:ascii="Times New Roman" w:hAnsi="Times New Roman"/>
                <w:iCs/>
                <w:color w:val="000000"/>
                <w:szCs w:val="22"/>
              </w:rPr>
              <w:t xml:space="preserve"> partie des enjeux à prendre en compte dans </w:t>
            </w:r>
            <w:r w:rsidR="00BA1FDA" w:rsidRPr="004D1BD0">
              <w:rPr>
                <w:rFonts w:ascii="Times New Roman" w:hAnsi="Times New Roman"/>
                <w:iCs/>
                <w:color w:val="000000"/>
                <w:szCs w:val="22"/>
              </w:rPr>
              <w:t>les futures réhabilitations</w:t>
            </w:r>
            <w:r w:rsidR="005F57F1" w:rsidRPr="004D1BD0">
              <w:rPr>
                <w:rFonts w:ascii="Times New Roman" w:hAnsi="Times New Roman"/>
                <w:iCs/>
                <w:color w:val="000000"/>
                <w:szCs w:val="22"/>
              </w:rPr>
              <w:t xml:space="preserve"> car certaines</w:t>
            </w:r>
            <w:r w:rsidR="008959F1" w:rsidRPr="004D1BD0">
              <w:rPr>
                <w:rFonts w:ascii="Times New Roman" w:hAnsi="Times New Roman"/>
                <w:iCs/>
                <w:color w:val="000000"/>
                <w:szCs w:val="22"/>
              </w:rPr>
              <w:t xml:space="preserve"> zone</w:t>
            </w:r>
            <w:r w:rsidR="005F57F1" w:rsidRPr="004D1BD0">
              <w:rPr>
                <w:rFonts w:ascii="Times New Roman" w:hAnsi="Times New Roman"/>
                <w:iCs/>
                <w:color w:val="000000"/>
                <w:szCs w:val="22"/>
              </w:rPr>
              <w:t>s</w:t>
            </w:r>
            <w:r w:rsidR="008959F1" w:rsidRPr="004D1BD0">
              <w:rPr>
                <w:rFonts w:ascii="Times New Roman" w:hAnsi="Times New Roman"/>
                <w:iCs/>
                <w:color w:val="000000"/>
                <w:szCs w:val="22"/>
              </w:rPr>
              <w:t xml:space="preserve"> rencontre</w:t>
            </w:r>
            <w:r w:rsidR="005F57F1" w:rsidRPr="004D1BD0">
              <w:rPr>
                <w:rFonts w:ascii="Times New Roman" w:hAnsi="Times New Roman"/>
                <w:iCs/>
                <w:color w:val="000000"/>
                <w:szCs w:val="22"/>
              </w:rPr>
              <w:t>nt</w:t>
            </w:r>
            <w:r w:rsidRPr="004D1BD0">
              <w:rPr>
                <w:rFonts w:ascii="Times New Roman" w:hAnsi="Times New Roman"/>
                <w:iCs/>
                <w:color w:val="000000"/>
                <w:szCs w:val="22"/>
              </w:rPr>
              <w:t xml:space="preserve"> </w:t>
            </w:r>
            <w:r w:rsidR="00007C07" w:rsidRPr="004D1BD0">
              <w:rPr>
                <w:rFonts w:ascii="Times New Roman" w:hAnsi="Times New Roman"/>
                <w:iCs/>
                <w:color w:val="000000"/>
                <w:szCs w:val="22"/>
              </w:rPr>
              <w:t>des problèmes</w:t>
            </w:r>
            <w:r w:rsidR="00AC250D" w:rsidRPr="004D1BD0">
              <w:rPr>
                <w:rFonts w:ascii="Times New Roman" w:hAnsi="Times New Roman"/>
                <w:iCs/>
                <w:color w:val="000000"/>
                <w:szCs w:val="22"/>
              </w:rPr>
              <w:t xml:space="preserve"> de capacité</w:t>
            </w:r>
            <w:r w:rsidR="008959F1" w:rsidRPr="004D1BD0">
              <w:rPr>
                <w:rFonts w:ascii="Times New Roman" w:hAnsi="Times New Roman"/>
                <w:iCs/>
                <w:color w:val="000000"/>
                <w:szCs w:val="22"/>
              </w:rPr>
              <w:t xml:space="preserve"> </w:t>
            </w:r>
            <w:r w:rsidR="00AC250D" w:rsidRPr="004D1BD0">
              <w:rPr>
                <w:rFonts w:ascii="Times New Roman" w:hAnsi="Times New Roman"/>
                <w:iCs/>
                <w:color w:val="000000"/>
                <w:szCs w:val="22"/>
              </w:rPr>
              <w:t>stockage</w:t>
            </w:r>
            <w:r w:rsidR="005F57F1" w:rsidRPr="004D1BD0">
              <w:rPr>
                <w:rFonts w:ascii="Times New Roman" w:hAnsi="Times New Roman"/>
                <w:iCs/>
                <w:color w:val="000000"/>
                <w:szCs w:val="22"/>
              </w:rPr>
              <w:t xml:space="preserve"> des produits agricoles surtout </w:t>
            </w:r>
            <w:r w:rsidR="00AC250D" w:rsidRPr="004D1BD0">
              <w:rPr>
                <w:rFonts w:ascii="Times New Roman" w:hAnsi="Times New Roman"/>
                <w:iCs/>
                <w:color w:val="000000"/>
                <w:szCs w:val="22"/>
              </w:rPr>
              <w:t xml:space="preserve">pour </w:t>
            </w:r>
            <w:r w:rsidR="005F57F1" w:rsidRPr="004D1BD0">
              <w:rPr>
                <w:rFonts w:ascii="Times New Roman" w:hAnsi="Times New Roman"/>
                <w:iCs/>
                <w:color w:val="000000"/>
                <w:szCs w:val="22"/>
              </w:rPr>
              <w:t xml:space="preserve">les noix de </w:t>
            </w:r>
            <w:r w:rsidR="00BA1FDA" w:rsidRPr="004D1BD0">
              <w:rPr>
                <w:rFonts w:ascii="Times New Roman" w:hAnsi="Times New Roman"/>
                <w:iCs/>
                <w:color w:val="000000"/>
                <w:szCs w:val="22"/>
              </w:rPr>
              <w:t>cajou ;</w:t>
            </w:r>
          </w:p>
          <w:p w:rsidR="00960EC4" w:rsidRPr="004D1BD0" w:rsidRDefault="00960EC4" w:rsidP="00157035">
            <w:pPr>
              <w:pStyle w:val="PargrafodaLista"/>
              <w:numPr>
                <w:ilvl w:val="0"/>
                <w:numId w:val="52"/>
              </w:numPr>
              <w:spacing w:after="0"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-Informer et sensibiliser les agricultures par rapport à la présence des plateformes stockages et leur utilité pour bonifier les impacts positives ;</w:t>
            </w:r>
          </w:p>
          <w:p w:rsidR="005121C8" w:rsidRPr="004D1BD0" w:rsidRDefault="00DA7E2E"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Besoin en </w:t>
            </w:r>
            <w:r w:rsidR="001358D8" w:rsidRPr="004D1BD0">
              <w:rPr>
                <w:rFonts w:ascii="Times New Roman" w:hAnsi="Times New Roman"/>
                <w:b/>
                <w:color w:val="000000"/>
                <w:szCs w:val="22"/>
              </w:rPr>
              <w:t>infrastructure</w:t>
            </w:r>
            <w:r w:rsidR="00F87E89" w:rsidRPr="004D1BD0">
              <w:rPr>
                <w:rFonts w:ascii="Times New Roman" w:hAnsi="Times New Roman"/>
                <w:b/>
                <w:color w:val="000000"/>
                <w:szCs w:val="22"/>
              </w:rPr>
              <w:t xml:space="preserve"> d</w:t>
            </w:r>
            <w:r w:rsidR="00670493" w:rsidRPr="004D1BD0">
              <w:rPr>
                <w:rFonts w:ascii="Times New Roman" w:hAnsi="Times New Roman"/>
                <w:b/>
                <w:color w:val="000000"/>
                <w:szCs w:val="22"/>
              </w:rPr>
              <w:t>’</w:t>
            </w:r>
            <w:r w:rsidR="001479DE" w:rsidRPr="004D1BD0">
              <w:rPr>
                <w:rFonts w:ascii="Times New Roman" w:hAnsi="Times New Roman"/>
                <w:b/>
                <w:color w:val="000000"/>
                <w:szCs w:val="22"/>
              </w:rPr>
              <w:t>espace</w:t>
            </w:r>
            <w:r w:rsidR="006D150C" w:rsidRPr="004D1BD0">
              <w:rPr>
                <w:rFonts w:ascii="Times New Roman" w:hAnsi="Times New Roman"/>
                <w:b/>
                <w:color w:val="000000"/>
                <w:szCs w:val="22"/>
              </w:rPr>
              <w:t xml:space="preserve"> de </w:t>
            </w:r>
            <w:r w:rsidR="007B01FE" w:rsidRPr="004D1BD0">
              <w:rPr>
                <w:rFonts w:ascii="Times New Roman" w:hAnsi="Times New Roman"/>
                <w:b/>
                <w:color w:val="000000"/>
                <w:szCs w:val="22"/>
              </w:rPr>
              <w:t xml:space="preserve">commercialisation </w:t>
            </w:r>
            <w:r w:rsidR="005D01B0" w:rsidRPr="004D1BD0">
              <w:rPr>
                <w:rFonts w:ascii="Times New Roman" w:hAnsi="Times New Roman"/>
                <w:b/>
                <w:color w:val="000000"/>
                <w:szCs w:val="22"/>
              </w:rPr>
              <w:t>des produits d’agricole</w:t>
            </w:r>
          </w:p>
          <w:p w:rsidR="00DA7E2E" w:rsidRPr="004D1BD0" w:rsidRDefault="00B4580A" w:rsidP="00010BAB">
            <w:pPr>
              <w:cnfStyle w:val="000000100000" w:firstRow="0" w:lastRow="0" w:firstColumn="0" w:lastColumn="0" w:oddVBand="0" w:evenVBand="0" w:oddHBand="1" w:evenHBand="0" w:firstRowFirstColumn="0" w:firstRowLastColumn="0" w:lastRowFirstColumn="0" w:lastRowLastColumn="0"/>
              <w:rPr>
                <w:rFonts w:eastAsia="Calibri"/>
                <w:iCs/>
                <w:color w:val="000000"/>
                <w:sz w:val="20"/>
                <w:szCs w:val="22"/>
              </w:rPr>
            </w:pPr>
            <w:r w:rsidRPr="004D1BD0">
              <w:rPr>
                <w:iCs/>
                <w:color w:val="000000"/>
                <w:szCs w:val="22"/>
              </w:rPr>
              <w:t>-</w:t>
            </w:r>
            <w:r w:rsidR="00E764D5" w:rsidRPr="004D1BD0">
              <w:rPr>
                <w:rFonts w:eastAsia="Calibri"/>
                <w:iCs/>
                <w:color w:val="000000"/>
                <w:sz w:val="20"/>
                <w:szCs w:val="22"/>
              </w:rPr>
              <w:t>L</w:t>
            </w:r>
            <w:r w:rsidR="000E2378" w:rsidRPr="004D1BD0">
              <w:rPr>
                <w:rFonts w:eastAsia="Calibri"/>
                <w:iCs/>
                <w:color w:val="000000"/>
                <w:sz w:val="20"/>
                <w:szCs w:val="22"/>
              </w:rPr>
              <w:t xml:space="preserve">es manques de marché </w:t>
            </w:r>
            <w:r w:rsidR="0013562A" w:rsidRPr="004D1BD0">
              <w:rPr>
                <w:rFonts w:eastAsia="Calibri"/>
                <w:iCs/>
                <w:color w:val="000000"/>
                <w:sz w:val="20"/>
                <w:szCs w:val="22"/>
              </w:rPr>
              <w:t>loca</w:t>
            </w:r>
            <w:r w:rsidR="00D30360" w:rsidRPr="004D1BD0">
              <w:rPr>
                <w:rFonts w:eastAsia="Calibri"/>
                <w:iCs/>
                <w:color w:val="000000"/>
                <w:sz w:val="20"/>
                <w:szCs w:val="22"/>
              </w:rPr>
              <w:t xml:space="preserve">le, </w:t>
            </w:r>
            <w:r w:rsidR="00124CEB" w:rsidRPr="004D1BD0">
              <w:rPr>
                <w:rFonts w:eastAsia="Calibri"/>
                <w:iCs/>
                <w:color w:val="000000"/>
                <w:sz w:val="20"/>
                <w:szCs w:val="22"/>
              </w:rPr>
              <w:t>régionale</w:t>
            </w:r>
            <w:r w:rsidR="003F75BF" w:rsidRPr="004D1BD0">
              <w:rPr>
                <w:rFonts w:eastAsia="Calibri"/>
                <w:iCs/>
                <w:color w:val="000000"/>
                <w:sz w:val="20"/>
                <w:szCs w:val="22"/>
              </w:rPr>
              <w:t xml:space="preserve"> et </w:t>
            </w:r>
            <w:r w:rsidR="006D62FD" w:rsidRPr="004D1BD0">
              <w:rPr>
                <w:rFonts w:eastAsia="Calibri"/>
                <w:iCs/>
                <w:color w:val="000000"/>
                <w:sz w:val="20"/>
                <w:szCs w:val="22"/>
              </w:rPr>
              <w:t xml:space="preserve">sous régionale au niveau </w:t>
            </w:r>
            <w:r w:rsidR="003F75BF" w:rsidRPr="004D1BD0">
              <w:rPr>
                <w:rFonts w:eastAsia="Calibri"/>
                <w:iCs/>
                <w:color w:val="000000"/>
                <w:sz w:val="20"/>
                <w:szCs w:val="22"/>
              </w:rPr>
              <w:t>de la</w:t>
            </w:r>
            <w:r w:rsidR="00AB4163" w:rsidRPr="004D1BD0">
              <w:rPr>
                <w:rFonts w:eastAsia="Calibri"/>
                <w:iCs/>
                <w:color w:val="000000"/>
                <w:sz w:val="20"/>
                <w:szCs w:val="22"/>
              </w:rPr>
              <w:t xml:space="preserve"> G</w:t>
            </w:r>
            <w:r w:rsidR="0057710F" w:rsidRPr="004D1BD0">
              <w:rPr>
                <w:rFonts w:eastAsia="Calibri"/>
                <w:iCs/>
                <w:color w:val="000000"/>
                <w:sz w:val="20"/>
                <w:szCs w:val="22"/>
              </w:rPr>
              <w:t xml:space="preserve">uinée </w:t>
            </w:r>
            <w:r w:rsidR="00AB4163" w:rsidRPr="004D1BD0">
              <w:rPr>
                <w:rFonts w:eastAsia="Calibri"/>
                <w:iCs/>
                <w:color w:val="000000"/>
                <w:sz w:val="20"/>
                <w:szCs w:val="22"/>
              </w:rPr>
              <w:t>Bissau</w:t>
            </w:r>
            <w:r w:rsidR="00F327F6" w:rsidRPr="004D1BD0">
              <w:rPr>
                <w:rFonts w:eastAsia="Calibri"/>
                <w:iCs/>
                <w:color w:val="000000"/>
                <w:sz w:val="20"/>
                <w:szCs w:val="22"/>
              </w:rPr>
              <w:t xml:space="preserve"> </w:t>
            </w:r>
            <w:r w:rsidR="00AB4163" w:rsidRPr="004D1BD0">
              <w:rPr>
                <w:rFonts w:eastAsia="Calibri"/>
                <w:iCs/>
                <w:color w:val="000000"/>
                <w:sz w:val="20"/>
                <w:szCs w:val="22"/>
              </w:rPr>
              <w:t>constitue</w:t>
            </w:r>
            <w:r w:rsidR="00F327F6" w:rsidRPr="004D1BD0">
              <w:rPr>
                <w:rFonts w:eastAsia="Calibri"/>
                <w:iCs/>
                <w:color w:val="000000"/>
                <w:sz w:val="20"/>
                <w:szCs w:val="22"/>
              </w:rPr>
              <w:t xml:space="preserve"> </w:t>
            </w:r>
            <w:r w:rsidR="003C66D1" w:rsidRPr="004D1BD0">
              <w:rPr>
                <w:rFonts w:eastAsia="Calibri"/>
                <w:iCs/>
                <w:color w:val="000000"/>
                <w:sz w:val="20"/>
                <w:szCs w:val="22"/>
              </w:rPr>
              <w:t xml:space="preserve">l’un des enjeux </w:t>
            </w:r>
            <w:r w:rsidR="003F5652" w:rsidRPr="004D1BD0">
              <w:rPr>
                <w:rFonts w:eastAsia="Calibri"/>
                <w:iCs/>
                <w:color w:val="000000"/>
                <w:sz w:val="20"/>
                <w:szCs w:val="22"/>
              </w:rPr>
              <w:t>dans la lutte</w:t>
            </w:r>
            <w:r w:rsidR="00715CFF" w:rsidRPr="004D1BD0">
              <w:rPr>
                <w:rFonts w:eastAsia="Calibri"/>
                <w:iCs/>
                <w:color w:val="000000"/>
                <w:sz w:val="20"/>
                <w:szCs w:val="22"/>
              </w:rPr>
              <w:t xml:space="preserve"> contre la pauvreté</w:t>
            </w:r>
            <w:r w:rsidR="006528CB" w:rsidRPr="004D1BD0">
              <w:rPr>
                <w:rFonts w:eastAsia="Calibri"/>
                <w:iCs/>
                <w:color w:val="000000"/>
                <w:sz w:val="20"/>
                <w:szCs w:val="22"/>
              </w:rPr>
              <w:t xml:space="preserve"> et le </w:t>
            </w:r>
            <w:r w:rsidR="00AA7D8F" w:rsidRPr="004D1BD0">
              <w:rPr>
                <w:rFonts w:eastAsia="Calibri"/>
                <w:iCs/>
                <w:color w:val="000000"/>
                <w:sz w:val="20"/>
                <w:szCs w:val="22"/>
              </w:rPr>
              <w:t>développement</w:t>
            </w:r>
            <w:r w:rsidR="008E38E8" w:rsidRPr="004D1BD0">
              <w:rPr>
                <w:rFonts w:eastAsia="Calibri"/>
                <w:iCs/>
                <w:color w:val="000000"/>
                <w:sz w:val="20"/>
                <w:szCs w:val="22"/>
              </w:rPr>
              <w:t xml:space="preserve"> de l’agriculture ;</w:t>
            </w:r>
          </w:p>
          <w:p w:rsidR="008E38E8" w:rsidRPr="004D1BD0" w:rsidRDefault="008E38E8" w:rsidP="00010BAB">
            <w:pPr>
              <w:cnfStyle w:val="000000100000" w:firstRow="0" w:lastRow="0" w:firstColumn="0" w:lastColumn="0" w:oddVBand="0" w:evenVBand="0" w:oddHBand="1" w:evenHBand="0" w:firstRowFirstColumn="0" w:firstRowLastColumn="0" w:lastRowFirstColumn="0" w:lastRowLastColumn="0"/>
              <w:rPr>
                <w:rFonts w:eastAsia="Calibri"/>
                <w:iCs/>
                <w:color w:val="000000"/>
                <w:sz w:val="20"/>
                <w:szCs w:val="22"/>
              </w:rPr>
            </w:pPr>
            <w:r w:rsidRPr="004D1BD0">
              <w:rPr>
                <w:rFonts w:eastAsia="Calibri"/>
                <w:iCs/>
                <w:color w:val="000000"/>
                <w:sz w:val="20"/>
                <w:szCs w:val="22"/>
              </w:rPr>
              <w:t>-</w:t>
            </w:r>
            <w:r w:rsidR="00681CAA" w:rsidRPr="004D1BD0">
              <w:rPr>
                <w:rFonts w:eastAsia="Calibri"/>
                <w:iCs/>
                <w:color w:val="000000"/>
                <w:sz w:val="20"/>
                <w:szCs w:val="22"/>
              </w:rPr>
              <w:t>S</w:t>
            </w:r>
            <w:r w:rsidR="00E6470D" w:rsidRPr="004D1BD0">
              <w:rPr>
                <w:rFonts w:eastAsia="Calibri"/>
                <w:iCs/>
                <w:color w:val="000000"/>
                <w:sz w:val="20"/>
                <w:szCs w:val="22"/>
              </w:rPr>
              <w:t xml:space="preserve">tructuration des </w:t>
            </w:r>
            <w:r w:rsidR="0040739B" w:rsidRPr="004D1BD0">
              <w:rPr>
                <w:rFonts w:eastAsia="Calibri"/>
                <w:iCs/>
                <w:color w:val="000000"/>
                <w:sz w:val="20"/>
                <w:szCs w:val="22"/>
              </w:rPr>
              <w:t>futures constructions</w:t>
            </w:r>
            <w:r w:rsidR="00F94A2E" w:rsidRPr="004D1BD0">
              <w:rPr>
                <w:rFonts w:eastAsia="Calibri"/>
                <w:iCs/>
                <w:color w:val="000000"/>
                <w:sz w:val="20"/>
                <w:szCs w:val="22"/>
              </w:rPr>
              <w:t xml:space="preserve"> </w:t>
            </w:r>
            <w:r w:rsidR="00A06E7A" w:rsidRPr="004D1BD0">
              <w:rPr>
                <w:rFonts w:eastAsia="Calibri"/>
                <w:iCs/>
                <w:color w:val="000000"/>
                <w:sz w:val="20"/>
                <w:szCs w:val="22"/>
              </w:rPr>
              <w:t>des marchés lo</w:t>
            </w:r>
            <w:r w:rsidR="00116B85" w:rsidRPr="004D1BD0">
              <w:rPr>
                <w:rFonts w:eastAsia="Calibri"/>
                <w:iCs/>
                <w:color w:val="000000"/>
                <w:sz w:val="20"/>
                <w:szCs w:val="22"/>
              </w:rPr>
              <w:t>caux</w:t>
            </w:r>
            <w:r w:rsidR="00D912F6" w:rsidRPr="004D1BD0">
              <w:rPr>
                <w:rFonts w:eastAsia="Calibri"/>
                <w:iCs/>
                <w:color w:val="000000"/>
                <w:sz w:val="20"/>
                <w:szCs w:val="22"/>
              </w:rPr>
              <w:t xml:space="preserve"> </w:t>
            </w:r>
            <w:r w:rsidR="00A16C7C" w:rsidRPr="004D1BD0">
              <w:rPr>
                <w:rFonts w:eastAsia="Calibri"/>
                <w:iCs/>
                <w:color w:val="000000"/>
                <w:sz w:val="20"/>
                <w:szCs w:val="22"/>
              </w:rPr>
              <w:t xml:space="preserve">doit </w:t>
            </w:r>
            <w:r w:rsidR="00183B93" w:rsidRPr="004D1BD0">
              <w:rPr>
                <w:rFonts w:eastAsia="Calibri"/>
                <w:iCs/>
                <w:color w:val="000000"/>
                <w:sz w:val="20"/>
                <w:szCs w:val="22"/>
              </w:rPr>
              <w:t xml:space="preserve">respecter les aspects </w:t>
            </w:r>
            <w:r w:rsidR="00451627" w:rsidRPr="004D1BD0">
              <w:rPr>
                <w:rFonts w:eastAsia="Calibri"/>
                <w:iCs/>
                <w:color w:val="000000"/>
                <w:sz w:val="20"/>
                <w:szCs w:val="22"/>
              </w:rPr>
              <w:t xml:space="preserve">d’emploi des jeunes, </w:t>
            </w:r>
            <w:r w:rsidR="00A01FCB" w:rsidRPr="004D1BD0">
              <w:rPr>
                <w:rFonts w:eastAsia="Calibri"/>
                <w:iCs/>
                <w:color w:val="000000"/>
                <w:sz w:val="20"/>
                <w:szCs w:val="22"/>
              </w:rPr>
              <w:t>d’</w:t>
            </w:r>
            <w:r w:rsidR="00F67114" w:rsidRPr="004D1BD0">
              <w:rPr>
                <w:rFonts w:eastAsia="Calibri"/>
                <w:iCs/>
                <w:color w:val="000000"/>
                <w:sz w:val="20"/>
                <w:szCs w:val="22"/>
              </w:rPr>
              <w:t>hygiène</w:t>
            </w:r>
            <w:r w:rsidR="00451627" w:rsidRPr="004D1BD0">
              <w:rPr>
                <w:rFonts w:eastAsia="Calibri"/>
                <w:iCs/>
                <w:color w:val="000000"/>
                <w:sz w:val="20"/>
                <w:szCs w:val="22"/>
              </w:rPr>
              <w:t xml:space="preserve">, de sécurité et </w:t>
            </w:r>
            <w:r w:rsidR="00A01FCB" w:rsidRPr="004D1BD0">
              <w:rPr>
                <w:rFonts w:eastAsia="Calibri"/>
                <w:iCs/>
                <w:color w:val="000000"/>
                <w:sz w:val="20"/>
                <w:szCs w:val="22"/>
              </w:rPr>
              <w:t>de santé</w:t>
            </w:r>
            <w:r w:rsidR="00802593" w:rsidRPr="004D1BD0">
              <w:rPr>
                <w:rFonts w:eastAsia="Calibri"/>
                <w:iCs/>
                <w:color w:val="000000"/>
                <w:sz w:val="20"/>
                <w:szCs w:val="22"/>
              </w:rPr>
              <w:t xml:space="preserve"> ce qui </w:t>
            </w:r>
            <w:r w:rsidR="00F02223" w:rsidRPr="004D1BD0">
              <w:rPr>
                <w:rFonts w:eastAsia="Calibri"/>
                <w:iCs/>
                <w:color w:val="000000"/>
                <w:sz w:val="20"/>
                <w:szCs w:val="22"/>
              </w:rPr>
              <w:t xml:space="preserve">est </w:t>
            </w:r>
            <w:r w:rsidR="0095080F" w:rsidRPr="004D1BD0">
              <w:rPr>
                <w:rFonts w:eastAsia="Calibri"/>
                <w:iCs/>
                <w:color w:val="000000"/>
                <w:sz w:val="20"/>
                <w:szCs w:val="22"/>
              </w:rPr>
              <w:t xml:space="preserve">un enjeu </w:t>
            </w:r>
            <w:r w:rsidR="005C02FA" w:rsidRPr="004D1BD0">
              <w:rPr>
                <w:rFonts w:eastAsia="Calibri"/>
                <w:iCs/>
                <w:color w:val="000000"/>
                <w:sz w:val="20"/>
                <w:szCs w:val="22"/>
              </w:rPr>
              <w:t>à prendre en compte par les entreprises BTP</w:t>
            </w:r>
            <w:r w:rsidR="005D3BDD" w:rsidRPr="004D1BD0">
              <w:rPr>
                <w:rFonts w:eastAsia="Calibri"/>
                <w:iCs/>
                <w:color w:val="000000"/>
                <w:sz w:val="20"/>
                <w:szCs w:val="22"/>
              </w:rPr>
              <w:t> ;</w:t>
            </w:r>
          </w:p>
          <w:p w:rsidR="00630A98" w:rsidRDefault="002F431A" w:rsidP="00010BAB">
            <w:pPr>
              <w:cnfStyle w:val="000000100000" w:firstRow="0" w:lastRow="0" w:firstColumn="0" w:lastColumn="0" w:oddVBand="0" w:evenVBand="0" w:oddHBand="1" w:evenHBand="0" w:firstRowFirstColumn="0" w:firstRowLastColumn="0" w:lastRowFirstColumn="0" w:lastRowLastColumn="0"/>
              <w:rPr>
                <w:rFonts w:eastAsia="Calibri"/>
                <w:iCs/>
                <w:color w:val="000000"/>
                <w:sz w:val="20"/>
                <w:szCs w:val="22"/>
              </w:rPr>
            </w:pPr>
            <w:r w:rsidRPr="004D1BD0">
              <w:rPr>
                <w:rFonts w:eastAsia="Calibri"/>
                <w:iCs/>
                <w:color w:val="000000"/>
                <w:sz w:val="20"/>
                <w:szCs w:val="22"/>
              </w:rPr>
              <w:t>-Détournement d</w:t>
            </w:r>
            <w:r w:rsidR="00A05714" w:rsidRPr="004D1BD0">
              <w:rPr>
                <w:rFonts w:eastAsia="Calibri"/>
                <w:iCs/>
                <w:color w:val="000000"/>
                <w:sz w:val="20"/>
                <w:szCs w:val="22"/>
              </w:rPr>
              <w:t>’</w:t>
            </w:r>
            <w:r w:rsidRPr="004D1BD0">
              <w:rPr>
                <w:rFonts w:eastAsia="Calibri"/>
                <w:iCs/>
                <w:color w:val="000000"/>
                <w:sz w:val="20"/>
                <w:szCs w:val="22"/>
              </w:rPr>
              <w:t>objectifs du projet par rapport au</w:t>
            </w:r>
            <w:r w:rsidR="001742DD" w:rsidRPr="004D1BD0">
              <w:rPr>
                <w:rFonts w:eastAsia="Calibri"/>
                <w:iCs/>
                <w:color w:val="000000"/>
                <w:sz w:val="20"/>
                <w:szCs w:val="22"/>
              </w:rPr>
              <w:t xml:space="preserve"> activités </w:t>
            </w:r>
            <w:r w:rsidR="00A05714" w:rsidRPr="004D1BD0">
              <w:rPr>
                <w:rFonts w:eastAsia="Calibri"/>
                <w:iCs/>
                <w:color w:val="000000"/>
                <w:sz w:val="20"/>
                <w:szCs w:val="22"/>
              </w:rPr>
              <w:t>« </w:t>
            </w:r>
            <w:r w:rsidR="001742DD" w:rsidRPr="004D1BD0">
              <w:rPr>
                <w:rFonts w:eastAsia="Calibri"/>
                <w:iCs/>
                <w:color w:val="000000"/>
                <w:sz w:val="20"/>
                <w:szCs w:val="22"/>
              </w:rPr>
              <w:t>argent c</w:t>
            </w:r>
            <w:r w:rsidR="00F75028" w:rsidRPr="004D1BD0">
              <w:rPr>
                <w:rFonts w:eastAsia="Calibri"/>
                <w:iCs/>
                <w:color w:val="000000"/>
                <w:sz w:val="20"/>
                <w:szCs w:val="22"/>
              </w:rPr>
              <w:t>ontre travail</w:t>
            </w:r>
            <w:r w:rsidR="00A05714" w:rsidRPr="004D1BD0">
              <w:rPr>
                <w:rFonts w:eastAsia="Calibri"/>
                <w:iCs/>
                <w:color w:val="000000"/>
                <w:sz w:val="20"/>
                <w:szCs w:val="22"/>
              </w:rPr>
              <w:t> »</w:t>
            </w:r>
            <w:r w:rsidR="00F75028" w:rsidRPr="004D1BD0">
              <w:rPr>
                <w:rFonts w:eastAsia="Calibri"/>
                <w:iCs/>
                <w:color w:val="000000"/>
                <w:sz w:val="20"/>
                <w:szCs w:val="22"/>
              </w:rPr>
              <w:t xml:space="preserve"> </w:t>
            </w:r>
            <w:r w:rsidRPr="004D1BD0">
              <w:rPr>
                <w:rFonts w:eastAsia="Calibri"/>
                <w:iCs/>
                <w:color w:val="000000"/>
                <w:sz w:val="20"/>
                <w:szCs w:val="22"/>
              </w:rPr>
              <w:t>au profit d</w:t>
            </w:r>
            <w:r w:rsidR="00A05714" w:rsidRPr="004D1BD0">
              <w:rPr>
                <w:rFonts w:eastAsia="Calibri"/>
                <w:iCs/>
                <w:color w:val="000000"/>
                <w:sz w:val="20"/>
                <w:szCs w:val="22"/>
              </w:rPr>
              <w:t>’</w:t>
            </w:r>
            <w:r w:rsidRPr="004D1BD0">
              <w:rPr>
                <w:rFonts w:eastAsia="Calibri"/>
                <w:iCs/>
                <w:color w:val="000000"/>
                <w:sz w:val="20"/>
                <w:szCs w:val="22"/>
              </w:rPr>
              <w:t xml:space="preserve">intérêt </w:t>
            </w:r>
            <w:r w:rsidR="00630A98" w:rsidRPr="004D1BD0">
              <w:rPr>
                <w:rFonts w:eastAsia="Calibri"/>
                <w:iCs/>
                <w:color w:val="000000"/>
                <w:sz w:val="20"/>
                <w:szCs w:val="22"/>
              </w:rPr>
              <w:t>personnel</w:t>
            </w:r>
            <w:r w:rsidR="005E063D" w:rsidRPr="004D1BD0">
              <w:rPr>
                <w:rFonts w:eastAsia="Calibri"/>
                <w:iCs/>
                <w:color w:val="000000"/>
                <w:sz w:val="20"/>
                <w:szCs w:val="22"/>
              </w:rPr>
              <w:t xml:space="preserve"> ou pour </w:t>
            </w:r>
            <w:r w:rsidR="000A0D5C" w:rsidRPr="004D1BD0">
              <w:rPr>
                <w:rFonts w:eastAsia="Calibri"/>
                <w:iCs/>
                <w:color w:val="000000"/>
                <w:sz w:val="20"/>
                <w:szCs w:val="22"/>
              </w:rPr>
              <w:t>d’</w:t>
            </w:r>
            <w:r w:rsidR="005E063D" w:rsidRPr="004D1BD0">
              <w:rPr>
                <w:rFonts w:eastAsia="Calibri"/>
                <w:iCs/>
                <w:color w:val="000000"/>
                <w:sz w:val="20"/>
                <w:szCs w:val="22"/>
              </w:rPr>
              <w:t>une seule communauté</w:t>
            </w:r>
            <w:r w:rsidR="000A0D5C" w:rsidRPr="004D1BD0">
              <w:rPr>
                <w:rFonts w:eastAsia="Calibri"/>
                <w:iCs/>
                <w:color w:val="000000"/>
                <w:sz w:val="20"/>
                <w:szCs w:val="22"/>
              </w:rPr>
              <w:t> ;</w:t>
            </w:r>
          </w:p>
          <w:p w:rsidR="00A16B5E" w:rsidRPr="008371D1" w:rsidRDefault="00A16B5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iCs/>
                <w:color w:val="000000"/>
                <w:szCs w:val="22"/>
              </w:rPr>
            </w:pPr>
            <w:r>
              <w:rPr>
                <w:rFonts w:ascii="Times New Roman" w:hAnsi="Times New Roman"/>
                <w:sz w:val="22"/>
                <w:szCs w:val="22"/>
              </w:rPr>
              <w:lastRenderedPageBreak/>
              <w:t>Risque de discrimination des femmes pourrait être noter avec la situation du pays ;</w:t>
            </w:r>
          </w:p>
          <w:p w:rsidR="008959F1" w:rsidRPr="004D1BD0" w:rsidRDefault="008959F1" w:rsidP="00010BAB">
            <w:pPr>
              <w:cnfStyle w:val="000000100000" w:firstRow="0" w:lastRow="0" w:firstColumn="0" w:lastColumn="0" w:oddVBand="0" w:evenVBand="0" w:oddHBand="1" w:evenHBand="0" w:firstRowFirstColumn="0" w:firstRowLastColumn="0" w:lastRowFirstColumn="0" w:lastRowLastColumn="0"/>
              <w:rPr>
                <w:color w:val="000000"/>
                <w:szCs w:val="22"/>
              </w:rPr>
            </w:pPr>
            <w:r w:rsidRPr="004D1BD0">
              <w:rPr>
                <w:b/>
                <w:color w:val="000000"/>
                <w:szCs w:val="22"/>
              </w:rPr>
              <w:t>C</w:t>
            </w:r>
            <w:r w:rsidR="00F800B8" w:rsidRPr="004D1BD0">
              <w:rPr>
                <w:b/>
                <w:color w:val="000000"/>
                <w:szCs w:val="22"/>
              </w:rPr>
              <w:t>onditions d</w:t>
            </w:r>
            <w:r w:rsidR="00A05714" w:rsidRPr="004D1BD0">
              <w:rPr>
                <w:b/>
                <w:color w:val="000000"/>
                <w:szCs w:val="22"/>
              </w:rPr>
              <w:t>’</w:t>
            </w:r>
            <w:r w:rsidR="00F800B8" w:rsidRPr="004D1BD0">
              <w:rPr>
                <w:b/>
                <w:color w:val="000000"/>
                <w:szCs w:val="22"/>
              </w:rPr>
              <w:t xml:space="preserve">accès </w:t>
            </w:r>
            <w:r w:rsidRPr="004D1BD0">
              <w:rPr>
                <w:color w:val="000000"/>
                <w:szCs w:val="22"/>
              </w:rPr>
              <w:t>;</w:t>
            </w:r>
          </w:p>
          <w:p w:rsidR="00EC2646" w:rsidRPr="00A05698" w:rsidRDefault="00B33437" w:rsidP="00010BAB">
            <w:pPr>
              <w:ind w:left="37"/>
              <w:cnfStyle w:val="000000100000" w:firstRow="0" w:lastRow="0" w:firstColumn="0" w:lastColumn="0" w:oddVBand="0" w:evenVBand="0" w:oddHBand="1" w:evenHBand="0" w:firstRowFirstColumn="0" w:firstRowLastColumn="0" w:lastRowFirstColumn="0" w:lastRowLastColumn="0"/>
              <w:rPr>
                <w:color w:val="000000"/>
                <w:sz w:val="22"/>
                <w:szCs w:val="22"/>
              </w:rPr>
            </w:pPr>
            <w:r w:rsidRPr="00A05698">
              <w:rPr>
                <w:color w:val="000000"/>
                <w:sz w:val="22"/>
                <w:szCs w:val="22"/>
              </w:rPr>
              <w:t>-</w:t>
            </w:r>
            <w:r w:rsidR="00EC2646" w:rsidRPr="00A05698">
              <w:rPr>
                <w:color w:val="000000"/>
                <w:sz w:val="22"/>
                <w:szCs w:val="22"/>
              </w:rPr>
              <w:t xml:space="preserve">Difficulté de déplacement des personnes </w:t>
            </w:r>
            <w:r w:rsidRPr="00A05698">
              <w:rPr>
                <w:color w:val="000000"/>
                <w:sz w:val="22"/>
                <w:szCs w:val="22"/>
              </w:rPr>
              <w:t xml:space="preserve">dans le pays </w:t>
            </w:r>
            <w:r w:rsidR="00015603" w:rsidRPr="00A05698">
              <w:rPr>
                <w:color w:val="000000"/>
                <w:sz w:val="22"/>
                <w:szCs w:val="22"/>
              </w:rPr>
              <w:t xml:space="preserve">surtout </w:t>
            </w:r>
            <w:r w:rsidR="00EC2646" w:rsidRPr="00A05698">
              <w:rPr>
                <w:color w:val="000000"/>
                <w:sz w:val="22"/>
                <w:szCs w:val="22"/>
              </w:rPr>
              <w:t xml:space="preserve">pendant la saison des pluies </w:t>
            </w:r>
            <w:r w:rsidR="000B3891" w:rsidRPr="00A05698">
              <w:rPr>
                <w:color w:val="000000"/>
                <w:sz w:val="22"/>
                <w:szCs w:val="22"/>
              </w:rPr>
              <w:t xml:space="preserve">à cause </w:t>
            </w:r>
            <w:r w:rsidR="000454B6" w:rsidRPr="00A05698">
              <w:rPr>
                <w:color w:val="000000"/>
                <w:sz w:val="22"/>
                <w:szCs w:val="22"/>
              </w:rPr>
              <w:t>des mauvais états</w:t>
            </w:r>
            <w:r w:rsidR="000B3891" w:rsidRPr="00A05698">
              <w:rPr>
                <w:color w:val="000000"/>
                <w:sz w:val="22"/>
                <w:szCs w:val="22"/>
              </w:rPr>
              <w:t xml:space="preserve"> des route</w:t>
            </w:r>
            <w:r w:rsidR="00907A2B" w:rsidRPr="00A05698">
              <w:rPr>
                <w:color w:val="000000"/>
                <w:sz w:val="22"/>
                <w:szCs w:val="22"/>
              </w:rPr>
              <w:t>s</w:t>
            </w:r>
            <w:r w:rsidR="000B3891" w:rsidRPr="00A05698">
              <w:rPr>
                <w:color w:val="000000"/>
                <w:sz w:val="22"/>
                <w:szCs w:val="22"/>
              </w:rPr>
              <w:t> ;</w:t>
            </w:r>
          </w:p>
          <w:p w:rsidR="00EC2646" w:rsidRPr="00A05698" w:rsidRDefault="00B91AA2" w:rsidP="00157035">
            <w:pPr>
              <w:pStyle w:val="PargrafodaLista"/>
              <w:numPr>
                <w:ilvl w:val="0"/>
                <w:numId w:val="52"/>
              </w:numPr>
              <w:spacing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22"/>
                <w:szCs w:val="22"/>
              </w:rPr>
            </w:pPr>
            <w:r w:rsidRPr="00A05698">
              <w:rPr>
                <w:rFonts w:ascii="Times New Roman" w:hAnsi="Times New Roman"/>
                <w:iCs/>
                <w:color w:val="000000"/>
                <w:sz w:val="22"/>
                <w:szCs w:val="22"/>
              </w:rPr>
              <w:t>-</w:t>
            </w:r>
            <w:r w:rsidR="00EC2646" w:rsidRPr="00A05698">
              <w:rPr>
                <w:rFonts w:ascii="Times New Roman" w:hAnsi="Times New Roman"/>
                <w:iCs/>
                <w:color w:val="000000"/>
                <w:sz w:val="22"/>
                <w:szCs w:val="22"/>
              </w:rPr>
              <w:t>Par la topographie de la zone ;</w:t>
            </w:r>
          </w:p>
          <w:p w:rsidR="00EC2646" w:rsidRPr="00A05698" w:rsidRDefault="004B2A9D" w:rsidP="00157035">
            <w:pPr>
              <w:pStyle w:val="PargrafodaLista"/>
              <w:numPr>
                <w:ilvl w:val="0"/>
                <w:numId w:val="52"/>
              </w:numPr>
              <w:spacing w:line="240" w:lineRule="auto"/>
              <w:ind w:left="0" w:hanging="105"/>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22"/>
                <w:szCs w:val="22"/>
              </w:rPr>
            </w:pPr>
            <w:r w:rsidRPr="00A05698">
              <w:rPr>
                <w:rFonts w:ascii="Times New Roman" w:hAnsi="Times New Roman"/>
                <w:iCs/>
                <w:color w:val="000000"/>
                <w:sz w:val="22"/>
                <w:szCs w:val="22"/>
              </w:rPr>
              <w:t>-</w:t>
            </w:r>
            <w:r w:rsidR="00EC2646" w:rsidRPr="00A05698">
              <w:rPr>
                <w:rFonts w:ascii="Times New Roman" w:hAnsi="Times New Roman"/>
                <w:iCs/>
                <w:color w:val="000000"/>
                <w:sz w:val="22"/>
                <w:szCs w:val="22"/>
              </w:rPr>
              <w:t>Par les phénomènes d’érosion hydrique ;</w:t>
            </w:r>
          </w:p>
        </w:tc>
        <w:tc>
          <w:tcPr>
            <w:tcW w:w="3845" w:type="dxa"/>
            <w:shd w:val="clear" w:color="auto" w:fill="FFFFFF" w:themeFill="background1"/>
            <w:vAlign w:val="center"/>
          </w:tcPr>
          <w:p w:rsidR="008959F1" w:rsidRPr="004D1BD0" w:rsidRDefault="008959F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lastRenderedPageBreak/>
              <w:t>Amélioration et la gestion des revenues financières des agriculteurs</w:t>
            </w:r>
            <w:r w:rsidR="006D32A5" w:rsidRPr="004D1BD0">
              <w:rPr>
                <w:rFonts w:ascii="Times New Roman" w:hAnsi="Times New Roman"/>
                <w:b/>
                <w:color w:val="000000"/>
                <w:szCs w:val="22"/>
              </w:rPr>
              <w:t xml:space="preserve">, des </w:t>
            </w:r>
            <w:r w:rsidR="00CE2D79" w:rsidRPr="004D1BD0">
              <w:rPr>
                <w:rFonts w:ascii="Times New Roman" w:hAnsi="Times New Roman"/>
                <w:b/>
                <w:color w:val="000000"/>
                <w:szCs w:val="22"/>
              </w:rPr>
              <w:t xml:space="preserve">commerçants, des producteurs, des </w:t>
            </w:r>
            <w:r w:rsidR="0038708E" w:rsidRPr="004D1BD0">
              <w:rPr>
                <w:rFonts w:ascii="Times New Roman" w:hAnsi="Times New Roman"/>
                <w:b/>
                <w:color w:val="000000"/>
                <w:szCs w:val="22"/>
              </w:rPr>
              <w:t>jeunes d</w:t>
            </w:r>
            <w:r w:rsidR="002657DB" w:rsidRPr="004D1BD0">
              <w:rPr>
                <w:rFonts w:ascii="Times New Roman" w:hAnsi="Times New Roman"/>
                <w:b/>
                <w:color w:val="000000"/>
                <w:szCs w:val="22"/>
              </w:rPr>
              <w:t xml:space="preserve">es villages, des femmes ; </w:t>
            </w:r>
            <w:r w:rsidR="00992B3B" w:rsidRPr="004D1BD0">
              <w:rPr>
                <w:rFonts w:ascii="Times New Roman" w:hAnsi="Times New Roman"/>
                <w:b/>
                <w:color w:val="000000"/>
                <w:szCs w:val="22"/>
              </w:rPr>
              <w:t>etc. ;</w:t>
            </w:r>
          </w:p>
          <w:p w:rsidR="00493653" w:rsidRPr="004D1BD0" w:rsidRDefault="00493653" w:rsidP="00010BAB">
            <w:pPr>
              <w:pStyle w:val="PargrafodaLista"/>
              <w:spacing w:after="0" w:line="240" w:lineRule="auto"/>
              <w:ind w:left="32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p>
          <w:p w:rsidR="008959F1" w:rsidRPr="004D1BD0" w:rsidRDefault="00214FE7"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rPr>
            </w:pPr>
            <w:r w:rsidRPr="004D1BD0">
              <w:rPr>
                <w:rFonts w:ascii="Times New Roman" w:hAnsi="Times New Roman"/>
                <w:b/>
                <w:color w:val="000000"/>
                <w:szCs w:val="22"/>
              </w:rPr>
              <w:t xml:space="preserve">La réalisation des </w:t>
            </w:r>
            <w:r w:rsidR="003A1015" w:rsidRPr="004D1BD0">
              <w:rPr>
                <w:rFonts w:ascii="Times New Roman" w:hAnsi="Times New Roman"/>
                <w:b/>
                <w:color w:val="000000"/>
                <w:szCs w:val="22"/>
              </w:rPr>
              <w:t>ma</w:t>
            </w:r>
            <w:r w:rsidR="00143819" w:rsidRPr="004D1BD0">
              <w:rPr>
                <w:rFonts w:ascii="Times New Roman" w:hAnsi="Times New Roman"/>
                <w:b/>
                <w:color w:val="000000"/>
                <w:szCs w:val="22"/>
              </w:rPr>
              <w:t>gasins stockage</w:t>
            </w:r>
            <w:r w:rsidR="00682D4D" w:rsidRPr="004D1BD0">
              <w:rPr>
                <w:rFonts w:ascii="Times New Roman" w:hAnsi="Times New Roman"/>
                <w:b/>
                <w:color w:val="000000"/>
                <w:szCs w:val="22"/>
              </w:rPr>
              <w:t>s, des routes d’</w:t>
            </w:r>
            <w:r w:rsidR="00992B3B" w:rsidRPr="004D1BD0">
              <w:rPr>
                <w:rFonts w:ascii="Times New Roman" w:hAnsi="Times New Roman"/>
                <w:b/>
                <w:color w:val="000000"/>
                <w:szCs w:val="22"/>
              </w:rPr>
              <w:t>accès</w:t>
            </w:r>
            <w:r w:rsidR="00682D4D" w:rsidRPr="004D1BD0">
              <w:rPr>
                <w:rFonts w:ascii="Times New Roman" w:hAnsi="Times New Roman"/>
                <w:b/>
                <w:color w:val="000000"/>
                <w:szCs w:val="22"/>
              </w:rPr>
              <w:t xml:space="preserve"> et des marchés locaux permettront</w:t>
            </w:r>
            <w:r w:rsidR="008959F1" w:rsidRPr="004D1BD0">
              <w:rPr>
                <w:rFonts w:ascii="Times New Roman" w:hAnsi="Times New Roman"/>
                <w:b/>
                <w:color w:val="000000"/>
                <w:szCs w:val="22"/>
              </w:rPr>
              <w:t xml:space="preserve"> l’écoulement rapide des produits </w:t>
            </w:r>
            <w:r w:rsidR="00AB0E2A" w:rsidRPr="004D1BD0">
              <w:rPr>
                <w:rFonts w:ascii="Times New Roman" w:hAnsi="Times New Roman"/>
                <w:b/>
                <w:color w:val="000000"/>
                <w:szCs w:val="22"/>
              </w:rPr>
              <w:t xml:space="preserve">agricoles </w:t>
            </w:r>
            <w:r w:rsidR="008959F1" w:rsidRPr="004D1BD0">
              <w:rPr>
                <w:rFonts w:ascii="Times New Roman" w:hAnsi="Times New Roman"/>
                <w:b/>
                <w:color w:val="000000"/>
                <w:szCs w:val="22"/>
              </w:rPr>
              <w:t xml:space="preserve">nécessaires pour </w:t>
            </w:r>
            <w:r w:rsidR="00F67F5E" w:rsidRPr="004D1BD0">
              <w:rPr>
                <w:rFonts w:ascii="Times New Roman" w:hAnsi="Times New Roman"/>
                <w:b/>
                <w:color w:val="000000"/>
                <w:szCs w:val="22"/>
              </w:rPr>
              <w:t xml:space="preserve">atteindre </w:t>
            </w:r>
            <w:r w:rsidR="002E0D2D" w:rsidRPr="004D1BD0">
              <w:rPr>
                <w:rFonts w:ascii="Times New Roman" w:hAnsi="Times New Roman"/>
                <w:b/>
                <w:color w:val="000000"/>
                <w:szCs w:val="22"/>
              </w:rPr>
              <w:t xml:space="preserve">la sécurité </w:t>
            </w:r>
            <w:r w:rsidR="00EA0DB2" w:rsidRPr="004D1BD0">
              <w:rPr>
                <w:rFonts w:ascii="Times New Roman" w:hAnsi="Times New Roman"/>
                <w:b/>
                <w:color w:val="000000"/>
                <w:szCs w:val="22"/>
              </w:rPr>
              <w:t>alimentaire</w:t>
            </w:r>
            <w:r w:rsidR="00657C27" w:rsidRPr="004D1BD0">
              <w:rPr>
                <w:rFonts w:ascii="Times New Roman" w:hAnsi="Times New Roman"/>
                <w:b/>
                <w:color w:val="000000"/>
                <w:szCs w:val="22"/>
              </w:rPr>
              <w:t xml:space="preserve"> en Guinée Bissau ;</w:t>
            </w:r>
          </w:p>
          <w:p w:rsidR="00EA0DB2" w:rsidRPr="004D1BD0" w:rsidRDefault="00EA0DB2" w:rsidP="00010BAB">
            <w:pPr>
              <w:cnfStyle w:val="000000100000" w:firstRow="0" w:lastRow="0" w:firstColumn="0" w:lastColumn="0" w:oddVBand="0" w:evenVBand="0" w:oddHBand="1" w:evenHBand="0" w:firstRowFirstColumn="0" w:firstRowLastColumn="0" w:lastRowFirstColumn="0" w:lastRowLastColumn="0"/>
              <w:rPr>
                <w:color w:val="000000"/>
                <w:szCs w:val="22"/>
              </w:rPr>
            </w:pPr>
          </w:p>
          <w:p w:rsidR="00EA0DB2" w:rsidRPr="004D1BD0" w:rsidRDefault="0063077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Augmentation </w:t>
            </w:r>
            <w:r w:rsidR="009C64CA" w:rsidRPr="004D1BD0">
              <w:rPr>
                <w:rFonts w:ascii="Times New Roman" w:hAnsi="Times New Roman"/>
                <w:b/>
                <w:color w:val="000000"/>
                <w:szCs w:val="22"/>
              </w:rPr>
              <w:t xml:space="preserve">des </w:t>
            </w:r>
            <w:r w:rsidR="00122926" w:rsidRPr="004D1BD0">
              <w:rPr>
                <w:rFonts w:ascii="Times New Roman" w:hAnsi="Times New Roman"/>
                <w:b/>
                <w:color w:val="000000"/>
                <w:szCs w:val="22"/>
              </w:rPr>
              <w:t>revenus</w:t>
            </w:r>
            <w:r w:rsidR="009C64CA" w:rsidRPr="004D1BD0">
              <w:rPr>
                <w:rFonts w:ascii="Times New Roman" w:hAnsi="Times New Roman"/>
                <w:b/>
                <w:color w:val="000000"/>
                <w:szCs w:val="22"/>
              </w:rPr>
              <w:t xml:space="preserve"> </w:t>
            </w:r>
            <w:r w:rsidR="000B57D2" w:rsidRPr="004D1BD0">
              <w:rPr>
                <w:rFonts w:ascii="Times New Roman" w:hAnsi="Times New Roman"/>
                <w:b/>
                <w:color w:val="000000"/>
                <w:szCs w:val="22"/>
              </w:rPr>
              <w:t xml:space="preserve">des </w:t>
            </w:r>
            <w:r w:rsidR="00122926" w:rsidRPr="004D1BD0">
              <w:rPr>
                <w:rFonts w:ascii="Times New Roman" w:hAnsi="Times New Roman"/>
                <w:b/>
                <w:color w:val="000000"/>
                <w:szCs w:val="22"/>
              </w:rPr>
              <w:t xml:space="preserve">ouvriers ou des jeunes au niveau </w:t>
            </w:r>
            <w:r w:rsidR="00CB5826" w:rsidRPr="004D1BD0">
              <w:rPr>
                <w:rFonts w:ascii="Times New Roman" w:hAnsi="Times New Roman"/>
                <w:b/>
                <w:color w:val="000000"/>
                <w:szCs w:val="22"/>
              </w:rPr>
              <w:t xml:space="preserve">des zones </w:t>
            </w:r>
            <w:r w:rsidR="00003447" w:rsidRPr="004D1BD0">
              <w:rPr>
                <w:rFonts w:ascii="Times New Roman" w:hAnsi="Times New Roman"/>
                <w:b/>
                <w:color w:val="000000"/>
                <w:szCs w:val="22"/>
              </w:rPr>
              <w:t>intervention des activités</w:t>
            </w:r>
          </w:p>
          <w:p w:rsidR="00EF4AC4" w:rsidRPr="004D1BD0" w:rsidRDefault="00EF4AC4" w:rsidP="00010BAB">
            <w:pPr>
              <w:cnfStyle w:val="000000100000" w:firstRow="0" w:lastRow="0" w:firstColumn="0" w:lastColumn="0" w:oddVBand="0" w:evenVBand="0" w:oddHBand="1" w:evenHBand="0" w:firstRowFirstColumn="0" w:firstRowLastColumn="0" w:lastRowFirstColumn="0" w:lastRowLastColumn="0"/>
              <w:rPr>
                <w:color w:val="000000"/>
                <w:szCs w:val="22"/>
              </w:rPr>
            </w:pPr>
          </w:p>
          <w:p w:rsidR="00EF4AC4" w:rsidRPr="004D1BD0" w:rsidRDefault="004B0ED1" w:rsidP="00157035">
            <w:pPr>
              <w:pStyle w:val="PargrafodaLista"/>
              <w:numPr>
                <w:ilvl w:val="0"/>
                <w:numId w:val="51"/>
              </w:numPr>
              <w:spacing w:after="0" w:line="240" w:lineRule="auto"/>
              <w:ind w:left="320" w:hanging="28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Création</w:t>
            </w:r>
            <w:r w:rsidR="003F744D" w:rsidRPr="004D1BD0">
              <w:rPr>
                <w:rFonts w:ascii="Times New Roman" w:hAnsi="Times New Roman"/>
                <w:b/>
                <w:color w:val="000000"/>
                <w:szCs w:val="22"/>
              </w:rPr>
              <w:t xml:space="preserve"> </w:t>
            </w:r>
            <w:r w:rsidR="00E34E43" w:rsidRPr="004D1BD0">
              <w:rPr>
                <w:rFonts w:ascii="Times New Roman" w:hAnsi="Times New Roman"/>
                <w:b/>
                <w:color w:val="000000"/>
                <w:szCs w:val="22"/>
              </w:rPr>
              <w:t>opportunité</w:t>
            </w:r>
            <w:r w:rsidR="002352F0" w:rsidRPr="004D1BD0">
              <w:rPr>
                <w:rFonts w:ascii="Times New Roman" w:hAnsi="Times New Roman"/>
                <w:b/>
                <w:color w:val="000000"/>
                <w:szCs w:val="22"/>
              </w:rPr>
              <w:t xml:space="preserve"> </w:t>
            </w:r>
            <w:r w:rsidR="00AF1B54" w:rsidRPr="004D1BD0">
              <w:rPr>
                <w:rFonts w:ascii="Times New Roman" w:hAnsi="Times New Roman"/>
                <w:b/>
                <w:color w:val="000000"/>
                <w:szCs w:val="22"/>
              </w:rPr>
              <w:t xml:space="preserve">d’affaire pour les entreprise </w:t>
            </w:r>
            <w:r w:rsidR="00E34E43" w:rsidRPr="004D1BD0">
              <w:rPr>
                <w:rFonts w:ascii="Times New Roman" w:hAnsi="Times New Roman"/>
                <w:b/>
                <w:color w:val="000000"/>
                <w:szCs w:val="22"/>
              </w:rPr>
              <w:t>BTP et les associations.</w:t>
            </w:r>
          </w:p>
        </w:tc>
      </w:tr>
      <w:tr w:rsidR="00C662B9" w:rsidRPr="00A05698" w:rsidTr="00B372FC">
        <w:trPr>
          <w:trHeight w:val="3618"/>
        </w:trPr>
        <w:tc>
          <w:tcPr>
            <w:cnfStyle w:val="001000000000" w:firstRow="0" w:lastRow="0" w:firstColumn="1" w:lastColumn="0" w:oddVBand="0" w:evenVBand="0" w:oddHBand="0" w:evenHBand="0" w:firstRowFirstColumn="0" w:firstRowLastColumn="0" w:lastRowFirstColumn="0" w:lastRowLastColumn="0"/>
            <w:tcW w:w="2745" w:type="dxa"/>
            <w:vAlign w:val="center"/>
          </w:tcPr>
          <w:p w:rsidR="008959F1" w:rsidRPr="00A05698" w:rsidRDefault="00E52E3E" w:rsidP="00700ACF">
            <w:pPr>
              <w:jc w:val="center"/>
              <w:rPr>
                <w:bCs w:val="0"/>
                <w:i/>
                <w:sz w:val="28"/>
                <w:szCs w:val="28"/>
              </w:rPr>
            </w:pPr>
            <w:r w:rsidRPr="00A05698">
              <w:rPr>
                <w:bCs w:val="0"/>
                <w:i/>
                <w:sz w:val="28"/>
                <w:szCs w:val="28"/>
              </w:rPr>
              <w:lastRenderedPageBreak/>
              <w:t>Soutien à l</w:t>
            </w:r>
            <w:r w:rsidR="00A05714" w:rsidRPr="00A05698">
              <w:rPr>
                <w:bCs w:val="0"/>
                <w:i/>
                <w:sz w:val="28"/>
                <w:szCs w:val="28"/>
              </w:rPr>
              <w:t>’</w:t>
            </w:r>
            <w:r w:rsidRPr="00A05698">
              <w:rPr>
                <w:bCs w:val="0"/>
                <w:i/>
                <w:sz w:val="28"/>
                <w:szCs w:val="28"/>
              </w:rPr>
              <w:t>atténuation des risques</w:t>
            </w:r>
          </w:p>
        </w:tc>
        <w:tc>
          <w:tcPr>
            <w:tcW w:w="3916" w:type="dxa"/>
            <w:vAlign w:val="center"/>
          </w:tcPr>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Tendance de la baisse pluviométrie caractérisée par une variabilité inter et intra annuelle ;</w:t>
            </w:r>
          </w:p>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tc>
        <w:tc>
          <w:tcPr>
            <w:tcW w:w="4098" w:type="dxa"/>
            <w:vAlign w:val="center"/>
          </w:tcPr>
          <w:p w:rsidR="00C03DDF" w:rsidRPr="004D1BD0" w:rsidRDefault="00C03DDF"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Augmentation </w:t>
            </w:r>
            <w:r w:rsidR="00CA365E" w:rsidRPr="004D1BD0">
              <w:rPr>
                <w:rFonts w:ascii="Times New Roman" w:hAnsi="Times New Roman"/>
                <w:b/>
                <w:color w:val="000000"/>
                <w:szCs w:val="22"/>
              </w:rPr>
              <w:t xml:space="preserve">des mesures de </w:t>
            </w:r>
            <w:r w:rsidR="002F5450" w:rsidRPr="004D1BD0">
              <w:rPr>
                <w:rFonts w:ascii="Times New Roman" w:hAnsi="Times New Roman"/>
                <w:b/>
                <w:color w:val="000000"/>
                <w:szCs w:val="22"/>
              </w:rPr>
              <w:t>prévention</w:t>
            </w:r>
            <w:r w:rsidR="00CA365E" w:rsidRPr="004D1BD0">
              <w:rPr>
                <w:rFonts w:ascii="Times New Roman" w:hAnsi="Times New Roman"/>
                <w:b/>
                <w:color w:val="000000"/>
                <w:szCs w:val="22"/>
              </w:rPr>
              <w:t xml:space="preserve"> et d’</w:t>
            </w:r>
            <w:r w:rsidR="002F5450" w:rsidRPr="004D1BD0">
              <w:rPr>
                <w:rFonts w:ascii="Times New Roman" w:hAnsi="Times New Roman"/>
                <w:b/>
                <w:color w:val="000000"/>
                <w:szCs w:val="22"/>
              </w:rPr>
              <w:t>intervention contre</w:t>
            </w:r>
            <w:r w:rsidR="00767529" w:rsidRPr="004D1BD0">
              <w:rPr>
                <w:rFonts w:ascii="Times New Roman" w:hAnsi="Times New Roman"/>
                <w:b/>
                <w:color w:val="000000"/>
                <w:szCs w:val="22"/>
              </w:rPr>
              <w:t xml:space="preserve"> les catastrop</w:t>
            </w:r>
            <w:r w:rsidR="002F5450" w:rsidRPr="004D1BD0">
              <w:rPr>
                <w:rFonts w:ascii="Times New Roman" w:hAnsi="Times New Roman"/>
                <w:b/>
                <w:color w:val="000000"/>
                <w:szCs w:val="22"/>
              </w:rPr>
              <w:t xml:space="preserve">hes naturelles ou </w:t>
            </w:r>
            <w:r w:rsidR="00FB1F57" w:rsidRPr="004D1BD0">
              <w:rPr>
                <w:rFonts w:ascii="Times New Roman" w:hAnsi="Times New Roman"/>
                <w:b/>
                <w:color w:val="000000"/>
                <w:szCs w:val="22"/>
              </w:rPr>
              <w:t>sanitaire ;</w:t>
            </w:r>
          </w:p>
          <w:p w:rsidR="008959F1" w:rsidRPr="004D1BD0" w:rsidRDefault="00CA0FEF"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Meilleure gestion</w:t>
            </w:r>
            <w:r w:rsidR="0037025A" w:rsidRPr="004D1BD0">
              <w:rPr>
                <w:rFonts w:ascii="Times New Roman" w:hAnsi="Times New Roman"/>
                <w:b/>
                <w:color w:val="000000"/>
                <w:szCs w:val="22"/>
              </w:rPr>
              <w:t xml:space="preserve"> des risques de </w:t>
            </w:r>
            <w:r w:rsidR="008959F1" w:rsidRPr="004D1BD0">
              <w:rPr>
                <w:rFonts w:ascii="Times New Roman" w:hAnsi="Times New Roman"/>
                <w:b/>
                <w:color w:val="000000"/>
                <w:szCs w:val="22"/>
              </w:rPr>
              <w:t xml:space="preserve">Conflits entre plusieurs catégories </w:t>
            </w:r>
            <w:r w:rsidRPr="004D1BD0">
              <w:rPr>
                <w:rFonts w:ascii="Times New Roman" w:hAnsi="Times New Roman"/>
                <w:b/>
                <w:color w:val="000000"/>
                <w:szCs w:val="22"/>
              </w:rPr>
              <w:t>socioprofessionnelles ;</w:t>
            </w:r>
          </w:p>
          <w:p w:rsidR="00EF2A9D"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 xml:space="preserve">Obtention des </w:t>
            </w:r>
            <w:r w:rsidR="00083AEA" w:rsidRPr="004D1BD0">
              <w:rPr>
                <w:rFonts w:ascii="Times New Roman" w:hAnsi="Times New Roman"/>
                <w:b/>
                <w:color w:val="000000"/>
                <w:szCs w:val="22"/>
              </w:rPr>
              <w:t xml:space="preserve">stratégiques de </w:t>
            </w:r>
            <w:r w:rsidR="008A73C7" w:rsidRPr="004D1BD0">
              <w:rPr>
                <w:rFonts w:ascii="Times New Roman" w:hAnsi="Times New Roman"/>
                <w:b/>
                <w:color w:val="000000"/>
                <w:szCs w:val="22"/>
              </w:rPr>
              <w:t xml:space="preserve">gestion des </w:t>
            </w:r>
            <w:r w:rsidR="00706DB6" w:rsidRPr="004D1BD0">
              <w:rPr>
                <w:rFonts w:ascii="Times New Roman" w:hAnsi="Times New Roman"/>
                <w:b/>
                <w:color w:val="000000"/>
                <w:szCs w:val="22"/>
              </w:rPr>
              <w:t>mesures d’atténuation des risques ;</w:t>
            </w:r>
          </w:p>
          <w:p w:rsidR="006653CA"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rPr>
              <w:t>Appuyer, Former et encadrer les agriculteurs qui intervient dans la production des filières prioritaire </w:t>
            </w:r>
            <w:r w:rsidR="00EF2A9D" w:rsidRPr="004D1BD0">
              <w:rPr>
                <w:rFonts w:ascii="Times New Roman" w:hAnsi="Times New Roman"/>
                <w:b/>
                <w:color w:val="000000"/>
              </w:rPr>
              <w:t>(</w:t>
            </w:r>
            <w:r w:rsidR="00127ECB" w:rsidRPr="004D1BD0">
              <w:rPr>
                <w:rFonts w:ascii="Times New Roman" w:hAnsi="Times New Roman"/>
                <w:b/>
                <w:color w:val="000000"/>
              </w:rPr>
              <w:t xml:space="preserve">noix de cajou, mil, </w:t>
            </w:r>
            <w:r w:rsidR="006653CA" w:rsidRPr="004D1BD0">
              <w:rPr>
                <w:rFonts w:ascii="Times New Roman" w:hAnsi="Times New Roman"/>
                <w:b/>
                <w:color w:val="000000"/>
              </w:rPr>
              <w:t>riz, maïs</w:t>
            </w:r>
            <w:r w:rsidR="00127ECB" w:rsidRPr="004D1BD0">
              <w:rPr>
                <w:rFonts w:ascii="Times New Roman" w:hAnsi="Times New Roman"/>
                <w:b/>
                <w:color w:val="000000"/>
              </w:rPr>
              <w:t>, manioc, sorgho</w:t>
            </w:r>
            <w:r w:rsidR="00A81950" w:rsidRPr="004D1BD0">
              <w:rPr>
                <w:rFonts w:ascii="Times New Roman" w:hAnsi="Times New Roman"/>
                <w:b/>
                <w:color w:val="000000"/>
              </w:rPr>
              <w:t>) ;</w:t>
            </w:r>
          </w:p>
          <w:p w:rsidR="00156D9F" w:rsidRPr="004D1BD0" w:rsidRDefault="006653CA"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rPr>
              <w:t xml:space="preserve">Une meilleure connaissance des </w:t>
            </w:r>
            <w:r w:rsidR="008959F1" w:rsidRPr="004D1BD0">
              <w:rPr>
                <w:rFonts w:ascii="Times New Roman" w:hAnsi="Times New Roman"/>
                <w:b/>
                <w:color w:val="000000"/>
              </w:rPr>
              <w:t>enjeu</w:t>
            </w:r>
            <w:r w:rsidRPr="004D1BD0">
              <w:rPr>
                <w:rFonts w:ascii="Times New Roman" w:hAnsi="Times New Roman"/>
                <w:b/>
                <w:color w:val="000000"/>
              </w:rPr>
              <w:t>x</w:t>
            </w:r>
            <w:r w:rsidR="008959F1" w:rsidRPr="004D1BD0">
              <w:rPr>
                <w:rFonts w:ascii="Times New Roman" w:hAnsi="Times New Roman"/>
                <w:b/>
                <w:color w:val="000000"/>
              </w:rPr>
              <w:t xml:space="preserve"> au niveau sanitaire existe avec </w:t>
            </w:r>
            <w:r w:rsidR="00156D9F" w:rsidRPr="004D1BD0">
              <w:rPr>
                <w:rFonts w:ascii="Times New Roman" w:hAnsi="Times New Roman"/>
                <w:b/>
                <w:color w:val="000000"/>
              </w:rPr>
              <w:t>les traitements phytosanitaires.</w:t>
            </w:r>
          </w:p>
          <w:p w:rsidR="00156D9F" w:rsidRPr="004D1BD0" w:rsidRDefault="00F7672B"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D</w:t>
            </w:r>
            <w:r w:rsidR="0093528B" w:rsidRPr="004D1BD0">
              <w:rPr>
                <w:rFonts w:ascii="Times New Roman" w:hAnsi="Times New Roman"/>
                <w:b/>
                <w:color w:val="000000"/>
                <w:szCs w:val="22"/>
              </w:rPr>
              <w:t xml:space="preserve">isposition de moyen pour les services de l’Etat à la gestion </w:t>
            </w:r>
            <w:r w:rsidR="00A64F0A" w:rsidRPr="004D1BD0">
              <w:rPr>
                <w:rFonts w:ascii="Times New Roman" w:hAnsi="Times New Roman"/>
                <w:b/>
                <w:color w:val="000000"/>
                <w:szCs w:val="22"/>
              </w:rPr>
              <w:t>des risque naturelles (</w:t>
            </w:r>
            <w:r w:rsidR="00B51E22" w:rsidRPr="004D1BD0">
              <w:rPr>
                <w:rFonts w:ascii="Times New Roman" w:hAnsi="Times New Roman"/>
                <w:b/>
                <w:color w:val="000000"/>
                <w:szCs w:val="22"/>
              </w:rPr>
              <w:t>inondation</w:t>
            </w:r>
            <w:r w:rsidR="00A64F0A" w:rsidRPr="004D1BD0">
              <w:rPr>
                <w:rFonts w:ascii="Times New Roman" w:hAnsi="Times New Roman"/>
                <w:b/>
                <w:color w:val="000000"/>
                <w:szCs w:val="22"/>
              </w:rPr>
              <w:t xml:space="preserve">), des </w:t>
            </w:r>
            <w:r w:rsidR="00B51E22" w:rsidRPr="004D1BD0">
              <w:rPr>
                <w:rFonts w:ascii="Times New Roman" w:hAnsi="Times New Roman"/>
                <w:b/>
                <w:color w:val="000000"/>
                <w:szCs w:val="22"/>
              </w:rPr>
              <w:t>risques sanitaires (Covid 19), etc. ;</w:t>
            </w:r>
          </w:p>
        </w:tc>
        <w:tc>
          <w:tcPr>
            <w:tcW w:w="3845" w:type="dxa"/>
            <w:vAlign w:val="center"/>
          </w:tcPr>
          <w:p w:rsidR="008959F1" w:rsidRPr="004D1BD0" w:rsidRDefault="008959F1"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Coûts élevés de</w:t>
            </w:r>
            <w:r w:rsidR="001A6B55" w:rsidRPr="004D1BD0">
              <w:rPr>
                <w:rFonts w:ascii="Times New Roman" w:hAnsi="Times New Roman"/>
                <w:b/>
                <w:color w:val="000000"/>
                <w:szCs w:val="22"/>
              </w:rPr>
              <w:t xml:space="preserve"> mise en œuvre des </w:t>
            </w:r>
            <w:r w:rsidR="008659B7" w:rsidRPr="004D1BD0">
              <w:rPr>
                <w:rFonts w:ascii="Times New Roman" w:hAnsi="Times New Roman"/>
                <w:b/>
                <w:color w:val="000000"/>
                <w:szCs w:val="22"/>
              </w:rPr>
              <w:t xml:space="preserve">mesures </w:t>
            </w:r>
            <w:r w:rsidR="00A57DCB" w:rsidRPr="004D1BD0">
              <w:rPr>
                <w:rFonts w:ascii="Times New Roman" w:hAnsi="Times New Roman"/>
                <w:b/>
                <w:color w:val="000000"/>
                <w:szCs w:val="22"/>
              </w:rPr>
              <w:t>des gestions</w:t>
            </w:r>
            <w:r w:rsidR="008659B7" w:rsidRPr="004D1BD0">
              <w:rPr>
                <w:rFonts w:ascii="Times New Roman" w:hAnsi="Times New Roman"/>
                <w:b/>
                <w:color w:val="000000"/>
                <w:szCs w:val="22"/>
              </w:rPr>
              <w:t xml:space="preserve"> des risques</w:t>
            </w:r>
            <w:r w:rsidR="002A11C2" w:rsidRPr="004D1BD0">
              <w:rPr>
                <w:rFonts w:ascii="Times New Roman" w:hAnsi="Times New Roman"/>
                <w:b/>
                <w:color w:val="000000"/>
                <w:szCs w:val="22"/>
              </w:rPr>
              <w:t xml:space="preserve"> </w:t>
            </w:r>
            <w:r w:rsidRPr="004D1BD0">
              <w:rPr>
                <w:rFonts w:ascii="Times New Roman" w:hAnsi="Times New Roman"/>
                <w:b/>
                <w:color w:val="000000"/>
                <w:szCs w:val="22"/>
              </w:rPr>
              <w:t>;</w:t>
            </w:r>
          </w:p>
          <w:p w:rsidR="008959F1" w:rsidRPr="004D1BD0" w:rsidRDefault="002A11C2"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w:t>
            </w:r>
            <w:r w:rsidR="00D65F3F" w:rsidRPr="004D1BD0">
              <w:rPr>
                <w:rFonts w:ascii="Times New Roman" w:hAnsi="Times New Roman"/>
                <w:iCs/>
                <w:color w:val="000000"/>
                <w:szCs w:val="22"/>
              </w:rPr>
              <w:t>Lié</w:t>
            </w:r>
            <w:r w:rsidR="008959F1" w:rsidRPr="004D1BD0">
              <w:rPr>
                <w:rFonts w:ascii="Times New Roman" w:hAnsi="Times New Roman"/>
                <w:iCs/>
                <w:color w:val="000000"/>
                <w:szCs w:val="22"/>
              </w:rPr>
              <w:t>s aux prix d’achat des</w:t>
            </w:r>
            <w:r w:rsidRPr="004D1BD0">
              <w:rPr>
                <w:rFonts w:ascii="Times New Roman" w:hAnsi="Times New Roman"/>
                <w:iCs/>
                <w:color w:val="000000"/>
                <w:szCs w:val="22"/>
              </w:rPr>
              <w:t xml:space="preserve"> </w:t>
            </w:r>
            <w:r w:rsidR="0049442E" w:rsidRPr="004D1BD0">
              <w:rPr>
                <w:rFonts w:ascii="Times New Roman" w:hAnsi="Times New Roman"/>
                <w:iCs/>
                <w:color w:val="000000"/>
                <w:szCs w:val="22"/>
              </w:rPr>
              <w:t>matérielles</w:t>
            </w:r>
            <w:r w:rsidR="00660937" w:rsidRPr="004D1BD0">
              <w:rPr>
                <w:rFonts w:ascii="Times New Roman" w:hAnsi="Times New Roman"/>
                <w:iCs/>
                <w:color w:val="000000"/>
                <w:szCs w:val="22"/>
              </w:rPr>
              <w:t xml:space="preserve"> nécessaire</w:t>
            </w:r>
            <w:r w:rsidRPr="004D1BD0">
              <w:rPr>
                <w:rFonts w:ascii="Times New Roman" w:hAnsi="Times New Roman"/>
                <w:iCs/>
                <w:color w:val="000000"/>
                <w:szCs w:val="22"/>
              </w:rPr>
              <w:t xml:space="preserve"> </w:t>
            </w:r>
            <w:r w:rsidR="008959F1" w:rsidRPr="004D1BD0">
              <w:rPr>
                <w:rFonts w:ascii="Times New Roman" w:hAnsi="Times New Roman"/>
                <w:iCs/>
                <w:color w:val="000000"/>
                <w:szCs w:val="22"/>
              </w:rPr>
              <w:t>;</w:t>
            </w:r>
          </w:p>
          <w:p w:rsidR="008959F1" w:rsidRPr="004D1BD0" w:rsidRDefault="00D65F3F" w:rsidP="00010BAB">
            <w:pPr>
              <w:pStyle w:val="PargrafodaLista"/>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Cs w:val="22"/>
              </w:rPr>
            </w:pPr>
            <w:r w:rsidRPr="004D1BD0">
              <w:rPr>
                <w:rFonts w:ascii="Times New Roman" w:hAnsi="Times New Roman"/>
                <w:iCs/>
                <w:color w:val="000000"/>
                <w:szCs w:val="22"/>
              </w:rPr>
              <w:t>-lié</w:t>
            </w:r>
            <w:r w:rsidR="00AE4AB1" w:rsidRPr="004D1BD0">
              <w:rPr>
                <w:rFonts w:ascii="Times New Roman" w:hAnsi="Times New Roman"/>
                <w:iCs/>
                <w:color w:val="000000"/>
                <w:szCs w:val="22"/>
              </w:rPr>
              <w:t xml:space="preserve">s </w:t>
            </w:r>
            <w:r w:rsidR="007F0603" w:rsidRPr="004D1BD0">
              <w:rPr>
                <w:rFonts w:ascii="Times New Roman" w:hAnsi="Times New Roman"/>
                <w:iCs/>
                <w:color w:val="000000"/>
                <w:szCs w:val="22"/>
              </w:rPr>
              <w:t>aux disponibilités</w:t>
            </w:r>
            <w:r w:rsidR="00AE4AB1" w:rsidRPr="004D1BD0">
              <w:rPr>
                <w:rFonts w:ascii="Times New Roman" w:hAnsi="Times New Roman"/>
                <w:iCs/>
                <w:color w:val="000000"/>
                <w:szCs w:val="22"/>
              </w:rPr>
              <w:t xml:space="preserve"> </w:t>
            </w:r>
            <w:r w:rsidR="00A57DCB" w:rsidRPr="004D1BD0">
              <w:rPr>
                <w:rFonts w:ascii="Times New Roman" w:hAnsi="Times New Roman"/>
                <w:iCs/>
                <w:color w:val="000000"/>
                <w:szCs w:val="22"/>
              </w:rPr>
              <w:t>des moyens financiers</w:t>
            </w:r>
            <w:r w:rsidR="007F0603" w:rsidRPr="004D1BD0">
              <w:rPr>
                <w:rFonts w:ascii="Times New Roman" w:hAnsi="Times New Roman"/>
                <w:iCs/>
                <w:color w:val="000000"/>
                <w:szCs w:val="22"/>
              </w:rPr>
              <w:t> ;</w:t>
            </w:r>
          </w:p>
          <w:p w:rsidR="007F0603" w:rsidRPr="004D1BD0" w:rsidRDefault="00D65F3F" w:rsidP="00157035">
            <w:pPr>
              <w:pStyle w:val="PargrafodaLista"/>
              <w:numPr>
                <w:ilvl w:val="0"/>
                <w:numId w:val="51"/>
              </w:numPr>
              <w:spacing w:after="0" w:line="240" w:lineRule="auto"/>
              <w:ind w:left="320" w:hanging="28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r w:rsidRPr="004D1BD0">
              <w:rPr>
                <w:rFonts w:ascii="Times New Roman" w:hAnsi="Times New Roman"/>
                <w:b/>
                <w:color w:val="000000"/>
                <w:szCs w:val="22"/>
              </w:rPr>
              <w:t>Couts liés</w:t>
            </w:r>
            <w:r w:rsidR="007F0603" w:rsidRPr="004D1BD0">
              <w:rPr>
                <w:rFonts w:ascii="Times New Roman" w:hAnsi="Times New Roman"/>
                <w:b/>
                <w:color w:val="000000"/>
                <w:szCs w:val="22"/>
              </w:rPr>
              <w:t xml:space="preserve"> au renforcement des capacité</w:t>
            </w:r>
            <w:r w:rsidRPr="004D1BD0">
              <w:rPr>
                <w:rFonts w:ascii="Times New Roman" w:hAnsi="Times New Roman"/>
                <w:b/>
                <w:color w:val="000000"/>
                <w:szCs w:val="22"/>
              </w:rPr>
              <w:t>s</w:t>
            </w:r>
            <w:r w:rsidR="007F0603" w:rsidRPr="004D1BD0">
              <w:rPr>
                <w:rFonts w:ascii="Times New Roman" w:hAnsi="Times New Roman"/>
                <w:b/>
                <w:color w:val="000000"/>
                <w:szCs w:val="22"/>
              </w:rPr>
              <w:t xml:space="preserve"> des acteurs</w:t>
            </w:r>
            <w:r w:rsidRPr="004D1BD0">
              <w:rPr>
                <w:rFonts w:ascii="Times New Roman" w:hAnsi="Times New Roman"/>
                <w:b/>
                <w:color w:val="000000"/>
                <w:szCs w:val="22"/>
              </w:rPr>
              <w:t> ;</w:t>
            </w:r>
          </w:p>
          <w:p w:rsidR="00D65F3F" w:rsidRPr="004D1BD0" w:rsidRDefault="00D65F3F" w:rsidP="00010BAB">
            <w:pPr>
              <w:pStyle w:val="PargrafodaLista"/>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2"/>
              </w:rPr>
            </w:pPr>
          </w:p>
          <w:p w:rsidR="007F0603" w:rsidRPr="004D1BD0" w:rsidRDefault="007F0603" w:rsidP="00010BAB">
            <w:pPr>
              <w:pStyle w:val="PargrafodaLista"/>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Cs w:val="22"/>
              </w:rPr>
            </w:pPr>
          </w:p>
          <w:p w:rsidR="008959F1" w:rsidRPr="004D1BD0" w:rsidRDefault="008959F1" w:rsidP="00157035">
            <w:pPr>
              <w:pStyle w:val="PargrafodaLista"/>
              <w:numPr>
                <w:ilvl w:val="0"/>
                <w:numId w:val="52"/>
              </w:numPr>
              <w:spacing w:after="0" w:line="240" w:lineRule="auto"/>
              <w:ind w:left="0" w:hanging="105"/>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Cs w:val="22"/>
              </w:rPr>
            </w:pPr>
          </w:p>
        </w:tc>
      </w:tr>
    </w:tbl>
    <w:p w:rsidR="006B259C" w:rsidRPr="00A05698" w:rsidRDefault="006B259C" w:rsidP="004F4212">
      <w:pPr>
        <w:tabs>
          <w:tab w:val="left" w:pos="3811"/>
        </w:tabs>
        <w:ind w:right="-851"/>
        <w:rPr>
          <w:b/>
        </w:rPr>
      </w:pPr>
    </w:p>
    <w:p w:rsidR="00AC4DBD" w:rsidRPr="00A05698" w:rsidRDefault="00AC4DBD" w:rsidP="004F4212">
      <w:pPr>
        <w:pStyle w:val="Primeiroavanodecorpodetexto2"/>
        <w:spacing w:line="240" w:lineRule="auto"/>
        <w:rPr>
          <w:rFonts w:ascii="Times New Roman" w:hAnsi="Times New Roman"/>
        </w:rPr>
        <w:sectPr w:rsidR="00AC4DBD" w:rsidRPr="00A05698" w:rsidSect="00AC4DBD">
          <w:pgSz w:w="16838" w:h="11906" w:orient="landscape"/>
          <w:pgMar w:top="1417" w:right="1417" w:bottom="1417" w:left="1417" w:header="316" w:footer="708" w:gutter="0"/>
          <w:cols w:space="708"/>
          <w:docGrid w:linePitch="360"/>
        </w:sectPr>
      </w:pPr>
    </w:p>
    <w:p w:rsidR="00DA2CB9" w:rsidRPr="00760E97" w:rsidRDefault="00C06DB6" w:rsidP="0075023A">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left="0" w:right="12" w:firstLine="0"/>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77" w:name="_Toc75432297"/>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ANALYSE DES ALTERNATIVES ;</w:t>
      </w:r>
      <w:bookmarkEnd w:id="277"/>
    </w:p>
    <w:p w:rsidR="00BE7385" w:rsidRDefault="00BE7385" w:rsidP="00700ACF">
      <w:pPr>
        <w:ind w:left="-284" w:right="-851"/>
        <w:jc w:val="both"/>
      </w:pPr>
    </w:p>
    <w:p w:rsidR="00B53B63" w:rsidRPr="00A05698" w:rsidRDefault="00B53B63" w:rsidP="0075023A">
      <w:pPr>
        <w:ind w:right="12"/>
        <w:jc w:val="both"/>
      </w:pPr>
      <w:r w:rsidRPr="00A05698">
        <w:t>L’analyse consiste à identifier les variantes ou alternatives pertinentes et à les comparer en termes d’avantages et d’inconvénients selon l’environnement biophysique et socio - économique. Mais aussi par rapport aux solutions proposées en termes de</w:t>
      </w:r>
      <w:r w:rsidR="005B1F1B" w:rsidRPr="00A05698">
        <w:t xml:space="preserve"> s</w:t>
      </w:r>
      <w:r w:rsidR="002C0162" w:rsidRPr="00A05698">
        <w:t>outien à la production agricole</w:t>
      </w:r>
      <w:r w:rsidR="005B1F1B" w:rsidRPr="00A05698">
        <w:t>, de s</w:t>
      </w:r>
      <w:r w:rsidR="002C0162" w:rsidRPr="00A05698">
        <w:t>outien aux Filets de Sécurité communautaires</w:t>
      </w:r>
      <w:r w:rsidR="00F7484E" w:rsidRPr="00A05698">
        <w:t xml:space="preserve"> et de s</w:t>
      </w:r>
      <w:r w:rsidR="002C0162" w:rsidRPr="00A05698">
        <w:t>outien à l</w:t>
      </w:r>
      <w:r w:rsidR="00A05714" w:rsidRPr="00A05698">
        <w:t>’</w:t>
      </w:r>
      <w:r w:rsidR="002C0162" w:rsidRPr="00A05698">
        <w:t>atténuation des risques</w:t>
      </w:r>
      <w:r w:rsidR="00F7484E" w:rsidRPr="00A05698">
        <w:t>.</w:t>
      </w:r>
    </w:p>
    <w:p w:rsidR="00700ACF" w:rsidRPr="00A05698" w:rsidRDefault="00700ACF" w:rsidP="007056AF"/>
    <w:p w:rsidR="00F7484E" w:rsidRPr="00A05698" w:rsidRDefault="003B38B7" w:rsidP="004F0DC1">
      <w:pPr>
        <w:pStyle w:val="PargrafodaLista"/>
        <w:numPr>
          <w:ilvl w:val="1"/>
          <w:numId w:val="99"/>
        </w:numPr>
        <w:spacing w:after="120" w:line="240" w:lineRule="auto"/>
        <w:outlineLvl w:val="1"/>
        <w:rPr>
          <w:rFonts w:ascii="Times New Roman" w:hAnsi="Times New Roman"/>
          <w:b/>
          <w:bCs/>
          <w:sz w:val="24"/>
          <w:szCs w:val="24"/>
        </w:rPr>
      </w:pPr>
      <w:bookmarkStart w:id="278" w:name="_Toc75432298"/>
      <w:r w:rsidRPr="00A05698">
        <w:rPr>
          <w:rFonts w:ascii="Times New Roman" w:hAnsi="Times New Roman"/>
          <w:b/>
          <w:bCs/>
          <w:sz w:val="24"/>
          <w:szCs w:val="24"/>
        </w:rPr>
        <w:t>PRESENTATION ET ANALYSE DES ALTERNATIVES</w:t>
      </w:r>
      <w:bookmarkEnd w:id="278"/>
      <w:r w:rsidRPr="00A05698">
        <w:rPr>
          <w:rFonts w:ascii="Times New Roman" w:hAnsi="Times New Roman"/>
          <w:b/>
          <w:bCs/>
          <w:sz w:val="24"/>
          <w:szCs w:val="24"/>
        </w:rPr>
        <w:t> </w:t>
      </w:r>
    </w:p>
    <w:p w:rsidR="00BE58DA" w:rsidRPr="00A05698" w:rsidRDefault="00BE58DA" w:rsidP="0075023A">
      <w:pPr>
        <w:ind w:right="12"/>
        <w:jc w:val="both"/>
      </w:pPr>
      <w:r w:rsidRPr="00A05698">
        <w:t xml:space="preserve">Dans le cadre de ce projet </w:t>
      </w:r>
      <w:r w:rsidR="0017579A" w:rsidRPr="00A05698">
        <w:t>PUSA deux (2</w:t>
      </w:r>
      <w:r w:rsidR="0057505C" w:rsidRPr="00A05698">
        <w:t xml:space="preserve">) </w:t>
      </w:r>
      <w:r w:rsidR="00DB17BC" w:rsidRPr="00A05698">
        <w:t>alternatives</w:t>
      </w:r>
      <w:r w:rsidRPr="00A05698">
        <w:t xml:space="preserve"> qui semblent importantes ont été analysées. Il s’agit essentiellement :</w:t>
      </w:r>
    </w:p>
    <w:p w:rsidR="00676D11" w:rsidRPr="00A05698" w:rsidRDefault="00676D11" w:rsidP="00157035">
      <w:pPr>
        <w:pStyle w:val="PargrafodaLista"/>
        <w:numPr>
          <w:ilvl w:val="0"/>
          <w:numId w:val="56"/>
        </w:numPr>
        <w:overflowPunct w:val="0"/>
        <w:autoSpaceDE w:val="0"/>
        <w:autoSpaceDN w:val="0"/>
        <w:adjustRightInd w:val="0"/>
        <w:spacing w:after="240" w:line="240" w:lineRule="auto"/>
        <w:ind w:right="284"/>
        <w:jc w:val="both"/>
        <w:textAlignment w:val="baseline"/>
        <w:rPr>
          <w:rFonts w:ascii="Times New Roman" w:hAnsi="Times New Roman"/>
          <w:i/>
          <w:sz w:val="24"/>
          <w:szCs w:val="24"/>
        </w:rPr>
      </w:pPr>
      <w:r w:rsidRPr="00A05698">
        <w:rPr>
          <w:rFonts w:ascii="Times New Roman" w:hAnsi="Times New Roman"/>
          <w:b/>
          <w:i/>
          <w:sz w:val="24"/>
          <w:szCs w:val="24"/>
        </w:rPr>
        <w:t>Alternative 1 :</w:t>
      </w:r>
      <w:r w:rsidRPr="00A05698">
        <w:rPr>
          <w:rFonts w:ascii="Times New Roman" w:hAnsi="Times New Roman"/>
          <w:i/>
          <w:sz w:val="24"/>
          <w:szCs w:val="24"/>
        </w:rPr>
        <w:t xml:space="preserve"> « </w:t>
      </w:r>
      <w:r w:rsidRPr="00A05698">
        <w:rPr>
          <w:rFonts w:ascii="Times New Roman" w:hAnsi="Times New Roman"/>
          <w:b/>
          <w:i/>
          <w:sz w:val="24"/>
          <w:szCs w:val="24"/>
        </w:rPr>
        <w:t xml:space="preserve">sans projet » </w:t>
      </w:r>
    </w:p>
    <w:p w:rsidR="00676D11" w:rsidRPr="00A05698" w:rsidRDefault="00676D11" w:rsidP="00157035">
      <w:pPr>
        <w:pStyle w:val="PargrafodaLista"/>
        <w:numPr>
          <w:ilvl w:val="0"/>
          <w:numId w:val="56"/>
        </w:numPr>
        <w:overflowPunct w:val="0"/>
        <w:autoSpaceDE w:val="0"/>
        <w:autoSpaceDN w:val="0"/>
        <w:adjustRightInd w:val="0"/>
        <w:spacing w:after="0" w:line="240" w:lineRule="auto"/>
        <w:ind w:right="284"/>
        <w:jc w:val="both"/>
        <w:textAlignment w:val="baseline"/>
        <w:rPr>
          <w:rFonts w:ascii="Times New Roman" w:hAnsi="Times New Roman"/>
          <w:i/>
          <w:sz w:val="24"/>
          <w:szCs w:val="24"/>
        </w:rPr>
      </w:pPr>
      <w:r w:rsidRPr="00A05698">
        <w:rPr>
          <w:rFonts w:ascii="Times New Roman" w:hAnsi="Times New Roman"/>
          <w:b/>
          <w:i/>
          <w:sz w:val="24"/>
          <w:szCs w:val="24"/>
        </w:rPr>
        <w:t>Alternative</w:t>
      </w:r>
      <w:r w:rsidR="0017579A" w:rsidRPr="00A05698">
        <w:rPr>
          <w:rFonts w:ascii="Times New Roman" w:hAnsi="Times New Roman"/>
          <w:b/>
          <w:i/>
          <w:sz w:val="24"/>
          <w:szCs w:val="24"/>
        </w:rPr>
        <w:t xml:space="preserve"> 2</w:t>
      </w:r>
      <w:r w:rsidRPr="00A05698">
        <w:rPr>
          <w:rFonts w:ascii="Times New Roman" w:hAnsi="Times New Roman"/>
          <w:b/>
          <w:i/>
          <w:sz w:val="24"/>
          <w:szCs w:val="24"/>
        </w:rPr>
        <w:t> :</w:t>
      </w:r>
      <w:r w:rsidRPr="00A05698">
        <w:rPr>
          <w:rFonts w:ascii="Times New Roman" w:hAnsi="Times New Roman"/>
          <w:i/>
          <w:sz w:val="24"/>
          <w:szCs w:val="24"/>
        </w:rPr>
        <w:t xml:space="preserve"> « </w:t>
      </w:r>
      <w:r w:rsidRPr="00A05698">
        <w:rPr>
          <w:rFonts w:ascii="Times New Roman" w:hAnsi="Times New Roman"/>
          <w:b/>
          <w:i/>
          <w:sz w:val="24"/>
          <w:szCs w:val="24"/>
        </w:rPr>
        <w:t>avec projet</w:t>
      </w:r>
      <w:r w:rsidRPr="00A05698">
        <w:rPr>
          <w:rFonts w:ascii="Times New Roman" w:hAnsi="Times New Roman"/>
          <w:i/>
          <w:sz w:val="24"/>
          <w:szCs w:val="24"/>
        </w:rPr>
        <w:t xml:space="preserve"> »</w:t>
      </w:r>
    </w:p>
    <w:p w:rsidR="009C1B7B" w:rsidRPr="00A05698" w:rsidRDefault="009C1B7B" w:rsidP="00157035">
      <w:pPr>
        <w:pStyle w:val="Listacommarcas3"/>
        <w:numPr>
          <w:ilvl w:val="1"/>
          <w:numId w:val="56"/>
        </w:numPr>
      </w:pPr>
      <w:r w:rsidRPr="00A05698">
        <w:t>Option</w:t>
      </w:r>
      <w:r w:rsidR="00FD0BFE" w:rsidRPr="00A05698">
        <w:t xml:space="preserve"> </w:t>
      </w:r>
      <w:r w:rsidRPr="00A05698">
        <w:t xml:space="preserve">2.a : Projet axé </w:t>
      </w:r>
      <w:r w:rsidR="00FC6F52" w:rsidRPr="00A05698">
        <w:t>sur le développement du secteur de noix cajou</w:t>
      </w:r>
      <w:r w:rsidRPr="00A05698">
        <w:t xml:space="preserve"> ;</w:t>
      </w:r>
    </w:p>
    <w:p w:rsidR="009C1B7B" w:rsidRPr="00A05698" w:rsidRDefault="00301C33" w:rsidP="00157035">
      <w:pPr>
        <w:pStyle w:val="Listacommarcas3"/>
        <w:numPr>
          <w:ilvl w:val="1"/>
          <w:numId w:val="56"/>
        </w:numPr>
      </w:pPr>
      <w:r w:rsidRPr="00A05698">
        <w:t>Option 2.b</w:t>
      </w:r>
      <w:r w:rsidR="009C1B7B" w:rsidRPr="00A05698">
        <w:t xml:space="preserve"> : Intervention du </w:t>
      </w:r>
      <w:r w:rsidR="00950446" w:rsidRPr="00A05698">
        <w:t>projet dans c</w:t>
      </w:r>
      <w:r w:rsidR="009C1B7B" w:rsidRPr="00A05698">
        <w:t>es domaines (</w:t>
      </w:r>
      <w:r w:rsidR="002A3617" w:rsidRPr="00A05698">
        <w:t xml:space="preserve">secteur </w:t>
      </w:r>
      <w:r w:rsidR="00FF5231" w:rsidRPr="00A05698">
        <w:t>de la noix</w:t>
      </w:r>
      <w:r w:rsidR="008270B7" w:rsidRPr="00A05698">
        <w:t xml:space="preserve"> de cajou et </w:t>
      </w:r>
      <w:r w:rsidR="002A3617" w:rsidRPr="00A05698">
        <w:t>des cultures vivrière</w:t>
      </w:r>
      <w:r w:rsidR="00B26267" w:rsidRPr="00A05698">
        <w:t>s</w:t>
      </w:r>
      <w:r w:rsidR="009C1B7B" w:rsidRPr="00A05698">
        <w:t>).</w:t>
      </w:r>
    </w:p>
    <w:p w:rsidR="00090A33" w:rsidRPr="00A05698" w:rsidRDefault="00090A33" w:rsidP="004F4212">
      <w:pPr>
        <w:ind w:left="1788"/>
        <w:contextualSpacing/>
      </w:pPr>
    </w:p>
    <w:p w:rsidR="003B38B7" w:rsidRPr="00A05698" w:rsidRDefault="003B38B7" w:rsidP="004F0DC1">
      <w:pPr>
        <w:pStyle w:val="PargrafodaLista"/>
        <w:numPr>
          <w:ilvl w:val="1"/>
          <w:numId w:val="99"/>
        </w:numPr>
        <w:spacing w:after="120" w:line="240" w:lineRule="auto"/>
        <w:outlineLvl w:val="1"/>
        <w:rPr>
          <w:rFonts w:ascii="Times New Roman" w:hAnsi="Times New Roman"/>
          <w:b/>
          <w:bCs/>
          <w:sz w:val="24"/>
          <w:szCs w:val="24"/>
        </w:rPr>
      </w:pPr>
      <w:bookmarkStart w:id="279" w:name="_Toc51084427"/>
      <w:bookmarkStart w:id="280" w:name="_Toc75432299"/>
      <w:r w:rsidRPr="00A05698">
        <w:rPr>
          <w:rFonts w:ascii="Times New Roman" w:hAnsi="Times New Roman"/>
          <w:b/>
          <w:bCs/>
          <w:sz w:val="24"/>
          <w:szCs w:val="24"/>
        </w:rPr>
        <w:t>ANALYSE MULTICRITERE</w:t>
      </w:r>
      <w:bookmarkEnd w:id="279"/>
      <w:bookmarkEnd w:id="280"/>
    </w:p>
    <w:p w:rsidR="003B38B7" w:rsidRDefault="00291626" w:rsidP="0075023A">
      <w:pPr>
        <w:ind w:right="12"/>
        <w:jc w:val="both"/>
      </w:pPr>
      <w:r w:rsidRPr="00A05698">
        <w:t>Ces alternatives</w:t>
      </w:r>
      <w:r w:rsidR="003B38B7" w:rsidRPr="00A05698">
        <w:t xml:space="preserve"> ont été analysées sur la base de critères socio-économiques et environnementaux. Le tableau suivant présente les différentes caractéris</w:t>
      </w:r>
      <w:r w:rsidRPr="00A05698">
        <w:t>tiques des alternatives</w:t>
      </w:r>
      <w:r w:rsidR="003B38B7" w:rsidRPr="00A05698">
        <w:t xml:space="preserve"> et des options identifiées ainsi que leur conformité sur les plans sociaux, environnementaux et économiques.</w:t>
      </w:r>
    </w:p>
    <w:p w:rsidR="00D239C9" w:rsidRPr="00A05698" w:rsidRDefault="00D239C9" w:rsidP="00AB50DA">
      <w:pPr>
        <w:ind w:left="-284" w:right="-851"/>
        <w:jc w:val="both"/>
      </w:pPr>
    </w:p>
    <w:p w:rsidR="00AD25B8" w:rsidRPr="00A05698" w:rsidRDefault="00AD25B8" w:rsidP="00157035">
      <w:pPr>
        <w:pStyle w:val="PargrafodaLista"/>
        <w:numPr>
          <w:ilvl w:val="0"/>
          <w:numId w:val="56"/>
        </w:numPr>
        <w:overflowPunct w:val="0"/>
        <w:autoSpaceDE w:val="0"/>
        <w:autoSpaceDN w:val="0"/>
        <w:adjustRightInd w:val="0"/>
        <w:spacing w:after="0" w:line="240" w:lineRule="auto"/>
        <w:ind w:right="284"/>
        <w:jc w:val="both"/>
        <w:textAlignment w:val="baseline"/>
        <w:rPr>
          <w:rFonts w:ascii="Times New Roman" w:hAnsi="Times New Roman"/>
          <w:i/>
          <w:sz w:val="24"/>
          <w:szCs w:val="24"/>
        </w:rPr>
      </w:pPr>
      <w:r w:rsidRPr="00A05698">
        <w:rPr>
          <w:rFonts w:ascii="Times New Roman" w:hAnsi="Times New Roman"/>
          <w:b/>
          <w:i/>
          <w:sz w:val="24"/>
          <w:szCs w:val="24"/>
        </w:rPr>
        <w:t>Alternative 1 :</w:t>
      </w:r>
      <w:r w:rsidRPr="00A05698">
        <w:rPr>
          <w:rFonts w:ascii="Times New Roman" w:hAnsi="Times New Roman"/>
          <w:i/>
          <w:sz w:val="24"/>
          <w:szCs w:val="24"/>
        </w:rPr>
        <w:t xml:space="preserve"> « </w:t>
      </w:r>
      <w:r w:rsidRPr="00A05698">
        <w:rPr>
          <w:rFonts w:ascii="Times New Roman" w:hAnsi="Times New Roman"/>
          <w:b/>
          <w:i/>
          <w:sz w:val="24"/>
          <w:szCs w:val="24"/>
        </w:rPr>
        <w:t>sans projet » où ;</w:t>
      </w:r>
    </w:p>
    <w:p w:rsidR="00BB228E" w:rsidRPr="00A05698" w:rsidRDefault="00BB228E" w:rsidP="0075023A">
      <w:pPr>
        <w:ind w:right="12"/>
        <w:jc w:val="both"/>
      </w:pPr>
      <w:r w:rsidRPr="00A05698">
        <w:t xml:space="preserve">L’option </w:t>
      </w:r>
      <w:r w:rsidR="004530F9" w:rsidRPr="00A05698">
        <w:t>« sans</w:t>
      </w:r>
      <w:r w:rsidRPr="00A05698">
        <w:t xml:space="preserve"> projet </w:t>
      </w:r>
      <w:r w:rsidR="004530F9" w:rsidRPr="00A05698">
        <w:t>« a</w:t>
      </w:r>
      <w:r w:rsidRPr="00A05698">
        <w:t xml:space="preserve"> été évaluée en considérant les effets de l’absence ou de la présence du projet sur l’environnement, la société et l’économie. Cette analyse a pour objectif principal d’étudier les différents scénarios et leurs incidences.</w:t>
      </w:r>
    </w:p>
    <w:tbl>
      <w:tblPr>
        <w:tblStyle w:val="TableauGrille4-Accentuation11"/>
        <w:tblW w:w="9211" w:type="dxa"/>
        <w:tblLook w:val="04A0" w:firstRow="1" w:lastRow="0" w:firstColumn="1" w:lastColumn="0" w:noHBand="0" w:noVBand="1"/>
      </w:tblPr>
      <w:tblGrid>
        <w:gridCol w:w="1163"/>
        <w:gridCol w:w="3481"/>
        <w:gridCol w:w="4567"/>
      </w:tblGrid>
      <w:tr w:rsidR="00AB50DA" w:rsidRPr="0075023A" w:rsidTr="008977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3" w:type="dxa"/>
            <w:vMerge w:val="restart"/>
            <w:shd w:val="clear" w:color="auto" w:fill="C5E0B3" w:themeFill="accent6" w:themeFillTint="66"/>
          </w:tcPr>
          <w:p w:rsidR="00AB50DA" w:rsidRPr="0075023A" w:rsidRDefault="00AB50DA" w:rsidP="00760E97">
            <w:pPr>
              <w:contextualSpacing/>
              <w:jc w:val="center"/>
              <w:rPr>
                <w:i/>
              </w:rPr>
            </w:pPr>
            <w:r w:rsidRPr="0075023A">
              <w:rPr>
                <w:i/>
              </w:rPr>
              <w:t>Options</w:t>
            </w:r>
          </w:p>
        </w:tc>
        <w:tc>
          <w:tcPr>
            <w:tcW w:w="8048" w:type="dxa"/>
            <w:gridSpan w:val="2"/>
            <w:shd w:val="clear" w:color="auto" w:fill="C5E0B3" w:themeFill="accent6" w:themeFillTint="66"/>
          </w:tcPr>
          <w:p w:rsidR="00AB50DA" w:rsidRPr="0075023A" w:rsidRDefault="00AB50DA" w:rsidP="00760E97">
            <w:pPr>
              <w:contextualSpacing/>
              <w:jc w:val="center"/>
              <w:cnfStyle w:val="100000000000" w:firstRow="1" w:lastRow="0" w:firstColumn="0" w:lastColumn="0" w:oddVBand="0" w:evenVBand="0" w:oddHBand="0" w:evenHBand="0" w:firstRowFirstColumn="0" w:firstRowLastColumn="0" w:lastRowFirstColumn="0" w:lastRowLastColumn="0"/>
              <w:rPr>
                <w:b w:val="0"/>
                <w:i/>
              </w:rPr>
            </w:pPr>
            <w:r w:rsidRPr="0075023A">
              <w:rPr>
                <w:i/>
              </w:rPr>
              <w:t>EFFETS</w:t>
            </w:r>
          </w:p>
        </w:tc>
      </w:tr>
      <w:tr w:rsidR="00AB50DA" w:rsidRPr="0075023A" w:rsidTr="008977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3" w:type="dxa"/>
            <w:vMerge/>
            <w:shd w:val="clear" w:color="auto" w:fill="C5E0B3" w:themeFill="accent6" w:themeFillTint="66"/>
          </w:tcPr>
          <w:p w:rsidR="00AB50DA" w:rsidRPr="0075023A" w:rsidRDefault="00AB50DA" w:rsidP="00760E97">
            <w:pPr>
              <w:contextualSpacing/>
              <w:jc w:val="center"/>
              <w:rPr>
                <w:b w:val="0"/>
                <w:i/>
              </w:rPr>
            </w:pPr>
          </w:p>
        </w:tc>
        <w:tc>
          <w:tcPr>
            <w:tcW w:w="3481" w:type="dxa"/>
          </w:tcPr>
          <w:p w:rsidR="00AB50DA" w:rsidRPr="0075023A" w:rsidRDefault="00AB50DA" w:rsidP="00760E97">
            <w:pPr>
              <w:contextualSpacing/>
              <w:jc w:val="center"/>
              <w:cnfStyle w:val="100000000000" w:firstRow="1" w:lastRow="0" w:firstColumn="0" w:lastColumn="0" w:oddVBand="0" w:evenVBand="0" w:oddHBand="0" w:evenHBand="0" w:firstRowFirstColumn="0" w:firstRowLastColumn="0" w:lastRowFirstColumn="0" w:lastRowLastColumn="0"/>
              <w:rPr>
                <w:b w:val="0"/>
                <w:i/>
              </w:rPr>
            </w:pPr>
            <w:r w:rsidRPr="0075023A">
              <w:rPr>
                <w:b w:val="0"/>
                <w:i/>
              </w:rPr>
              <w:t>Effets positifs</w:t>
            </w:r>
          </w:p>
        </w:tc>
        <w:tc>
          <w:tcPr>
            <w:tcW w:w="4567" w:type="dxa"/>
          </w:tcPr>
          <w:p w:rsidR="00AB50DA" w:rsidRPr="0075023A" w:rsidRDefault="00AB50DA" w:rsidP="00760E97">
            <w:pPr>
              <w:contextualSpacing/>
              <w:jc w:val="center"/>
              <w:cnfStyle w:val="100000000000" w:firstRow="1" w:lastRow="0" w:firstColumn="0" w:lastColumn="0" w:oddVBand="0" w:evenVBand="0" w:oddHBand="0" w:evenHBand="0" w:firstRowFirstColumn="0" w:firstRowLastColumn="0" w:lastRowFirstColumn="0" w:lastRowLastColumn="0"/>
              <w:rPr>
                <w:b w:val="0"/>
                <w:i/>
              </w:rPr>
            </w:pPr>
            <w:r w:rsidRPr="0075023A">
              <w:rPr>
                <w:b w:val="0"/>
                <w:i/>
              </w:rPr>
              <w:t>Effets négatifs</w:t>
            </w:r>
          </w:p>
        </w:tc>
      </w:tr>
      <w:tr w:rsidR="002748EB" w:rsidRPr="0075023A" w:rsidTr="0089774E">
        <w:trPr>
          <w:cnfStyle w:val="000000100000" w:firstRow="0" w:lastRow="0" w:firstColumn="0" w:lastColumn="0" w:oddVBand="0" w:evenVBand="0" w:oddHBand="1" w:evenHBand="0" w:firstRowFirstColumn="0" w:firstRowLastColumn="0" w:lastRowFirstColumn="0" w:lastRowLastColumn="0"/>
          <w:trHeight w:val="5113"/>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vAlign w:val="center"/>
          </w:tcPr>
          <w:p w:rsidR="00BB228E" w:rsidRPr="0075023A" w:rsidRDefault="00BB228E" w:rsidP="00760E97">
            <w:pPr>
              <w:contextualSpacing/>
              <w:jc w:val="center"/>
              <w:rPr>
                <w:i/>
              </w:rPr>
            </w:pPr>
            <w:r w:rsidRPr="0075023A">
              <w:rPr>
                <w:i/>
              </w:rPr>
              <w:t>Sans projet</w:t>
            </w:r>
          </w:p>
        </w:tc>
        <w:tc>
          <w:tcPr>
            <w:tcW w:w="3481" w:type="dxa"/>
            <w:shd w:val="clear" w:color="auto" w:fill="FFFFFF" w:themeFill="background1"/>
            <w:vAlign w:val="center"/>
          </w:tcPr>
          <w:p w:rsidR="001712E7" w:rsidRPr="0075023A" w:rsidRDefault="00B27D72"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P</w:t>
            </w:r>
            <w:r w:rsidR="00822D14" w:rsidRPr="0075023A">
              <w:rPr>
                <w:rFonts w:ascii="Times New Roman" w:hAnsi="Times New Roman"/>
                <w:sz w:val="24"/>
                <w:szCs w:val="24"/>
              </w:rPr>
              <w:t>as de ch</w:t>
            </w:r>
            <w:r w:rsidRPr="0075023A">
              <w:rPr>
                <w:rFonts w:ascii="Times New Roman" w:hAnsi="Times New Roman"/>
                <w:sz w:val="24"/>
                <w:szCs w:val="24"/>
              </w:rPr>
              <w:t>angement de la</w:t>
            </w:r>
            <w:r w:rsidR="00822D14" w:rsidRPr="0075023A">
              <w:rPr>
                <w:rFonts w:ascii="Times New Roman" w:hAnsi="Times New Roman"/>
                <w:sz w:val="24"/>
                <w:szCs w:val="24"/>
              </w:rPr>
              <w:t xml:space="preserve"> situa</w:t>
            </w:r>
            <w:r w:rsidR="000E4607" w:rsidRPr="0075023A">
              <w:rPr>
                <w:rFonts w:ascii="Times New Roman" w:hAnsi="Times New Roman"/>
                <w:sz w:val="24"/>
                <w:szCs w:val="24"/>
              </w:rPr>
              <w:t>tion</w:t>
            </w:r>
            <w:r w:rsidR="00822D14" w:rsidRPr="0075023A">
              <w:rPr>
                <w:rFonts w:ascii="Times New Roman" w:hAnsi="Times New Roman"/>
                <w:sz w:val="24"/>
                <w:szCs w:val="24"/>
              </w:rPr>
              <w:t xml:space="preserve"> </w:t>
            </w:r>
            <w:r w:rsidR="004E7145" w:rsidRPr="0075023A">
              <w:rPr>
                <w:rFonts w:ascii="Times New Roman" w:hAnsi="Times New Roman"/>
                <w:sz w:val="24"/>
                <w:szCs w:val="24"/>
              </w:rPr>
              <w:t>actuelle</w:t>
            </w:r>
            <w:r w:rsidR="00822D14" w:rsidRPr="0075023A">
              <w:rPr>
                <w:rFonts w:ascii="Times New Roman" w:hAnsi="Times New Roman"/>
                <w:sz w:val="24"/>
                <w:szCs w:val="24"/>
              </w:rPr>
              <w:t xml:space="preserve"> du pays </w:t>
            </w:r>
            <w:r w:rsidR="00026CF0" w:rsidRPr="0075023A">
              <w:rPr>
                <w:rFonts w:ascii="Times New Roman" w:hAnsi="Times New Roman"/>
                <w:sz w:val="24"/>
                <w:szCs w:val="24"/>
              </w:rPr>
              <w:t xml:space="preserve">et augmentation de la </w:t>
            </w:r>
            <w:r w:rsidR="004E7145" w:rsidRPr="0075023A">
              <w:rPr>
                <w:rFonts w:ascii="Times New Roman" w:hAnsi="Times New Roman"/>
                <w:sz w:val="24"/>
                <w:szCs w:val="24"/>
              </w:rPr>
              <w:t>pauvreté</w:t>
            </w:r>
            <w:r w:rsidR="00026CF0" w:rsidRPr="0075023A">
              <w:rPr>
                <w:rFonts w:ascii="Times New Roman" w:hAnsi="Times New Roman"/>
                <w:sz w:val="24"/>
                <w:szCs w:val="24"/>
              </w:rPr>
              <w:t xml:space="preserve"> dans le pays ;</w:t>
            </w:r>
            <w:r w:rsidR="00822D14" w:rsidRPr="0075023A">
              <w:rPr>
                <w:rFonts w:ascii="Times New Roman" w:hAnsi="Times New Roman"/>
                <w:sz w:val="24"/>
                <w:szCs w:val="24"/>
              </w:rPr>
              <w:t xml:space="preserve"> </w:t>
            </w:r>
            <w:r w:rsidR="000E4607" w:rsidRPr="0075023A">
              <w:rPr>
                <w:rFonts w:ascii="Times New Roman" w:hAnsi="Times New Roman"/>
                <w:sz w:val="24"/>
                <w:szCs w:val="24"/>
              </w:rPr>
              <w:t xml:space="preserve"> </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P</w:t>
            </w:r>
            <w:r w:rsidR="004A5501" w:rsidRPr="0075023A">
              <w:rPr>
                <w:rFonts w:ascii="Times New Roman" w:hAnsi="Times New Roman"/>
                <w:sz w:val="24"/>
                <w:szCs w:val="24"/>
              </w:rPr>
              <w:t>as</w:t>
            </w:r>
            <w:r w:rsidRPr="0075023A">
              <w:rPr>
                <w:rFonts w:ascii="Times New Roman" w:hAnsi="Times New Roman"/>
                <w:sz w:val="24"/>
                <w:szCs w:val="24"/>
              </w:rPr>
              <w:t xml:space="preserve"> de dégradation ou destruction d’habitats </w:t>
            </w:r>
            <w:r w:rsidR="003B0BF5" w:rsidRPr="0075023A">
              <w:rPr>
                <w:rFonts w:ascii="Times New Roman" w:hAnsi="Times New Roman"/>
                <w:sz w:val="24"/>
                <w:szCs w:val="24"/>
              </w:rPr>
              <w:t>fauniques ni de perturbation dans les zones</w:t>
            </w:r>
            <w:r w:rsidR="00D3782F" w:rsidRPr="0075023A">
              <w:rPr>
                <w:rFonts w:ascii="Times New Roman" w:hAnsi="Times New Roman"/>
                <w:sz w:val="24"/>
                <w:szCs w:val="24"/>
              </w:rPr>
              <w:t xml:space="preserve"> activités du projet</w:t>
            </w:r>
            <w:r w:rsidRPr="0075023A">
              <w:rPr>
                <w:rFonts w:ascii="Times New Roman" w:hAnsi="Times New Roman"/>
                <w:sz w:val="24"/>
                <w:szCs w:val="24"/>
              </w:rPr>
              <w:t>.</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Pas de nuisances et perturbations du cadre de vie</w:t>
            </w:r>
            <w:r w:rsidR="00D3782F" w:rsidRPr="0075023A">
              <w:rPr>
                <w:rFonts w:ascii="Times New Roman" w:hAnsi="Times New Roman"/>
                <w:sz w:val="24"/>
                <w:szCs w:val="24"/>
              </w:rPr>
              <w:t xml:space="preserve"> </w:t>
            </w:r>
            <w:r w:rsidR="00822F9B" w:rsidRPr="0075023A">
              <w:rPr>
                <w:rFonts w:ascii="Times New Roman" w:hAnsi="Times New Roman"/>
                <w:sz w:val="24"/>
                <w:szCs w:val="24"/>
              </w:rPr>
              <w:t>de la population</w:t>
            </w:r>
            <w:r w:rsidRPr="0075023A">
              <w:rPr>
                <w:rFonts w:ascii="Times New Roman" w:hAnsi="Times New Roman"/>
                <w:sz w:val="24"/>
                <w:szCs w:val="24"/>
              </w:rPr>
              <w:t>.</w:t>
            </w:r>
          </w:p>
          <w:p w:rsidR="00BB228E" w:rsidRPr="0075023A" w:rsidRDefault="00DF4431"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Absence d’</w:t>
            </w:r>
            <w:r w:rsidR="00BB228E" w:rsidRPr="0075023A">
              <w:rPr>
                <w:rFonts w:ascii="Times New Roman" w:hAnsi="Times New Roman"/>
                <w:sz w:val="24"/>
                <w:szCs w:val="24"/>
              </w:rPr>
              <w:t>impact négatif majeur sur l’environnement biophysique et sur le milieu humain</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 xml:space="preserve">Pas de nuisances et de perturbation du cadre de vie par les travaux ;  </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eastAsia="MS Mincho" w:hAnsi="Times New Roman"/>
                <w:sz w:val="24"/>
                <w:szCs w:val="24"/>
              </w:rPr>
              <w:t xml:space="preserve">Pas de recrudescences des </w:t>
            </w:r>
            <w:r w:rsidRPr="0075023A">
              <w:rPr>
                <w:rFonts w:ascii="Times New Roman" w:eastAsia="MS Mincho" w:hAnsi="Times New Roman"/>
                <w:sz w:val="24"/>
                <w:szCs w:val="24"/>
              </w:rPr>
              <w:lastRenderedPageBreak/>
              <w:t>maladies liées à l’eau, etc.</w:t>
            </w:r>
          </w:p>
          <w:p w:rsidR="00C24208" w:rsidRPr="0075023A" w:rsidRDefault="00C24208" w:rsidP="00760E97">
            <w:pPr>
              <w:pStyle w:val="PargrafodaLista"/>
              <w:spacing w:after="0" w:line="240" w:lineRule="auto"/>
              <w:ind w:left="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567" w:type="dxa"/>
            <w:shd w:val="clear" w:color="auto" w:fill="FFFFFF" w:themeFill="background1"/>
            <w:vAlign w:val="center"/>
          </w:tcPr>
          <w:p w:rsidR="00E25D06" w:rsidRPr="0075023A" w:rsidRDefault="00E25D06"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eastAsia="MS Mincho" w:hAnsi="Times New Roman"/>
                <w:sz w:val="24"/>
                <w:szCs w:val="24"/>
              </w:rPr>
              <w:lastRenderedPageBreak/>
              <w:t>Pas d’extension des espaces cultivables ;</w:t>
            </w:r>
          </w:p>
          <w:p w:rsidR="00E25D06" w:rsidRPr="0075023A" w:rsidRDefault="00E25D06"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eastAsia="MS Mincho" w:hAnsi="Times New Roman"/>
                <w:sz w:val="24"/>
                <w:szCs w:val="24"/>
              </w:rPr>
              <w:t>Augmentation des difficultés pour l’Etat d’atteindre la sécurité alimentaire dans le pays ;</w:t>
            </w:r>
          </w:p>
          <w:p w:rsidR="00E1620D"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Les populations éprouveront encore</w:t>
            </w:r>
            <w:r w:rsidR="004F7938" w:rsidRPr="0075023A">
              <w:rPr>
                <w:rFonts w:ascii="Times New Roman" w:hAnsi="Times New Roman"/>
                <w:sz w:val="24"/>
                <w:szCs w:val="24"/>
              </w:rPr>
              <w:t xml:space="preserve"> de sérieuses difficultés</w:t>
            </w:r>
            <w:r w:rsidR="0048694E" w:rsidRPr="0075023A">
              <w:rPr>
                <w:rFonts w:ascii="Times New Roman" w:hAnsi="Times New Roman"/>
                <w:sz w:val="24"/>
                <w:szCs w:val="24"/>
              </w:rPr>
              <w:t xml:space="preserve"> à diversifier </w:t>
            </w:r>
            <w:r w:rsidR="00E1620D" w:rsidRPr="0075023A">
              <w:rPr>
                <w:rFonts w:ascii="Times New Roman" w:hAnsi="Times New Roman"/>
                <w:sz w:val="24"/>
                <w:szCs w:val="24"/>
              </w:rPr>
              <w:t>leurs cultures</w:t>
            </w:r>
            <w:r w:rsidRPr="0075023A">
              <w:rPr>
                <w:rFonts w:ascii="Times New Roman" w:hAnsi="Times New Roman"/>
                <w:sz w:val="24"/>
                <w:szCs w:val="24"/>
              </w:rPr>
              <w:t>, à produire davantage</w:t>
            </w:r>
            <w:r w:rsidR="0008242F" w:rsidRPr="0075023A">
              <w:rPr>
                <w:rFonts w:ascii="Times New Roman" w:hAnsi="Times New Roman"/>
                <w:sz w:val="24"/>
                <w:szCs w:val="24"/>
              </w:rPr>
              <w:t xml:space="preserve"> et à écouler leurs </w:t>
            </w:r>
            <w:r w:rsidR="00A602A8" w:rsidRPr="0075023A">
              <w:rPr>
                <w:rFonts w:ascii="Times New Roman" w:hAnsi="Times New Roman"/>
                <w:sz w:val="24"/>
                <w:szCs w:val="24"/>
              </w:rPr>
              <w:t>récoltes ;</w:t>
            </w:r>
          </w:p>
          <w:p w:rsidR="00DF4431" w:rsidRPr="0075023A" w:rsidRDefault="002155E7"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Risque d’augmentation de la dégradation des ressources foresti</w:t>
            </w:r>
            <w:r w:rsidR="00A05698" w:rsidRPr="0075023A">
              <w:rPr>
                <w:rFonts w:ascii="Times New Roman" w:hAnsi="Times New Roman"/>
                <w:sz w:val="24"/>
                <w:szCs w:val="24"/>
              </w:rPr>
              <w:t>ères</w:t>
            </w:r>
            <w:r w:rsidRPr="0075023A">
              <w:rPr>
                <w:rFonts w:ascii="Times New Roman" w:hAnsi="Times New Roman"/>
                <w:sz w:val="24"/>
                <w:szCs w:val="24"/>
              </w:rPr>
              <w:t xml:space="preserve"> à cause des recherches de revenus ;</w:t>
            </w:r>
            <w:r w:rsidR="00DF4431" w:rsidRPr="0075023A">
              <w:rPr>
                <w:rFonts w:ascii="Times New Roman" w:hAnsi="Times New Roman"/>
                <w:sz w:val="24"/>
                <w:szCs w:val="24"/>
              </w:rPr>
              <w:t xml:space="preserve"> </w:t>
            </w:r>
          </w:p>
          <w:p w:rsidR="00DF4431" w:rsidRPr="0075023A" w:rsidRDefault="00DF4431"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Absence d’ouvrages d’accès, d’infrastructure de stockage et de marché locale destiné à soutenir le secteur agricole.</w:t>
            </w:r>
          </w:p>
          <w:p w:rsidR="002155E7" w:rsidRPr="0075023A" w:rsidRDefault="00DF4431"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Augmentation du manque de moyens financiers pour l’achat des produits alimentaires ;</w:t>
            </w:r>
          </w:p>
          <w:p w:rsidR="002155E7" w:rsidRPr="0075023A" w:rsidRDefault="002155E7"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 xml:space="preserve">Evolution des problèmes de </w:t>
            </w:r>
            <w:r w:rsidRPr="0075023A">
              <w:rPr>
                <w:rFonts w:ascii="Times New Roman" w:hAnsi="Times New Roman"/>
                <w:sz w:val="24"/>
                <w:szCs w:val="24"/>
              </w:rPr>
              <w:lastRenderedPageBreak/>
              <w:t>commercialisation des noix de cajou ;</w:t>
            </w:r>
          </w:p>
          <w:p w:rsidR="00BB228E" w:rsidRPr="0075023A" w:rsidRDefault="001D6907"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 xml:space="preserve">Augmentation </w:t>
            </w:r>
            <w:r w:rsidR="0018520F" w:rsidRPr="0075023A">
              <w:rPr>
                <w:rFonts w:ascii="Times New Roman" w:hAnsi="Times New Roman"/>
                <w:sz w:val="24"/>
                <w:szCs w:val="24"/>
              </w:rPr>
              <w:t xml:space="preserve">des </w:t>
            </w:r>
            <w:r w:rsidR="00E90CAD" w:rsidRPr="0075023A">
              <w:rPr>
                <w:rFonts w:ascii="Times New Roman" w:hAnsi="Times New Roman"/>
                <w:sz w:val="24"/>
                <w:szCs w:val="24"/>
              </w:rPr>
              <w:t>difficultés</w:t>
            </w:r>
            <w:r w:rsidR="0018520F" w:rsidRPr="0075023A">
              <w:rPr>
                <w:rFonts w:ascii="Times New Roman" w:hAnsi="Times New Roman"/>
                <w:sz w:val="24"/>
                <w:szCs w:val="24"/>
              </w:rPr>
              <w:t xml:space="preserve"> </w:t>
            </w:r>
            <w:r w:rsidR="00BB228E" w:rsidRPr="0075023A">
              <w:rPr>
                <w:rFonts w:ascii="Times New Roman" w:hAnsi="Times New Roman"/>
                <w:sz w:val="24"/>
                <w:szCs w:val="24"/>
              </w:rPr>
              <w:t>à accéder aux infrastructures et équipement socio-éducatif.</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Aucune amélioration ne sera apportée au système de production agricole existant dans les zones ciblées, caractérisé par la pratique d’une agriculture de subsistance qui est encore traditionnel et peu diversifié.</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Accentuation de la baisse des revenus des populations de plus en plus exposées aux effets néfastes du changement climatique, la persistance de l’insécurité alimentaire, la malnutrition des enfants, etc.</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Accentuation de l’exode rural et la recrudescence des conflits liés à la compétition pour les ressources de plus en plus rares.</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La production ne permet pas d’assurer des productions agricoles suffisantes pour subvenir aux besoins des producteurs qui très souvent font recours à l’exode pour couvrir leurs besoins de base.</w:t>
            </w:r>
          </w:p>
          <w:p w:rsidR="0085594C"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 xml:space="preserve">Pas d’investissements pour l’agrobusiness du riz pouvant impulser une dynamique, une assistance technique et un renforcement de capacités au niveau des producteurs locaux </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 xml:space="preserve">Insuffisances et/ou dégradation des infrastructures économiques ; </w:t>
            </w:r>
          </w:p>
          <w:p w:rsidR="00BB228E" w:rsidRPr="0075023A" w:rsidRDefault="00BB228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Le système d</w:t>
            </w:r>
            <w:r w:rsidR="00A05714" w:rsidRPr="0075023A">
              <w:rPr>
                <w:rFonts w:ascii="Times New Roman" w:hAnsi="Times New Roman"/>
                <w:sz w:val="24"/>
                <w:szCs w:val="24"/>
              </w:rPr>
              <w:t>’</w:t>
            </w:r>
            <w:r w:rsidRPr="0075023A">
              <w:rPr>
                <w:rFonts w:ascii="Times New Roman" w:hAnsi="Times New Roman"/>
                <w:sz w:val="24"/>
                <w:szCs w:val="24"/>
              </w:rPr>
              <w:t>élevage va continuer à générer des conflits, au détriment de l</w:t>
            </w:r>
            <w:r w:rsidR="00A05714" w:rsidRPr="0075023A">
              <w:rPr>
                <w:rFonts w:ascii="Times New Roman" w:hAnsi="Times New Roman"/>
                <w:sz w:val="24"/>
                <w:szCs w:val="24"/>
              </w:rPr>
              <w:t>’</w:t>
            </w:r>
            <w:r w:rsidRPr="0075023A">
              <w:rPr>
                <w:rFonts w:ascii="Times New Roman" w:hAnsi="Times New Roman"/>
                <w:sz w:val="24"/>
                <w:szCs w:val="24"/>
              </w:rPr>
              <w:t>équilibre écologique et des opportunités du projet en matière d’intégration avec l’agriculture</w:t>
            </w:r>
          </w:p>
          <w:p w:rsidR="00A16B5E" w:rsidRPr="0075023A" w:rsidRDefault="00A16B5E"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023A">
              <w:rPr>
                <w:rFonts w:ascii="Times New Roman" w:hAnsi="Times New Roman"/>
                <w:sz w:val="24"/>
                <w:szCs w:val="24"/>
              </w:rPr>
              <w:t xml:space="preserve">Risque d’augmentation </w:t>
            </w:r>
            <w:r w:rsidR="00A31A5C" w:rsidRPr="0075023A">
              <w:rPr>
                <w:rFonts w:ascii="Times New Roman" w:hAnsi="Times New Roman"/>
                <w:sz w:val="24"/>
                <w:szCs w:val="24"/>
              </w:rPr>
              <w:t xml:space="preserve">des actions </w:t>
            </w:r>
            <w:r w:rsidRPr="0075023A">
              <w:rPr>
                <w:rFonts w:ascii="Times New Roman" w:hAnsi="Times New Roman"/>
                <w:sz w:val="24"/>
                <w:szCs w:val="24"/>
              </w:rPr>
              <w:t>de discrimination des femmes pourrait être noter avec la situation du pays ;</w:t>
            </w:r>
          </w:p>
          <w:p w:rsidR="00A16B5E" w:rsidRPr="0075023A" w:rsidRDefault="00A31A5C" w:rsidP="00157035">
            <w:pPr>
              <w:pStyle w:val="PargrafodaLista"/>
              <w:numPr>
                <w:ilvl w:val="0"/>
                <w:numId w:val="53"/>
              </w:numPr>
              <w:spacing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sz w:val="24"/>
                <w:szCs w:val="24"/>
              </w:rPr>
            </w:pPr>
            <w:r w:rsidRPr="0075023A">
              <w:rPr>
                <w:rFonts w:ascii="Times New Roman" w:hAnsi="Times New Roman"/>
                <w:sz w:val="24"/>
                <w:szCs w:val="24"/>
              </w:rPr>
              <w:t xml:space="preserve">Manque et non-respect des lois pour reconnaitre les femmes à l’accès à la terre pourra être </w:t>
            </w:r>
            <w:r w:rsidR="00CA5C04" w:rsidRPr="0075023A">
              <w:rPr>
                <w:rFonts w:ascii="Times New Roman" w:hAnsi="Times New Roman"/>
                <w:sz w:val="24"/>
                <w:szCs w:val="24"/>
              </w:rPr>
              <w:t>une source importante</w:t>
            </w:r>
            <w:r w:rsidRPr="0075023A">
              <w:rPr>
                <w:rFonts w:ascii="Times New Roman" w:hAnsi="Times New Roman"/>
                <w:sz w:val="24"/>
                <w:szCs w:val="24"/>
              </w:rPr>
              <w:t xml:space="preserve"> des actes de VBG</w:t>
            </w:r>
            <w:r w:rsidRPr="0075023A">
              <w:rPr>
                <w:sz w:val="24"/>
                <w:szCs w:val="24"/>
              </w:rPr>
              <w:t xml:space="preserve">  </w:t>
            </w:r>
          </w:p>
        </w:tc>
      </w:tr>
    </w:tbl>
    <w:p w:rsidR="00BB228E" w:rsidRPr="00A05698" w:rsidRDefault="00BB228E" w:rsidP="004F4212">
      <w:pPr>
        <w:contextualSpacing/>
        <w:rPr>
          <w:b/>
          <w:i/>
        </w:rPr>
      </w:pPr>
    </w:p>
    <w:p w:rsidR="00BB228E" w:rsidRDefault="00BB228E" w:rsidP="00A77D12">
      <w:pPr>
        <w:ind w:right="12"/>
        <w:jc w:val="both"/>
      </w:pPr>
      <w:r w:rsidRPr="00A05698">
        <w:t xml:space="preserve">Cette option ne mettra pas en place les conditions favorables à la création de richesses, </w:t>
      </w:r>
      <w:r w:rsidR="004530F9" w:rsidRPr="00A05698">
        <w:t xml:space="preserve">ni </w:t>
      </w:r>
      <w:r w:rsidRPr="00A05698">
        <w:t>à la création d’emplois,</w:t>
      </w:r>
      <w:r w:rsidR="004530F9" w:rsidRPr="00A05698">
        <w:t xml:space="preserve"> encore </w:t>
      </w:r>
      <w:r w:rsidR="00A05698" w:rsidRPr="00A05698">
        <w:t>moins</w:t>
      </w:r>
      <w:r w:rsidRPr="00A05698">
        <w:t xml:space="preserve"> à l’amélioration des conditions </w:t>
      </w:r>
      <w:r w:rsidR="004530F9" w:rsidRPr="00A05698">
        <w:t>et</w:t>
      </w:r>
      <w:r w:rsidRPr="00A05698">
        <w:t xml:space="preserve"> du cadre de vie de la population en touchant principalement tous les secteurs </w:t>
      </w:r>
      <w:r w:rsidR="00A05698" w:rsidRPr="00A05698">
        <w:t>d’</w:t>
      </w:r>
      <w:r w:rsidRPr="00A05698">
        <w:t>activités que vise le projet.</w:t>
      </w:r>
    </w:p>
    <w:p w:rsidR="0089774E" w:rsidRDefault="0089774E" w:rsidP="00A77D12">
      <w:pPr>
        <w:ind w:right="12"/>
        <w:jc w:val="both"/>
      </w:pPr>
    </w:p>
    <w:p w:rsidR="0089774E" w:rsidRDefault="0089774E" w:rsidP="00A77D12">
      <w:pPr>
        <w:ind w:right="12"/>
        <w:jc w:val="both"/>
      </w:pPr>
    </w:p>
    <w:p w:rsidR="000A0DCB" w:rsidRPr="00A05698" w:rsidRDefault="000A0DCB" w:rsidP="009C7E5A">
      <w:pPr>
        <w:ind w:left="-284" w:right="-851"/>
        <w:jc w:val="both"/>
      </w:pPr>
    </w:p>
    <w:p w:rsidR="001E129D" w:rsidRPr="00A05698" w:rsidRDefault="001E129D" w:rsidP="00157035">
      <w:pPr>
        <w:pStyle w:val="PargrafodaLista"/>
        <w:numPr>
          <w:ilvl w:val="0"/>
          <w:numId w:val="56"/>
        </w:numPr>
        <w:overflowPunct w:val="0"/>
        <w:autoSpaceDE w:val="0"/>
        <w:autoSpaceDN w:val="0"/>
        <w:adjustRightInd w:val="0"/>
        <w:spacing w:after="240" w:line="240" w:lineRule="auto"/>
        <w:ind w:right="284"/>
        <w:jc w:val="both"/>
        <w:textAlignment w:val="baseline"/>
        <w:rPr>
          <w:rFonts w:ascii="Times New Roman" w:hAnsi="Times New Roman"/>
          <w:i/>
          <w:sz w:val="24"/>
          <w:szCs w:val="24"/>
        </w:rPr>
      </w:pPr>
      <w:r w:rsidRPr="00A05698">
        <w:rPr>
          <w:rFonts w:ascii="Times New Roman" w:hAnsi="Times New Roman"/>
          <w:b/>
          <w:i/>
          <w:sz w:val="24"/>
          <w:szCs w:val="24"/>
        </w:rPr>
        <w:t>Alternative 2 :</w:t>
      </w:r>
      <w:r w:rsidRPr="00A05698">
        <w:rPr>
          <w:rFonts w:ascii="Times New Roman" w:hAnsi="Times New Roman"/>
          <w:i/>
          <w:sz w:val="24"/>
          <w:szCs w:val="24"/>
        </w:rPr>
        <w:t xml:space="preserve"> « </w:t>
      </w:r>
      <w:r w:rsidRPr="00A05698">
        <w:rPr>
          <w:rFonts w:ascii="Times New Roman" w:hAnsi="Times New Roman"/>
          <w:b/>
          <w:i/>
          <w:sz w:val="24"/>
          <w:szCs w:val="24"/>
        </w:rPr>
        <w:t>avec projet</w:t>
      </w:r>
      <w:r w:rsidRPr="00A05698">
        <w:rPr>
          <w:rFonts w:ascii="Times New Roman" w:hAnsi="Times New Roman"/>
          <w:i/>
          <w:sz w:val="24"/>
          <w:szCs w:val="24"/>
        </w:rPr>
        <w:t xml:space="preserve"> »</w:t>
      </w:r>
    </w:p>
    <w:p w:rsidR="004F1E76" w:rsidRPr="00A05698" w:rsidRDefault="00DF5392" w:rsidP="00A77D12">
      <w:pPr>
        <w:ind w:right="12"/>
        <w:jc w:val="both"/>
      </w:pPr>
      <w:r w:rsidRPr="00A05698">
        <w:t>L</w:t>
      </w:r>
      <w:r w:rsidR="00DC7C1E" w:rsidRPr="00A05698">
        <w:t xml:space="preserve">es </w:t>
      </w:r>
      <w:r w:rsidR="00AC36A8" w:rsidRPr="00A05698">
        <w:t>activités</w:t>
      </w:r>
      <w:r w:rsidRPr="00A05698">
        <w:t xml:space="preserve"> retenues reposent sur les critères et normes permettant d’assurer au mieux la durabilité des investissements consentis</w:t>
      </w:r>
      <w:r w:rsidR="00111CD2" w:rsidRPr="00A05698">
        <w:t xml:space="preserve"> pour soutenir </w:t>
      </w:r>
      <w:r w:rsidR="003E1FB5" w:rsidRPr="00A05698">
        <w:t xml:space="preserve">les </w:t>
      </w:r>
      <w:r w:rsidR="00661C08" w:rsidRPr="00A05698">
        <w:t>producteurs</w:t>
      </w:r>
      <w:r w:rsidR="006E5618" w:rsidRPr="00A05698">
        <w:t xml:space="preserve"> en situation de pandémie</w:t>
      </w:r>
      <w:r w:rsidRPr="00A05698">
        <w:t xml:space="preserve"> et </w:t>
      </w:r>
      <w:r w:rsidR="00B94803" w:rsidRPr="00A05698">
        <w:t xml:space="preserve">obtenir </w:t>
      </w:r>
      <w:r w:rsidRPr="00A05698">
        <w:t>une bonne appropriation par les bénéficiaires. Elles ont également pris en compte les leçons issues des</w:t>
      </w:r>
      <w:r w:rsidR="00B21A9F" w:rsidRPr="00A05698">
        <w:t xml:space="preserve"> projet</w:t>
      </w:r>
      <w:r w:rsidR="00744A99" w:rsidRPr="00A05698">
        <w:t>s</w:t>
      </w:r>
      <w:r w:rsidRPr="00A05698">
        <w:t xml:space="preserve"> similaires, en se ba</w:t>
      </w:r>
      <w:r w:rsidR="007C0159" w:rsidRPr="00A05698">
        <w:t xml:space="preserve">sant sur des modes de </w:t>
      </w:r>
      <w:r w:rsidR="00C853AC" w:rsidRPr="00A05698">
        <w:t xml:space="preserve">mise en </w:t>
      </w:r>
      <w:r w:rsidR="00503E5C" w:rsidRPr="00A05698">
        <w:t>œuvre</w:t>
      </w:r>
      <w:r w:rsidRPr="00A05698">
        <w:t xml:space="preserve"> adaptés aux conditions locales.</w:t>
      </w:r>
    </w:p>
    <w:p w:rsidR="0075023A" w:rsidRDefault="00DF5392" w:rsidP="00A77D12">
      <w:pPr>
        <w:ind w:right="12"/>
        <w:jc w:val="both"/>
      </w:pPr>
      <w:r w:rsidRPr="00A05698">
        <w:t xml:space="preserve">Ainsi, suivant l’objectif du projet </w:t>
      </w:r>
      <w:r w:rsidR="00065FD3" w:rsidRPr="00A05698">
        <w:t xml:space="preserve">PUSA </w:t>
      </w:r>
      <w:r w:rsidR="00EB230F" w:rsidRPr="00A05698">
        <w:t>dans l’alternative</w:t>
      </w:r>
      <w:r w:rsidR="00503E5C" w:rsidRPr="00A05698">
        <w:t xml:space="preserve"> 2, </w:t>
      </w:r>
      <w:r w:rsidRPr="00A05698">
        <w:t xml:space="preserve">les points suivants ont été analysés sur la base de critères socio-économiques et environnementaux. </w:t>
      </w:r>
    </w:p>
    <w:p w:rsidR="0075023A" w:rsidRDefault="0075023A" w:rsidP="0089774E">
      <w:pPr>
        <w:ind w:right="-851"/>
        <w:jc w:val="both"/>
      </w:pPr>
    </w:p>
    <w:p w:rsidR="00BB228E" w:rsidRPr="0097333C" w:rsidRDefault="001E129D" w:rsidP="0075023A">
      <w:pPr>
        <w:ind w:left="-284" w:right="-851"/>
        <w:jc w:val="both"/>
        <w:rPr>
          <w:b/>
        </w:rPr>
      </w:pPr>
      <w:r w:rsidRPr="0097333C">
        <w:rPr>
          <w:b/>
        </w:rPr>
        <w:t xml:space="preserve">Option 2.a : Projet axé sur le développement du secteur de </w:t>
      </w:r>
      <w:r w:rsidR="00B53133" w:rsidRPr="0097333C">
        <w:rPr>
          <w:b/>
        </w:rPr>
        <w:t xml:space="preserve">la </w:t>
      </w:r>
      <w:r w:rsidRPr="0097333C">
        <w:rPr>
          <w:b/>
        </w:rPr>
        <w:t xml:space="preserve">noix </w:t>
      </w:r>
      <w:r w:rsidR="00B53133" w:rsidRPr="0097333C">
        <w:rPr>
          <w:b/>
        </w:rPr>
        <w:t xml:space="preserve">de </w:t>
      </w:r>
      <w:r w:rsidRPr="0097333C">
        <w:rPr>
          <w:b/>
        </w:rPr>
        <w:t>cajou</w:t>
      </w:r>
      <w:r w:rsidR="00D24EB3" w:rsidRPr="0097333C">
        <w:rPr>
          <w:b/>
        </w:rPr>
        <w:t xml:space="preserve"> </w:t>
      </w:r>
    </w:p>
    <w:tbl>
      <w:tblPr>
        <w:tblStyle w:val="TableauGrille4-Accentuation11"/>
        <w:tblW w:w="9353" w:type="dxa"/>
        <w:tblLook w:val="04A0" w:firstRow="1" w:lastRow="0" w:firstColumn="1" w:lastColumn="0" w:noHBand="0" w:noVBand="1"/>
      </w:tblPr>
      <w:tblGrid>
        <w:gridCol w:w="1683"/>
        <w:gridCol w:w="3884"/>
        <w:gridCol w:w="3786"/>
      </w:tblGrid>
      <w:tr w:rsidR="002748EB" w:rsidRPr="00A77D12" w:rsidTr="00897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val="restart"/>
          </w:tcPr>
          <w:p w:rsidR="00BB228E" w:rsidRPr="00A77D12" w:rsidRDefault="00BB228E" w:rsidP="004F4212">
            <w:pPr>
              <w:contextualSpacing/>
              <w:jc w:val="center"/>
              <w:rPr>
                <w:i/>
              </w:rPr>
            </w:pPr>
            <w:r w:rsidRPr="00A77D12">
              <w:rPr>
                <w:i/>
              </w:rPr>
              <w:t>Option</w:t>
            </w:r>
            <w:r w:rsidR="007F20D0" w:rsidRPr="00A77D12">
              <w:rPr>
                <w:i/>
              </w:rPr>
              <w:t>s</w:t>
            </w:r>
          </w:p>
        </w:tc>
        <w:tc>
          <w:tcPr>
            <w:tcW w:w="7670" w:type="dxa"/>
            <w:gridSpan w:val="2"/>
          </w:tcPr>
          <w:p w:rsidR="00BB228E" w:rsidRPr="00A77D12" w:rsidRDefault="00BB228E" w:rsidP="004F4212">
            <w:pPr>
              <w:contextualSpacing/>
              <w:jc w:val="center"/>
              <w:cnfStyle w:val="100000000000" w:firstRow="1" w:lastRow="0" w:firstColumn="0" w:lastColumn="0" w:oddVBand="0" w:evenVBand="0" w:oddHBand="0" w:evenHBand="0" w:firstRowFirstColumn="0" w:firstRowLastColumn="0" w:lastRowFirstColumn="0" w:lastRowLastColumn="0"/>
              <w:rPr>
                <w:i/>
              </w:rPr>
            </w:pPr>
            <w:r w:rsidRPr="00A77D12">
              <w:rPr>
                <w:i/>
              </w:rPr>
              <w:t>EFFETS</w:t>
            </w:r>
          </w:p>
        </w:tc>
      </w:tr>
      <w:tr w:rsidR="007F20D0" w:rsidRPr="00A77D12" w:rsidTr="0089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vMerge/>
          </w:tcPr>
          <w:p w:rsidR="00BB228E" w:rsidRPr="00A77D12" w:rsidRDefault="00BB228E" w:rsidP="004F4212">
            <w:pPr>
              <w:contextualSpacing/>
              <w:jc w:val="center"/>
              <w:rPr>
                <w:b w:val="0"/>
                <w:i/>
              </w:rPr>
            </w:pPr>
          </w:p>
        </w:tc>
        <w:tc>
          <w:tcPr>
            <w:tcW w:w="3884" w:type="dxa"/>
          </w:tcPr>
          <w:p w:rsidR="00BB228E" w:rsidRPr="00A77D12" w:rsidRDefault="00BB228E" w:rsidP="004F4212">
            <w:pPr>
              <w:contextualSpacing/>
              <w:jc w:val="center"/>
              <w:cnfStyle w:val="000000100000" w:firstRow="0" w:lastRow="0" w:firstColumn="0" w:lastColumn="0" w:oddVBand="0" w:evenVBand="0" w:oddHBand="1" w:evenHBand="0" w:firstRowFirstColumn="0" w:firstRowLastColumn="0" w:lastRowFirstColumn="0" w:lastRowLastColumn="0"/>
              <w:rPr>
                <w:b/>
                <w:i/>
              </w:rPr>
            </w:pPr>
            <w:r w:rsidRPr="00A77D12">
              <w:rPr>
                <w:b/>
                <w:i/>
              </w:rPr>
              <w:t>Effets positifs</w:t>
            </w:r>
          </w:p>
        </w:tc>
        <w:tc>
          <w:tcPr>
            <w:tcW w:w="3786" w:type="dxa"/>
          </w:tcPr>
          <w:p w:rsidR="00BB228E" w:rsidRPr="00A77D12" w:rsidRDefault="00BB228E" w:rsidP="004F4212">
            <w:pPr>
              <w:contextualSpacing/>
              <w:jc w:val="center"/>
              <w:cnfStyle w:val="000000100000" w:firstRow="0" w:lastRow="0" w:firstColumn="0" w:lastColumn="0" w:oddVBand="0" w:evenVBand="0" w:oddHBand="1" w:evenHBand="0" w:firstRowFirstColumn="0" w:firstRowLastColumn="0" w:lastRowFirstColumn="0" w:lastRowLastColumn="0"/>
              <w:rPr>
                <w:b/>
                <w:i/>
              </w:rPr>
            </w:pPr>
            <w:r w:rsidRPr="00A77D12">
              <w:rPr>
                <w:b/>
                <w:i/>
              </w:rPr>
              <w:t>Effets négatifs</w:t>
            </w:r>
          </w:p>
        </w:tc>
      </w:tr>
      <w:tr w:rsidR="007F20D0" w:rsidRPr="00A77D12" w:rsidTr="0089774E">
        <w:trPr>
          <w:trHeight w:val="3899"/>
        </w:trPr>
        <w:tc>
          <w:tcPr>
            <w:cnfStyle w:val="001000000000" w:firstRow="0" w:lastRow="0" w:firstColumn="1" w:lastColumn="0" w:oddVBand="0" w:evenVBand="0" w:oddHBand="0" w:evenHBand="0" w:firstRowFirstColumn="0" w:firstRowLastColumn="0" w:lastRowFirstColumn="0" w:lastRowLastColumn="0"/>
            <w:tcW w:w="1683" w:type="dxa"/>
            <w:vAlign w:val="center"/>
          </w:tcPr>
          <w:p w:rsidR="00BB228E" w:rsidRPr="00A77D12" w:rsidRDefault="00BB228E" w:rsidP="00A05698">
            <w:pPr>
              <w:contextualSpacing/>
              <w:jc w:val="both"/>
              <w:rPr>
                <w:i/>
              </w:rPr>
            </w:pPr>
            <w:r w:rsidRPr="00A77D12">
              <w:rPr>
                <w:i/>
              </w:rPr>
              <w:t xml:space="preserve">Programme axé sur le développement </w:t>
            </w:r>
            <w:r w:rsidR="007907D3" w:rsidRPr="00A77D12">
              <w:rPr>
                <w:i/>
              </w:rPr>
              <w:t>du secteur de la noix de ca</w:t>
            </w:r>
            <w:r w:rsidR="00B53133" w:rsidRPr="00A77D12">
              <w:rPr>
                <w:i/>
              </w:rPr>
              <w:t>jou</w:t>
            </w:r>
          </w:p>
          <w:p w:rsidR="00BB228E" w:rsidRPr="00A77D12" w:rsidRDefault="00BB228E" w:rsidP="007F20D0">
            <w:pPr>
              <w:contextualSpacing/>
              <w:rPr>
                <w:b w:val="0"/>
                <w:i/>
              </w:rPr>
            </w:pPr>
          </w:p>
          <w:p w:rsidR="00BB228E" w:rsidRPr="00A77D12" w:rsidRDefault="00BB228E" w:rsidP="007F20D0">
            <w:pPr>
              <w:contextualSpacing/>
              <w:rPr>
                <w:b w:val="0"/>
                <w:i/>
              </w:rPr>
            </w:pPr>
          </w:p>
        </w:tc>
        <w:tc>
          <w:tcPr>
            <w:tcW w:w="3884" w:type="dxa"/>
            <w:vAlign w:val="center"/>
          </w:tcPr>
          <w:p w:rsidR="00BB228E" w:rsidRPr="00A77D12" w:rsidRDefault="00166E8F"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Meilleure gestion</w:t>
            </w:r>
            <w:r w:rsidR="00BB228E" w:rsidRPr="00A77D12">
              <w:rPr>
                <w:rFonts w:ascii="Times New Roman" w:hAnsi="Times New Roman"/>
                <w:sz w:val="24"/>
                <w:szCs w:val="24"/>
              </w:rPr>
              <w:t xml:space="preserve"> des</w:t>
            </w:r>
            <w:r w:rsidR="0008330D" w:rsidRPr="00A77D12">
              <w:rPr>
                <w:rFonts w:ascii="Times New Roman" w:hAnsi="Times New Roman"/>
                <w:sz w:val="24"/>
                <w:szCs w:val="24"/>
              </w:rPr>
              <w:t xml:space="preserve"> terres de production de la noix de </w:t>
            </w:r>
            <w:r w:rsidR="002748EB" w:rsidRPr="00A77D12">
              <w:rPr>
                <w:rFonts w:ascii="Times New Roman" w:hAnsi="Times New Roman"/>
                <w:sz w:val="24"/>
                <w:szCs w:val="24"/>
              </w:rPr>
              <w:t>cajou à</w:t>
            </w:r>
            <w:r w:rsidR="00BB228E" w:rsidRPr="00A77D12">
              <w:rPr>
                <w:rFonts w:ascii="Times New Roman" w:hAnsi="Times New Roman"/>
                <w:sz w:val="24"/>
                <w:szCs w:val="24"/>
              </w:rPr>
              <w:t xml:space="preserve"> la disposition des populations ;</w:t>
            </w:r>
          </w:p>
          <w:p w:rsidR="00BB228E" w:rsidRPr="00A77D12" w:rsidRDefault="00681BD5"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La revalorisation</w:t>
            </w:r>
            <w:r w:rsidR="002155E7" w:rsidRPr="00A77D12">
              <w:rPr>
                <w:rFonts w:ascii="Times New Roman" w:hAnsi="Times New Roman"/>
                <w:sz w:val="24"/>
                <w:szCs w:val="24"/>
              </w:rPr>
              <w:t xml:space="preserve"> du</w:t>
            </w:r>
            <w:r w:rsidR="004F6C2D" w:rsidRPr="00A77D12">
              <w:rPr>
                <w:rFonts w:ascii="Times New Roman" w:hAnsi="Times New Roman"/>
                <w:sz w:val="24"/>
                <w:szCs w:val="24"/>
              </w:rPr>
              <w:t xml:space="preserve"> produit de la noix de cajou</w:t>
            </w:r>
            <w:r w:rsidR="00BB228E" w:rsidRPr="00A77D12">
              <w:rPr>
                <w:rFonts w:ascii="Times New Roman" w:hAnsi="Times New Roman"/>
                <w:sz w:val="24"/>
                <w:szCs w:val="24"/>
              </w:rPr>
              <w:t xml:space="preserve"> et particip</w:t>
            </w:r>
            <w:r w:rsidR="002155E7" w:rsidRPr="00A77D12">
              <w:rPr>
                <w:rFonts w:ascii="Times New Roman" w:hAnsi="Times New Roman"/>
                <w:sz w:val="24"/>
                <w:szCs w:val="24"/>
              </w:rPr>
              <w:t>ation</w:t>
            </w:r>
            <w:r w:rsidR="00BB228E" w:rsidRPr="00A77D12">
              <w:rPr>
                <w:rFonts w:ascii="Times New Roman" w:hAnsi="Times New Roman"/>
                <w:sz w:val="24"/>
                <w:szCs w:val="24"/>
              </w:rPr>
              <w:t xml:space="preserve"> à la protection de l’environnement dans les différentes localités concernées ;</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 xml:space="preserve">Augmentation </w:t>
            </w:r>
            <w:r w:rsidR="009B2A15" w:rsidRPr="00A77D12">
              <w:rPr>
                <w:rFonts w:ascii="Times New Roman" w:hAnsi="Times New Roman"/>
                <w:sz w:val="24"/>
                <w:szCs w:val="24"/>
              </w:rPr>
              <w:t>de la production de la noix de cajou</w:t>
            </w:r>
            <w:r w:rsidRPr="00A77D12">
              <w:rPr>
                <w:rFonts w:ascii="Times New Roman" w:hAnsi="Times New Roman"/>
                <w:sz w:val="24"/>
                <w:szCs w:val="24"/>
              </w:rPr>
              <w:t xml:space="preserve"> dans les zones intervention du projet ;</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Prolonge</w:t>
            </w:r>
            <w:r w:rsidR="0004523B" w:rsidRPr="00A77D12">
              <w:rPr>
                <w:rFonts w:ascii="Times New Roman" w:hAnsi="Times New Roman"/>
                <w:sz w:val="24"/>
                <w:szCs w:val="24"/>
              </w:rPr>
              <w:t>ment de</w:t>
            </w:r>
            <w:r w:rsidRPr="00A77D12">
              <w:rPr>
                <w:rFonts w:ascii="Times New Roman" w:hAnsi="Times New Roman"/>
                <w:sz w:val="24"/>
                <w:szCs w:val="24"/>
              </w:rPr>
              <w:t xml:space="preserve"> la périod</w:t>
            </w:r>
            <w:r w:rsidR="00154F1C" w:rsidRPr="00A77D12">
              <w:rPr>
                <w:rFonts w:ascii="Times New Roman" w:hAnsi="Times New Roman"/>
                <w:sz w:val="24"/>
                <w:szCs w:val="24"/>
              </w:rPr>
              <w:t>e d’activité des populations</w:t>
            </w:r>
            <w:r w:rsidRPr="00A77D12">
              <w:rPr>
                <w:rFonts w:ascii="Times New Roman" w:hAnsi="Times New Roman"/>
                <w:sz w:val="24"/>
                <w:szCs w:val="24"/>
              </w:rPr>
              <w:t> ;</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 xml:space="preserve">Formation </w:t>
            </w:r>
            <w:r w:rsidR="00154F1C" w:rsidRPr="00A77D12">
              <w:rPr>
                <w:rFonts w:ascii="Times New Roman" w:hAnsi="Times New Roman"/>
                <w:sz w:val="24"/>
                <w:szCs w:val="24"/>
              </w:rPr>
              <w:t>des producteurs</w:t>
            </w:r>
            <w:r w:rsidRPr="00A77D12">
              <w:rPr>
                <w:rFonts w:ascii="Times New Roman" w:hAnsi="Times New Roman"/>
                <w:sz w:val="24"/>
                <w:szCs w:val="24"/>
              </w:rPr>
              <w:t xml:space="preserve"> pour une </w:t>
            </w:r>
            <w:r w:rsidR="00EF515A" w:rsidRPr="00A77D12">
              <w:rPr>
                <w:rFonts w:ascii="Times New Roman" w:hAnsi="Times New Roman"/>
                <w:sz w:val="24"/>
                <w:szCs w:val="24"/>
              </w:rPr>
              <w:t xml:space="preserve">meilleure gestion du secteur et à la mise en valeur du produit </w:t>
            </w:r>
            <w:r w:rsidR="00025158" w:rsidRPr="00A77D12">
              <w:rPr>
                <w:rFonts w:ascii="Times New Roman" w:hAnsi="Times New Roman"/>
                <w:sz w:val="24"/>
                <w:szCs w:val="24"/>
              </w:rPr>
              <w:t>grâce</w:t>
            </w:r>
            <w:r w:rsidR="00EF515A" w:rsidRPr="00A77D12">
              <w:rPr>
                <w:rFonts w:ascii="Times New Roman" w:hAnsi="Times New Roman"/>
                <w:sz w:val="24"/>
                <w:szCs w:val="24"/>
              </w:rPr>
              <w:t xml:space="preserve"> à la transformation </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Préservation</w:t>
            </w:r>
            <w:r w:rsidR="00025158" w:rsidRPr="00A77D12">
              <w:rPr>
                <w:rFonts w:ascii="Times New Roman" w:hAnsi="Times New Roman"/>
                <w:sz w:val="24"/>
                <w:szCs w:val="24"/>
              </w:rPr>
              <w:t xml:space="preserve"> </w:t>
            </w:r>
            <w:r w:rsidRPr="00A77D12">
              <w:rPr>
                <w:rFonts w:ascii="Times New Roman" w:hAnsi="Times New Roman"/>
                <w:sz w:val="24"/>
                <w:szCs w:val="24"/>
              </w:rPr>
              <w:t>des terres cultivables et meilleure gestion de l’eau ;</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Réduction des conflits entre les agriculteurs et les éleveurs ;</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 xml:space="preserve">Création d’opportunité d’emplois pour les </w:t>
            </w:r>
            <w:r w:rsidR="00084ADA" w:rsidRPr="00A77D12">
              <w:rPr>
                <w:rFonts w:ascii="Times New Roman" w:hAnsi="Times New Roman"/>
                <w:sz w:val="24"/>
                <w:szCs w:val="24"/>
              </w:rPr>
              <w:t>jeunes</w:t>
            </w:r>
            <w:r w:rsidR="00025158" w:rsidRPr="00A77D12">
              <w:rPr>
                <w:rFonts w:ascii="Times New Roman" w:hAnsi="Times New Roman"/>
                <w:sz w:val="24"/>
                <w:szCs w:val="24"/>
              </w:rPr>
              <w:t xml:space="preserve"> et les femmes</w:t>
            </w:r>
            <w:r w:rsidRPr="00A77D12">
              <w:rPr>
                <w:rFonts w:ascii="Times New Roman" w:hAnsi="Times New Roman"/>
                <w:sz w:val="24"/>
                <w:szCs w:val="24"/>
              </w:rPr>
              <w:t xml:space="preserve"> dans</w:t>
            </w:r>
            <w:r w:rsidR="00025158" w:rsidRPr="00A77D12">
              <w:rPr>
                <w:rFonts w:ascii="Times New Roman" w:hAnsi="Times New Roman"/>
                <w:sz w:val="24"/>
                <w:szCs w:val="24"/>
              </w:rPr>
              <w:t xml:space="preserve"> les</w:t>
            </w:r>
            <w:r w:rsidRPr="00A77D12">
              <w:rPr>
                <w:rFonts w:ascii="Times New Roman" w:hAnsi="Times New Roman"/>
                <w:sz w:val="24"/>
                <w:szCs w:val="24"/>
              </w:rPr>
              <w:t xml:space="preserve"> </w:t>
            </w:r>
            <w:r w:rsidR="003444C1" w:rsidRPr="00A77D12">
              <w:rPr>
                <w:rFonts w:ascii="Times New Roman" w:hAnsi="Times New Roman"/>
                <w:sz w:val="24"/>
                <w:szCs w:val="24"/>
              </w:rPr>
              <w:t>localités</w:t>
            </w:r>
            <w:r w:rsidR="00025158" w:rsidRPr="00A77D12">
              <w:rPr>
                <w:rFonts w:ascii="Times New Roman" w:hAnsi="Times New Roman"/>
                <w:sz w:val="24"/>
                <w:szCs w:val="24"/>
              </w:rPr>
              <w:t> ;</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Réduction de</w:t>
            </w:r>
            <w:r w:rsidR="007512D9" w:rsidRPr="00A77D12">
              <w:rPr>
                <w:rFonts w:ascii="Times New Roman" w:hAnsi="Times New Roman"/>
                <w:sz w:val="24"/>
                <w:szCs w:val="24"/>
              </w:rPr>
              <w:t xml:space="preserve"> la pauvreté dans le pays</w:t>
            </w:r>
            <w:r w:rsidRPr="00A77D12">
              <w:rPr>
                <w:rFonts w:ascii="Times New Roman" w:hAnsi="Times New Roman"/>
                <w:sz w:val="24"/>
                <w:szCs w:val="24"/>
              </w:rPr>
              <w:t xml:space="preserve"> et diminution de la dé</w:t>
            </w:r>
            <w:r w:rsidR="00025158" w:rsidRPr="00A77D12">
              <w:rPr>
                <w:rFonts w:ascii="Times New Roman" w:hAnsi="Times New Roman"/>
                <w:sz w:val="24"/>
                <w:szCs w:val="24"/>
              </w:rPr>
              <w:t>gradation de leur cadre de vie grâce à l’augmentation des revenus ;</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Regain de dynamique de l</w:t>
            </w:r>
            <w:r w:rsidR="00A05714" w:rsidRPr="00A77D12">
              <w:rPr>
                <w:rFonts w:ascii="Times New Roman" w:hAnsi="Times New Roman"/>
                <w:sz w:val="24"/>
                <w:szCs w:val="24"/>
              </w:rPr>
              <w:t>’</w:t>
            </w:r>
            <w:r w:rsidRPr="00A77D12">
              <w:rPr>
                <w:rFonts w:ascii="Times New Roman" w:hAnsi="Times New Roman"/>
                <w:sz w:val="24"/>
                <w:szCs w:val="24"/>
              </w:rPr>
              <w:t>investissement privé : celui-ci s</w:t>
            </w:r>
            <w:r w:rsidR="00A05714" w:rsidRPr="00A77D12">
              <w:rPr>
                <w:rFonts w:ascii="Times New Roman" w:hAnsi="Times New Roman"/>
                <w:sz w:val="24"/>
                <w:szCs w:val="24"/>
              </w:rPr>
              <w:t>’</w:t>
            </w:r>
            <w:r w:rsidRPr="00A77D12">
              <w:rPr>
                <w:rFonts w:ascii="Times New Roman" w:hAnsi="Times New Roman"/>
                <w:sz w:val="24"/>
                <w:szCs w:val="24"/>
              </w:rPr>
              <w:t>exprime aussi bien au niveau de l</w:t>
            </w:r>
            <w:r w:rsidR="003444C1" w:rsidRPr="00A77D12">
              <w:rPr>
                <w:rFonts w:ascii="Times New Roman" w:hAnsi="Times New Roman"/>
                <w:sz w:val="24"/>
                <w:szCs w:val="24"/>
              </w:rPr>
              <w:t>a petite agriculture familiale qu’au niveau individuel ou collectif</w:t>
            </w:r>
            <w:r w:rsidRPr="00A77D12">
              <w:rPr>
                <w:rFonts w:ascii="Times New Roman" w:hAnsi="Times New Roman"/>
                <w:sz w:val="24"/>
                <w:szCs w:val="24"/>
              </w:rPr>
              <w:t> ;</w:t>
            </w:r>
          </w:p>
          <w:p w:rsidR="00AA2530" w:rsidRPr="00A77D12" w:rsidRDefault="00334E28"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 xml:space="preserve">Réorganisation </w:t>
            </w:r>
            <w:r w:rsidR="00D41BF5" w:rsidRPr="00A77D12">
              <w:rPr>
                <w:rFonts w:ascii="Times New Roman" w:hAnsi="Times New Roman"/>
                <w:sz w:val="24"/>
                <w:szCs w:val="24"/>
              </w:rPr>
              <w:t xml:space="preserve">et une meilleure gestion du secteur </w:t>
            </w:r>
            <w:r w:rsidR="00FB23AA" w:rsidRPr="00A77D12">
              <w:rPr>
                <w:rFonts w:ascii="Times New Roman" w:hAnsi="Times New Roman"/>
                <w:sz w:val="24"/>
                <w:szCs w:val="24"/>
              </w:rPr>
              <w:t xml:space="preserve">de production et de </w:t>
            </w:r>
            <w:r w:rsidR="00E67BDE" w:rsidRPr="00A77D12">
              <w:rPr>
                <w:rFonts w:ascii="Times New Roman" w:hAnsi="Times New Roman"/>
                <w:sz w:val="24"/>
                <w:szCs w:val="24"/>
              </w:rPr>
              <w:t>c</w:t>
            </w:r>
            <w:r w:rsidR="00FB23AA" w:rsidRPr="00A77D12">
              <w:rPr>
                <w:rFonts w:ascii="Times New Roman" w:hAnsi="Times New Roman"/>
                <w:sz w:val="24"/>
                <w:szCs w:val="24"/>
              </w:rPr>
              <w:t>ommerciali</w:t>
            </w:r>
            <w:r w:rsidR="00E67BDE" w:rsidRPr="00A77D12">
              <w:rPr>
                <w:rFonts w:ascii="Times New Roman" w:hAnsi="Times New Roman"/>
                <w:sz w:val="24"/>
                <w:szCs w:val="24"/>
              </w:rPr>
              <w:t xml:space="preserve">sation </w:t>
            </w:r>
            <w:r w:rsidR="002265B4" w:rsidRPr="00A77D12">
              <w:rPr>
                <w:rFonts w:ascii="Times New Roman" w:hAnsi="Times New Roman"/>
                <w:sz w:val="24"/>
                <w:szCs w:val="24"/>
              </w:rPr>
              <w:t xml:space="preserve">des noix de </w:t>
            </w:r>
            <w:r w:rsidR="002265B4" w:rsidRPr="00A77D12">
              <w:rPr>
                <w:rFonts w:ascii="Times New Roman" w:hAnsi="Times New Roman"/>
                <w:sz w:val="24"/>
                <w:szCs w:val="24"/>
              </w:rPr>
              <w:lastRenderedPageBreak/>
              <w:t>cajou ;</w:t>
            </w:r>
          </w:p>
        </w:tc>
        <w:tc>
          <w:tcPr>
            <w:tcW w:w="3786" w:type="dxa"/>
            <w:vAlign w:val="center"/>
          </w:tcPr>
          <w:p w:rsidR="00BB228E" w:rsidRPr="00A77D12" w:rsidRDefault="00210976"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lastRenderedPageBreak/>
              <w:t xml:space="preserve">Risque de </w:t>
            </w:r>
            <w:r w:rsidR="00F973A5" w:rsidRPr="00A77D12">
              <w:rPr>
                <w:rFonts w:ascii="Times New Roman" w:hAnsi="Times New Roman"/>
                <w:sz w:val="24"/>
                <w:szCs w:val="24"/>
              </w:rPr>
              <w:t>tension social</w:t>
            </w:r>
            <w:r w:rsidR="003444C1" w:rsidRPr="00A77D12">
              <w:rPr>
                <w:rFonts w:ascii="Times New Roman" w:hAnsi="Times New Roman"/>
                <w:sz w:val="24"/>
                <w:szCs w:val="24"/>
              </w:rPr>
              <w:t>e</w:t>
            </w:r>
            <w:r w:rsidR="00946716" w:rsidRPr="00A77D12">
              <w:rPr>
                <w:rFonts w:ascii="Times New Roman" w:hAnsi="Times New Roman"/>
                <w:sz w:val="24"/>
                <w:szCs w:val="24"/>
              </w:rPr>
              <w:t xml:space="preserve"> par rapport au financement</w:t>
            </w:r>
            <w:r w:rsidR="00BB228E" w:rsidRPr="00A77D12">
              <w:rPr>
                <w:rFonts w:ascii="Times New Roman" w:hAnsi="Times New Roman"/>
                <w:sz w:val="24"/>
                <w:szCs w:val="24"/>
              </w:rPr>
              <w:t xml:space="preserve"> </w:t>
            </w:r>
            <w:r w:rsidR="00946716" w:rsidRPr="00A77D12">
              <w:rPr>
                <w:rFonts w:ascii="Times New Roman" w:hAnsi="Times New Roman"/>
                <w:sz w:val="24"/>
                <w:szCs w:val="24"/>
              </w:rPr>
              <w:t>dans un seul secteur activité</w:t>
            </w:r>
            <w:r w:rsidR="008F0F67" w:rsidRPr="00A77D12">
              <w:rPr>
                <w:rFonts w:ascii="Times New Roman" w:hAnsi="Times New Roman"/>
                <w:sz w:val="24"/>
                <w:szCs w:val="24"/>
              </w:rPr>
              <w:t xml:space="preserve"> d</w:t>
            </w:r>
            <w:r w:rsidR="003444C1" w:rsidRPr="00A77D12">
              <w:rPr>
                <w:rFonts w:ascii="Times New Roman" w:hAnsi="Times New Roman"/>
                <w:sz w:val="24"/>
                <w:szCs w:val="24"/>
              </w:rPr>
              <w:t>e</w:t>
            </w:r>
            <w:r w:rsidR="008F0F67" w:rsidRPr="00A77D12">
              <w:rPr>
                <w:rFonts w:ascii="Times New Roman" w:hAnsi="Times New Roman"/>
                <w:sz w:val="24"/>
                <w:szCs w:val="24"/>
              </w:rPr>
              <w:t xml:space="preserve"> l’</w:t>
            </w:r>
            <w:r w:rsidR="00D15DFE" w:rsidRPr="00A77D12">
              <w:rPr>
                <w:rFonts w:ascii="Times New Roman" w:hAnsi="Times New Roman"/>
                <w:sz w:val="24"/>
                <w:szCs w:val="24"/>
              </w:rPr>
              <w:t>agriculture</w:t>
            </w:r>
            <w:r w:rsidR="00BB228E" w:rsidRPr="00A77D12">
              <w:rPr>
                <w:rFonts w:ascii="Times New Roman" w:hAnsi="Times New Roman"/>
                <w:sz w:val="24"/>
                <w:szCs w:val="24"/>
              </w:rPr>
              <w:t xml:space="preserve"> </w:t>
            </w:r>
            <w:r w:rsidR="003444C1" w:rsidRPr="00A77D12">
              <w:rPr>
                <w:rFonts w:ascii="Times New Roman" w:hAnsi="Times New Roman"/>
                <w:sz w:val="24"/>
                <w:szCs w:val="24"/>
              </w:rPr>
              <w:t>comparativement</w:t>
            </w:r>
            <w:r w:rsidR="00BB228E" w:rsidRPr="00A77D12">
              <w:rPr>
                <w:rFonts w:ascii="Times New Roman" w:hAnsi="Times New Roman"/>
                <w:sz w:val="24"/>
                <w:szCs w:val="24"/>
              </w:rPr>
              <w:t xml:space="preserve"> </w:t>
            </w:r>
            <w:r w:rsidR="002A7294" w:rsidRPr="00A77D12">
              <w:rPr>
                <w:rFonts w:ascii="Times New Roman" w:hAnsi="Times New Roman"/>
                <w:sz w:val="24"/>
                <w:szCs w:val="24"/>
              </w:rPr>
              <w:t>aux autres secteurs</w:t>
            </w:r>
            <w:r w:rsidR="004201DC" w:rsidRPr="00A77D12">
              <w:rPr>
                <w:rFonts w:ascii="Times New Roman" w:hAnsi="Times New Roman"/>
                <w:sz w:val="24"/>
                <w:szCs w:val="24"/>
              </w:rPr>
              <w:t xml:space="preserve"> </w:t>
            </w:r>
            <w:r w:rsidR="00BB228E" w:rsidRPr="00A77D12">
              <w:rPr>
                <w:rFonts w:ascii="Times New Roman" w:hAnsi="Times New Roman"/>
                <w:sz w:val="24"/>
                <w:szCs w:val="24"/>
              </w:rPr>
              <w:t>;</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Risque de perte du couvert végétal entraînant la perte d’habitats fauniques</w:t>
            </w:r>
            <w:r w:rsidR="005A65ED" w:rsidRPr="00A77D12">
              <w:rPr>
                <w:rFonts w:ascii="Times New Roman" w:hAnsi="Times New Roman"/>
                <w:sz w:val="24"/>
                <w:szCs w:val="24"/>
              </w:rPr>
              <w:t xml:space="preserve"> due à l’intensification de la culture des noix de cajou</w:t>
            </w:r>
            <w:r w:rsidRPr="00A77D12">
              <w:rPr>
                <w:rFonts w:ascii="Times New Roman" w:hAnsi="Times New Roman"/>
                <w:sz w:val="24"/>
                <w:szCs w:val="24"/>
              </w:rPr>
              <w:t> ;</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Modificatio</w:t>
            </w:r>
            <w:r w:rsidR="003B6018" w:rsidRPr="00A77D12">
              <w:rPr>
                <w:rFonts w:ascii="Times New Roman" w:hAnsi="Times New Roman"/>
                <w:sz w:val="24"/>
                <w:szCs w:val="24"/>
              </w:rPr>
              <w:t>n du paysage en rapport avec l’augmentation de l’</w:t>
            </w:r>
            <w:r w:rsidR="007353AC" w:rsidRPr="00A77D12">
              <w:rPr>
                <w:rFonts w:ascii="Times New Roman" w:hAnsi="Times New Roman"/>
                <w:sz w:val="24"/>
                <w:szCs w:val="24"/>
              </w:rPr>
              <w:t>anacardier au dét</w:t>
            </w:r>
            <w:r w:rsidR="003444C1" w:rsidRPr="00A77D12">
              <w:rPr>
                <w:rFonts w:ascii="Times New Roman" w:hAnsi="Times New Roman"/>
                <w:sz w:val="24"/>
                <w:szCs w:val="24"/>
              </w:rPr>
              <w:t>riment des autres espèces locales</w:t>
            </w:r>
            <w:r w:rsidR="003B6018" w:rsidRPr="00A77D12">
              <w:rPr>
                <w:rFonts w:ascii="Times New Roman" w:hAnsi="Times New Roman"/>
                <w:sz w:val="24"/>
                <w:szCs w:val="24"/>
              </w:rPr>
              <w:t xml:space="preserve"> </w:t>
            </w:r>
            <w:r w:rsidRPr="00A77D12">
              <w:rPr>
                <w:rFonts w:ascii="Times New Roman" w:hAnsi="Times New Roman"/>
                <w:sz w:val="24"/>
                <w:szCs w:val="24"/>
              </w:rPr>
              <w:t>;</w:t>
            </w:r>
          </w:p>
          <w:p w:rsidR="00BB228E" w:rsidRPr="00A77D12" w:rsidRDefault="00BB228E"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Risque de conflits qui peuvent naître de la concurrence pour l’accès à l’appui du projet aux activités génératrices de revenus ou à l’accès à la terre etc.</w:t>
            </w:r>
          </w:p>
          <w:p w:rsidR="005016E7" w:rsidRPr="00A77D12" w:rsidRDefault="005016E7"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Risque de déstructu</w:t>
            </w:r>
            <w:r w:rsidR="00CC3A44" w:rsidRPr="00A77D12">
              <w:rPr>
                <w:rFonts w:ascii="Times New Roman" w:hAnsi="Times New Roman"/>
                <w:sz w:val="24"/>
                <w:szCs w:val="24"/>
              </w:rPr>
              <w:t xml:space="preserve">ration du secteur de l’agriculture dans le pays </w:t>
            </w:r>
            <w:r w:rsidRPr="00A77D12">
              <w:rPr>
                <w:rFonts w:ascii="Times New Roman" w:hAnsi="Times New Roman"/>
                <w:sz w:val="24"/>
                <w:szCs w:val="24"/>
              </w:rPr>
              <w:t>;</w:t>
            </w:r>
          </w:p>
          <w:p w:rsidR="005016E7" w:rsidRPr="00A77D12" w:rsidRDefault="005016E7"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 xml:space="preserve">Les risques </w:t>
            </w:r>
            <w:r w:rsidR="00CC3A44" w:rsidRPr="00A77D12">
              <w:rPr>
                <w:rFonts w:ascii="Times New Roman" w:hAnsi="Times New Roman"/>
                <w:sz w:val="24"/>
                <w:szCs w:val="24"/>
              </w:rPr>
              <w:t>d’inondation</w:t>
            </w:r>
            <w:r w:rsidR="00BE1F9E" w:rsidRPr="00A77D12">
              <w:rPr>
                <w:rFonts w:ascii="Times New Roman" w:hAnsi="Times New Roman"/>
                <w:sz w:val="24"/>
                <w:szCs w:val="24"/>
              </w:rPr>
              <w:t xml:space="preserve"> du marché </w:t>
            </w:r>
            <w:r w:rsidR="00380D90" w:rsidRPr="00A77D12">
              <w:rPr>
                <w:rFonts w:ascii="Times New Roman" w:hAnsi="Times New Roman"/>
                <w:sz w:val="24"/>
                <w:szCs w:val="24"/>
              </w:rPr>
              <w:t xml:space="preserve">de </w:t>
            </w:r>
            <w:r w:rsidR="00352C07" w:rsidRPr="00A77D12">
              <w:rPr>
                <w:rFonts w:ascii="Times New Roman" w:hAnsi="Times New Roman"/>
                <w:sz w:val="24"/>
                <w:szCs w:val="24"/>
              </w:rPr>
              <w:t>noix de cajou due l’augmentation des producteurs</w:t>
            </w:r>
            <w:r w:rsidRPr="00A77D12">
              <w:rPr>
                <w:rFonts w:ascii="Times New Roman" w:hAnsi="Times New Roman"/>
                <w:sz w:val="24"/>
                <w:szCs w:val="24"/>
              </w:rPr>
              <w:t xml:space="preserve"> ;</w:t>
            </w:r>
          </w:p>
          <w:p w:rsidR="005016E7" w:rsidRPr="00A77D12" w:rsidRDefault="00261720" w:rsidP="00157035">
            <w:pPr>
              <w:pStyle w:val="PargrafodaLista"/>
              <w:numPr>
                <w:ilvl w:val="0"/>
                <w:numId w:val="53"/>
              </w:numPr>
              <w:spacing w:line="240" w:lineRule="auto"/>
              <w:ind w:left="181" w:hanging="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77D12">
              <w:rPr>
                <w:rFonts w:ascii="Times New Roman" w:hAnsi="Times New Roman"/>
                <w:sz w:val="24"/>
                <w:szCs w:val="24"/>
              </w:rPr>
              <w:t xml:space="preserve">Risque de baisse </w:t>
            </w:r>
            <w:r w:rsidR="008F0BEC" w:rsidRPr="00A77D12">
              <w:rPr>
                <w:rFonts w:ascii="Times New Roman" w:hAnsi="Times New Roman"/>
                <w:sz w:val="24"/>
                <w:szCs w:val="24"/>
              </w:rPr>
              <w:t xml:space="preserve">du prix de kilogramme de noix de cajou dans les marchés </w:t>
            </w:r>
            <w:r w:rsidR="00CB28C4" w:rsidRPr="00A77D12">
              <w:rPr>
                <w:rFonts w:ascii="Times New Roman" w:hAnsi="Times New Roman"/>
                <w:sz w:val="24"/>
                <w:szCs w:val="24"/>
              </w:rPr>
              <w:t>locau</w:t>
            </w:r>
            <w:r w:rsidR="00BB2870" w:rsidRPr="00A77D12">
              <w:rPr>
                <w:rFonts w:ascii="Times New Roman" w:hAnsi="Times New Roman"/>
                <w:sz w:val="24"/>
                <w:szCs w:val="24"/>
              </w:rPr>
              <w:t>x ;</w:t>
            </w:r>
          </w:p>
          <w:p w:rsidR="003E0883" w:rsidRPr="00A77D12" w:rsidRDefault="003E0883" w:rsidP="003444C1">
            <w:pPr>
              <w:pStyle w:val="PargrafodaLista"/>
              <w:spacing w:line="240" w:lineRule="auto"/>
              <w:ind w:left="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BB2870" w:rsidRPr="00A77D12" w:rsidRDefault="00BB2870" w:rsidP="004D1BD0">
            <w:pPr>
              <w:pStyle w:val="PargrafodaLista"/>
              <w:spacing w:line="240" w:lineRule="auto"/>
              <w:ind w:left="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BB228E" w:rsidRPr="00A77D12" w:rsidRDefault="00BB228E" w:rsidP="004D1BD0">
            <w:pPr>
              <w:pStyle w:val="PargrafodaLista"/>
              <w:spacing w:line="240" w:lineRule="auto"/>
              <w:ind w:left="18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BB228E" w:rsidRPr="004D1BD0" w:rsidRDefault="00BB228E" w:rsidP="00157035">
      <w:pPr>
        <w:pStyle w:val="PargrafodaLista"/>
        <w:numPr>
          <w:ilvl w:val="0"/>
          <w:numId w:val="104"/>
        </w:numPr>
        <w:rPr>
          <w:rFonts w:ascii="Times New Roman" w:hAnsi="Times New Roman"/>
          <w:b/>
          <w:sz w:val="24"/>
          <w:szCs w:val="24"/>
        </w:rPr>
      </w:pPr>
      <w:r w:rsidRPr="004D1BD0">
        <w:rPr>
          <w:rFonts w:ascii="Times New Roman" w:hAnsi="Times New Roman"/>
          <w:b/>
          <w:sz w:val="24"/>
          <w:szCs w:val="24"/>
          <w:u w:val="single"/>
        </w:rPr>
        <w:lastRenderedPageBreak/>
        <w:t>Option 2.d</w:t>
      </w:r>
      <w:r w:rsidRPr="004D1BD0">
        <w:rPr>
          <w:rFonts w:ascii="Times New Roman" w:hAnsi="Times New Roman"/>
          <w:sz w:val="24"/>
          <w:szCs w:val="24"/>
        </w:rPr>
        <w:t xml:space="preserve"> : </w:t>
      </w:r>
      <w:r w:rsidRPr="004D1BD0">
        <w:rPr>
          <w:rFonts w:ascii="Times New Roman" w:hAnsi="Times New Roman"/>
          <w:b/>
          <w:sz w:val="24"/>
          <w:szCs w:val="24"/>
        </w:rPr>
        <w:t>Inter</w:t>
      </w:r>
      <w:r w:rsidR="00130B46" w:rsidRPr="004D1BD0">
        <w:rPr>
          <w:rFonts w:ascii="Times New Roman" w:hAnsi="Times New Roman"/>
          <w:b/>
          <w:sz w:val="24"/>
          <w:szCs w:val="24"/>
        </w:rPr>
        <w:t>vention du projet dans les</w:t>
      </w:r>
      <w:r w:rsidRPr="004D1BD0">
        <w:rPr>
          <w:rFonts w:ascii="Times New Roman" w:hAnsi="Times New Roman"/>
          <w:b/>
          <w:sz w:val="24"/>
          <w:szCs w:val="24"/>
        </w:rPr>
        <w:t xml:space="preserve"> domaines (</w:t>
      </w:r>
      <w:r w:rsidR="00F31BFD" w:rsidRPr="004D1BD0">
        <w:rPr>
          <w:rFonts w:ascii="Times New Roman" w:hAnsi="Times New Roman"/>
          <w:b/>
          <w:sz w:val="24"/>
          <w:szCs w:val="24"/>
        </w:rPr>
        <w:t>secteur de la noix de cajou et des cultures vivrière)</w:t>
      </w:r>
    </w:p>
    <w:tbl>
      <w:tblPr>
        <w:tblStyle w:val="TableauGrille4-Accentuation11"/>
        <w:tblW w:w="9537" w:type="dxa"/>
        <w:tblLook w:val="04A0" w:firstRow="1" w:lastRow="0" w:firstColumn="1" w:lastColumn="0" w:noHBand="0" w:noVBand="1"/>
      </w:tblPr>
      <w:tblGrid>
        <w:gridCol w:w="1838"/>
        <w:gridCol w:w="3829"/>
        <w:gridCol w:w="3870"/>
      </w:tblGrid>
      <w:tr w:rsidR="002B6160" w:rsidRPr="0089774E" w:rsidTr="00897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B228E" w:rsidRPr="0089774E" w:rsidRDefault="00BB228E" w:rsidP="004F4212">
            <w:pPr>
              <w:contextualSpacing/>
              <w:jc w:val="center"/>
              <w:rPr>
                <w:i/>
              </w:rPr>
            </w:pPr>
            <w:r w:rsidRPr="0089774E">
              <w:rPr>
                <w:i/>
              </w:rPr>
              <w:t>Option</w:t>
            </w:r>
          </w:p>
        </w:tc>
        <w:tc>
          <w:tcPr>
            <w:tcW w:w="3829" w:type="dxa"/>
          </w:tcPr>
          <w:p w:rsidR="00BB228E" w:rsidRPr="0089774E" w:rsidRDefault="00BB228E" w:rsidP="004F4212">
            <w:pPr>
              <w:contextualSpacing/>
              <w:jc w:val="center"/>
              <w:cnfStyle w:val="100000000000" w:firstRow="1" w:lastRow="0" w:firstColumn="0" w:lastColumn="0" w:oddVBand="0" w:evenVBand="0" w:oddHBand="0" w:evenHBand="0" w:firstRowFirstColumn="0" w:firstRowLastColumn="0" w:lastRowFirstColumn="0" w:lastRowLastColumn="0"/>
              <w:rPr>
                <w:i/>
              </w:rPr>
            </w:pPr>
            <w:r w:rsidRPr="0089774E">
              <w:rPr>
                <w:i/>
              </w:rPr>
              <w:t>Effets positifs</w:t>
            </w:r>
          </w:p>
        </w:tc>
        <w:tc>
          <w:tcPr>
            <w:tcW w:w="3870" w:type="dxa"/>
          </w:tcPr>
          <w:p w:rsidR="00BB228E" w:rsidRPr="0089774E" w:rsidRDefault="00BB228E" w:rsidP="004F4212">
            <w:pPr>
              <w:contextualSpacing/>
              <w:jc w:val="center"/>
              <w:cnfStyle w:val="100000000000" w:firstRow="1" w:lastRow="0" w:firstColumn="0" w:lastColumn="0" w:oddVBand="0" w:evenVBand="0" w:oddHBand="0" w:evenHBand="0" w:firstRowFirstColumn="0" w:firstRowLastColumn="0" w:lastRowFirstColumn="0" w:lastRowLastColumn="0"/>
              <w:rPr>
                <w:i/>
              </w:rPr>
            </w:pPr>
            <w:r w:rsidRPr="0089774E">
              <w:rPr>
                <w:i/>
              </w:rPr>
              <w:t>Effets négatifs</w:t>
            </w:r>
          </w:p>
        </w:tc>
      </w:tr>
      <w:tr w:rsidR="002B6160" w:rsidRPr="0089774E" w:rsidTr="0089774E">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rsidR="00BB228E" w:rsidRPr="0089774E" w:rsidRDefault="00B16AC0" w:rsidP="00DC5DE6">
            <w:pPr>
              <w:contextualSpacing/>
              <w:rPr>
                <w:i/>
              </w:rPr>
            </w:pPr>
            <w:r w:rsidRPr="0089774E">
              <w:rPr>
                <w:i/>
              </w:rPr>
              <w:t>Intervention du projet dans les domaines (secteur de la noix de cajou et des cultures vivrière)</w:t>
            </w:r>
          </w:p>
          <w:p w:rsidR="00BB228E" w:rsidRPr="0089774E" w:rsidRDefault="00BB228E" w:rsidP="00DC5DE6">
            <w:pPr>
              <w:contextualSpacing/>
              <w:rPr>
                <w:b w:val="0"/>
                <w:i/>
              </w:rPr>
            </w:pPr>
          </w:p>
        </w:tc>
        <w:tc>
          <w:tcPr>
            <w:tcW w:w="3829" w:type="dxa"/>
            <w:shd w:val="clear" w:color="auto" w:fill="FFFFFF" w:themeFill="background1"/>
            <w:vAlign w:val="center"/>
          </w:tcPr>
          <w:p w:rsidR="003302B1" w:rsidRPr="0089774E" w:rsidRDefault="003302B1"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Une meilleure possibilité </w:t>
            </w:r>
            <w:r w:rsidR="00585481" w:rsidRPr="0089774E">
              <w:rPr>
                <w:rFonts w:ascii="Times New Roman" w:hAnsi="Times New Roman"/>
                <w:sz w:val="24"/>
                <w:szCs w:val="24"/>
              </w:rPr>
              <w:t>et d’</w:t>
            </w:r>
            <w:r w:rsidR="00C728AF" w:rsidRPr="0089774E">
              <w:rPr>
                <w:rFonts w:ascii="Times New Roman" w:hAnsi="Times New Roman"/>
                <w:sz w:val="24"/>
                <w:szCs w:val="24"/>
              </w:rPr>
              <w:t xml:space="preserve">opportunité </w:t>
            </w:r>
            <w:r w:rsidRPr="0089774E">
              <w:rPr>
                <w:rFonts w:ascii="Times New Roman" w:hAnsi="Times New Roman"/>
                <w:sz w:val="24"/>
                <w:szCs w:val="24"/>
              </w:rPr>
              <w:t>d’</w:t>
            </w:r>
            <w:r w:rsidR="005D6D22" w:rsidRPr="0089774E">
              <w:rPr>
                <w:rFonts w:ascii="Times New Roman" w:hAnsi="Times New Roman"/>
                <w:sz w:val="24"/>
                <w:szCs w:val="24"/>
              </w:rPr>
              <w:t>éteindre</w:t>
            </w:r>
            <w:r w:rsidRPr="0089774E">
              <w:rPr>
                <w:rFonts w:ascii="Times New Roman" w:hAnsi="Times New Roman"/>
                <w:sz w:val="24"/>
                <w:szCs w:val="24"/>
              </w:rPr>
              <w:t xml:space="preserve"> la </w:t>
            </w:r>
            <w:r w:rsidR="005D6D22" w:rsidRPr="0089774E">
              <w:rPr>
                <w:rFonts w:ascii="Times New Roman" w:hAnsi="Times New Roman"/>
                <w:sz w:val="24"/>
                <w:szCs w:val="24"/>
              </w:rPr>
              <w:t>sécurité</w:t>
            </w:r>
            <w:r w:rsidRPr="0089774E">
              <w:rPr>
                <w:rFonts w:ascii="Times New Roman" w:hAnsi="Times New Roman"/>
                <w:sz w:val="24"/>
                <w:szCs w:val="24"/>
              </w:rPr>
              <w:t xml:space="preserve"> aliment</w:t>
            </w:r>
            <w:r w:rsidR="00C728AF" w:rsidRPr="0089774E">
              <w:rPr>
                <w:rFonts w:ascii="Times New Roman" w:hAnsi="Times New Roman"/>
                <w:sz w:val="24"/>
                <w:szCs w:val="24"/>
              </w:rPr>
              <w:t>aire dans le pays ;</w:t>
            </w:r>
          </w:p>
          <w:p w:rsidR="00BB228E" w:rsidRPr="0089774E" w:rsidRDefault="00C728AF"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Amélioration </w:t>
            </w:r>
            <w:r w:rsidR="00777ED1" w:rsidRPr="0089774E">
              <w:rPr>
                <w:rFonts w:ascii="Times New Roman" w:hAnsi="Times New Roman"/>
                <w:sz w:val="24"/>
                <w:szCs w:val="24"/>
              </w:rPr>
              <w:t>des infrastructures</w:t>
            </w:r>
            <w:r w:rsidR="00BB228E" w:rsidRPr="0089774E">
              <w:rPr>
                <w:rFonts w:ascii="Times New Roman" w:hAnsi="Times New Roman"/>
                <w:sz w:val="24"/>
                <w:szCs w:val="24"/>
              </w:rPr>
              <w:t xml:space="preserve"> de soutien aux productions </w:t>
            </w:r>
            <w:r w:rsidR="008A6FD8" w:rsidRPr="0089774E">
              <w:rPr>
                <w:rFonts w:ascii="Times New Roman" w:hAnsi="Times New Roman"/>
                <w:sz w:val="24"/>
                <w:szCs w:val="24"/>
              </w:rPr>
              <w:t xml:space="preserve">des </w:t>
            </w:r>
            <w:r w:rsidR="00AE09E2" w:rsidRPr="0089774E">
              <w:rPr>
                <w:rFonts w:ascii="Times New Roman" w:hAnsi="Times New Roman"/>
                <w:sz w:val="24"/>
                <w:szCs w:val="24"/>
              </w:rPr>
              <w:t xml:space="preserve">noix de cajou et des </w:t>
            </w:r>
            <w:r w:rsidR="00BC5879" w:rsidRPr="0089774E">
              <w:rPr>
                <w:rFonts w:ascii="Times New Roman" w:hAnsi="Times New Roman"/>
                <w:sz w:val="24"/>
                <w:szCs w:val="24"/>
              </w:rPr>
              <w:t xml:space="preserve">cultures </w:t>
            </w:r>
            <w:r w:rsidR="0034097F" w:rsidRPr="0089774E">
              <w:rPr>
                <w:rFonts w:ascii="Times New Roman" w:hAnsi="Times New Roman"/>
                <w:sz w:val="24"/>
                <w:szCs w:val="24"/>
              </w:rPr>
              <w:t xml:space="preserve">céréalière qui </w:t>
            </w:r>
            <w:r w:rsidR="00BC5879" w:rsidRPr="0089774E">
              <w:rPr>
                <w:rFonts w:ascii="Times New Roman" w:hAnsi="Times New Roman"/>
                <w:sz w:val="24"/>
                <w:szCs w:val="24"/>
              </w:rPr>
              <w:t>s</w:t>
            </w:r>
            <w:r w:rsidR="0034097F" w:rsidRPr="0089774E">
              <w:rPr>
                <w:rFonts w:ascii="Times New Roman" w:hAnsi="Times New Roman"/>
                <w:sz w:val="24"/>
                <w:szCs w:val="24"/>
              </w:rPr>
              <w:t>er</w:t>
            </w:r>
            <w:r w:rsidR="00BC5879" w:rsidRPr="0089774E">
              <w:rPr>
                <w:rFonts w:ascii="Times New Roman" w:hAnsi="Times New Roman"/>
                <w:sz w:val="24"/>
                <w:szCs w:val="24"/>
              </w:rPr>
              <w:t>ont</w:t>
            </w:r>
            <w:r w:rsidR="00BB228E" w:rsidRPr="0089774E">
              <w:rPr>
                <w:rFonts w:ascii="Times New Roman" w:hAnsi="Times New Roman"/>
                <w:sz w:val="24"/>
                <w:szCs w:val="24"/>
              </w:rPr>
              <w:t xml:space="preserve"> mises à la disposition des populations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Augmentation de la biodiversité ;</w:t>
            </w:r>
          </w:p>
          <w:p w:rsidR="00BB228E" w:rsidRPr="0089774E" w:rsidRDefault="00681BD5"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La revalorisation</w:t>
            </w:r>
            <w:r w:rsidR="00572EBC" w:rsidRPr="0089774E">
              <w:rPr>
                <w:rFonts w:ascii="Times New Roman" w:hAnsi="Times New Roman"/>
                <w:sz w:val="24"/>
                <w:szCs w:val="24"/>
              </w:rPr>
              <w:t xml:space="preserve"> des</w:t>
            </w:r>
            <w:r w:rsidR="00BB228E" w:rsidRPr="0089774E">
              <w:rPr>
                <w:rFonts w:ascii="Times New Roman" w:hAnsi="Times New Roman"/>
                <w:sz w:val="24"/>
                <w:szCs w:val="24"/>
              </w:rPr>
              <w:t xml:space="preserve"> terres et </w:t>
            </w:r>
            <w:r w:rsidR="00572EBC" w:rsidRPr="0089774E">
              <w:rPr>
                <w:rFonts w:ascii="Times New Roman" w:hAnsi="Times New Roman"/>
                <w:sz w:val="24"/>
                <w:szCs w:val="24"/>
              </w:rPr>
              <w:t xml:space="preserve">la </w:t>
            </w:r>
            <w:r w:rsidR="00BB228E" w:rsidRPr="0089774E">
              <w:rPr>
                <w:rFonts w:ascii="Times New Roman" w:hAnsi="Times New Roman"/>
                <w:sz w:val="24"/>
                <w:szCs w:val="24"/>
              </w:rPr>
              <w:t>particip</w:t>
            </w:r>
            <w:r w:rsidR="00572EBC" w:rsidRPr="0089774E">
              <w:rPr>
                <w:rFonts w:ascii="Times New Roman" w:hAnsi="Times New Roman"/>
                <w:sz w:val="24"/>
                <w:szCs w:val="24"/>
              </w:rPr>
              <w:t xml:space="preserve">ation </w:t>
            </w:r>
            <w:r w:rsidR="00BB228E" w:rsidRPr="0089774E">
              <w:rPr>
                <w:rFonts w:ascii="Times New Roman" w:hAnsi="Times New Roman"/>
                <w:sz w:val="24"/>
                <w:szCs w:val="24"/>
              </w:rPr>
              <w:t>à la protection de l’environnement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Amélioration et augmentation des riche</w:t>
            </w:r>
            <w:r w:rsidR="00C8208D" w:rsidRPr="0089774E">
              <w:rPr>
                <w:rFonts w:ascii="Times New Roman" w:hAnsi="Times New Roman"/>
                <w:sz w:val="24"/>
                <w:szCs w:val="24"/>
              </w:rPr>
              <w:t>s</w:t>
            </w:r>
            <w:r w:rsidRPr="0089774E">
              <w:rPr>
                <w:rFonts w:ascii="Times New Roman" w:hAnsi="Times New Roman"/>
                <w:sz w:val="24"/>
                <w:szCs w:val="24"/>
              </w:rPr>
              <w:t>s</w:t>
            </w:r>
            <w:r w:rsidR="00C8208D" w:rsidRPr="0089774E">
              <w:rPr>
                <w:rFonts w:ascii="Times New Roman" w:hAnsi="Times New Roman"/>
                <w:sz w:val="24"/>
                <w:szCs w:val="24"/>
              </w:rPr>
              <w:t xml:space="preserve">es dans les </w:t>
            </w:r>
            <w:r w:rsidRPr="0089774E">
              <w:rPr>
                <w:rFonts w:ascii="Times New Roman" w:hAnsi="Times New Roman"/>
                <w:sz w:val="24"/>
                <w:szCs w:val="24"/>
              </w:rPr>
              <w:t>différentes communes concernées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Le désenclavement de certains</w:t>
            </w:r>
            <w:r w:rsidR="000D5D13" w:rsidRPr="0089774E">
              <w:rPr>
                <w:rFonts w:ascii="Times New Roman" w:hAnsi="Times New Roman"/>
                <w:sz w:val="24"/>
                <w:szCs w:val="24"/>
              </w:rPr>
              <w:t xml:space="preserve"> </w:t>
            </w:r>
            <w:r w:rsidRPr="0089774E">
              <w:rPr>
                <w:rFonts w:ascii="Times New Roman" w:hAnsi="Times New Roman"/>
                <w:sz w:val="24"/>
                <w:szCs w:val="24"/>
              </w:rPr>
              <w:t>villages</w:t>
            </w:r>
            <w:r w:rsidR="000D5D13" w:rsidRPr="0089774E">
              <w:rPr>
                <w:rFonts w:ascii="Times New Roman" w:hAnsi="Times New Roman"/>
                <w:sz w:val="24"/>
                <w:szCs w:val="24"/>
              </w:rPr>
              <w:t xml:space="preserve"> avec la réalisation des voies d’accès ;</w:t>
            </w:r>
            <w:r w:rsidRPr="0089774E">
              <w:rPr>
                <w:rFonts w:ascii="Times New Roman" w:hAnsi="Times New Roman"/>
                <w:sz w:val="24"/>
                <w:szCs w:val="24"/>
              </w:rPr>
              <w:t xml:space="preserve"> </w:t>
            </w:r>
          </w:p>
          <w:p w:rsidR="00BB228E" w:rsidRPr="0089774E" w:rsidRDefault="00CD0375"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Développement des cultures céréalières</w:t>
            </w:r>
            <w:r w:rsidR="00F05947" w:rsidRPr="0089774E">
              <w:rPr>
                <w:rFonts w:ascii="Times New Roman" w:hAnsi="Times New Roman"/>
                <w:sz w:val="24"/>
                <w:szCs w:val="24"/>
              </w:rPr>
              <w:t xml:space="preserve"> et </w:t>
            </w:r>
            <w:r w:rsidR="009754B4" w:rsidRPr="0089774E">
              <w:rPr>
                <w:rFonts w:ascii="Times New Roman" w:hAnsi="Times New Roman"/>
                <w:sz w:val="24"/>
                <w:szCs w:val="24"/>
              </w:rPr>
              <w:t>l’anacardier prolongera</w:t>
            </w:r>
            <w:r w:rsidR="008937D1" w:rsidRPr="0089774E">
              <w:rPr>
                <w:rFonts w:ascii="Times New Roman" w:hAnsi="Times New Roman"/>
                <w:sz w:val="24"/>
                <w:szCs w:val="24"/>
              </w:rPr>
              <w:t xml:space="preserve"> </w:t>
            </w:r>
            <w:r w:rsidR="00BB228E" w:rsidRPr="0089774E">
              <w:rPr>
                <w:rFonts w:ascii="Times New Roman" w:hAnsi="Times New Roman"/>
                <w:sz w:val="24"/>
                <w:szCs w:val="24"/>
              </w:rPr>
              <w:t>ainsi la période d’activité</w:t>
            </w:r>
            <w:r w:rsidR="00273575" w:rsidRPr="0089774E">
              <w:rPr>
                <w:rFonts w:ascii="Times New Roman" w:hAnsi="Times New Roman"/>
                <w:sz w:val="24"/>
                <w:szCs w:val="24"/>
              </w:rPr>
              <w:t>s</w:t>
            </w:r>
            <w:r w:rsidR="00BB228E" w:rsidRPr="0089774E">
              <w:rPr>
                <w:rFonts w:ascii="Times New Roman" w:hAnsi="Times New Roman"/>
                <w:sz w:val="24"/>
                <w:szCs w:val="24"/>
              </w:rPr>
              <w:t xml:space="preserve"> des populations</w:t>
            </w:r>
            <w:r w:rsidR="008937D1" w:rsidRPr="0089774E">
              <w:rPr>
                <w:rFonts w:ascii="Times New Roman" w:hAnsi="Times New Roman"/>
                <w:sz w:val="24"/>
                <w:szCs w:val="24"/>
              </w:rPr>
              <w:t xml:space="preserve"> (des agriculteurs)</w:t>
            </w:r>
            <w:r w:rsidR="00BB228E" w:rsidRPr="0089774E">
              <w:rPr>
                <w:rFonts w:ascii="Times New Roman" w:hAnsi="Times New Roman"/>
                <w:sz w:val="24"/>
                <w:szCs w:val="24"/>
              </w:rPr>
              <w:t xml:space="preserve"> en augmentant l’intensité culturale ;</w:t>
            </w:r>
          </w:p>
          <w:p w:rsidR="00BB228E" w:rsidRPr="0089774E" w:rsidRDefault="00822AB9"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Augmentation de la</w:t>
            </w:r>
            <w:r w:rsidR="00BB228E" w:rsidRPr="0089774E">
              <w:rPr>
                <w:rFonts w:ascii="Times New Roman" w:hAnsi="Times New Roman"/>
                <w:sz w:val="24"/>
                <w:szCs w:val="24"/>
              </w:rPr>
              <w:t xml:space="preserve"> stabilité sociale de la population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Formation et e</w:t>
            </w:r>
            <w:r w:rsidR="00273575" w:rsidRPr="0089774E">
              <w:rPr>
                <w:rFonts w:ascii="Times New Roman" w:hAnsi="Times New Roman"/>
                <w:sz w:val="24"/>
                <w:szCs w:val="24"/>
              </w:rPr>
              <w:t xml:space="preserve">ncadrement des acteurs dans </w:t>
            </w:r>
            <w:r w:rsidRPr="0089774E">
              <w:rPr>
                <w:rFonts w:ascii="Times New Roman" w:hAnsi="Times New Roman"/>
                <w:sz w:val="24"/>
                <w:szCs w:val="24"/>
              </w:rPr>
              <w:t xml:space="preserve">tous les </w:t>
            </w:r>
            <w:r w:rsidR="00210A56" w:rsidRPr="0089774E">
              <w:rPr>
                <w:rFonts w:ascii="Times New Roman" w:hAnsi="Times New Roman"/>
                <w:sz w:val="24"/>
                <w:szCs w:val="24"/>
              </w:rPr>
              <w:t xml:space="preserve">domaines </w:t>
            </w:r>
            <w:r w:rsidRPr="0089774E">
              <w:rPr>
                <w:rFonts w:ascii="Times New Roman" w:hAnsi="Times New Roman"/>
                <w:sz w:val="24"/>
                <w:szCs w:val="24"/>
              </w:rPr>
              <w:t>activité</w:t>
            </w:r>
            <w:r w:rsidR="00210A56" w:rsidRPr="0089774E">
              <w:rPr>
                <w:rFonts w:ascii="Times New Roman" w:hAnsi="Times New Roman"/>
                <w:sz w:val="24"/>
                <w:szCs w:val="24"/>
              </w:rPr>
              <w:t>s qui seront mise</w:t>
            </w:r>
            <w:r w:rsidR="00273575" w:rsidRPr="0089774E">
              <w:rPr>
                <w:rFonts w:ascii="Times New Roman" w:hAnsi="Times New Roman"/>
                <w:sz w:val="24"/>
                <w:szCs w:val="24"/>
              </w:rPr>
              <w:t>s</w:t>
            </w:r>
            <w:r w:rsidR="00210A56" w:rsidRPr="0089774E">
              <w:rPr>
                <w:rFonts w:ascii="Times New Roman" w:hAnsi="Times New Roman"/>
                <w:sz w:val="24"/>
                <w:szCs w:val="24"/>
              </w:rPr>
              <w:t xml:space="preserve"> en œuvre par le projet</w:t>
            </w:r>
            <w:r w:rsidRPr="0089774E">
              <w:rPr>
                <w:rFonts w:ascii="Times New Roman" w:hAnsi="Times New Roman"/>
                <w:sz w:val="24"/>
                <w:szCs w:val="24"/>
              </w:rPr>
              <w:t>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Préservation des terres cultivables </w:t>
            </w:r>
            <w:r w:rsidR="00681BD5" w:rsidRPr="0089774E">
              <w:rPr>
                <w:rFonts w:ascii="Times New Roman" w:hAnsi="Times New Roman"/>
                <w:sz w:val="24"/>
                <w:szCs w:val="24"/>
              </w:rPr>
              <w:lastRenderedPageBreak/>
              <w:t>et sécurisation</w:t>
            </w:r>
            <w:r w:rsidRPr="0089774E">
              <w:rPr>
                <w:rFonts w:ascii="Times New Roman" w:hAnsi="Times New Roman"/>
                <w:sz w:val="24"/>
                <w:szCs w:val="24"/>
              </w:rPr>
              <w:t xml:space="preserve"> des productions futures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Diminution des conflits entre les agriculteurs et les éleveurs avec la réalisation des ouvrages appropriés mais aussi l’aménagement des parcours des bétails</w:t>
            </w:r>
            <w:r w:rsidR="00713399" w:rsidRPr="0089774E">
              <w:rPr>
                <w:rFonts w:ascii="Times New Roman" w:hAnsi="Times New Roman"/>
                <w:sz w:val="24"/>
                <w:szCs w:val="24"/>
              </w:rPr>
              <w:t xml:space="preserve"> </w:t>
            </w:r>
            <w:r w:rsidRPr="0089774E">
              <w:rPr>
                <w:rFonts w:ascii="Times New Roman" w:hAnsi="Times New Roman"/>
                <w:sz w:val="24"/>
                <w:szCs w:val="24"/>
              </w:rPr>
              <w:t>etc.</w:t>
            </w:r>
          </w:p>
          <w:p w:rsidR="00BB228E" w:rsidRPr="0089774E" w:rsidRDefault="00681BD5"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Diminution de</w:t>
            </w:r>
            <w:r w:rsidR="00BB228E" w:rsidRPr="0089774E">
              <w:rPr>
                <w:rFonts w:ascii="Times New Roman" w:hAnsi="Times New Roman"/>
                <w:sz w:val="24"/>
                <w:szCs w:val="24"/>
              </w:rPr>
              <w:t xml:space="preserve"> la pauvreté dans la zone et diminution de la dégradation de leur cadre de vie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Regain de dynamique de l</w:t>
            </w:r>
            <w:r w:rsidR="00A05714" w:rsidRPr="0089774E">
              <w:rPr>
                <w:rFonts w:ascii="Times New Roman" w:hAnsi="Times New Roman"/>
                <w:sz w:val="24"/>
                <w:szCs w:val="24"/>
              </w:rPr>
              <w:t>’</w:t>
            </w:r>
            <w:r w:rsidRPr="0089774E">
              <w:rPr>
                <w:rFonts w:ascii="Times New Roman" w:hAnsi="Times New Roman"/>
                <w:sz w:val="24"/>
                <w:szCs w:val="24"/>
              </w:rPr>
              <w:t>investissement privé : celui-ci s</w:t>
            </w:r>
            <w:r w:rsidR="00A05714" w:rsidRPr="0089774E">
              <w:rPr>
                <w:rFonts w:ascii="Times New Roman" w:hAnsi="Times New Roman"/>
                <w:sz w:val="24"/>
                <w:szCs w:val="24"/>
              </w:rPr>
              <w:t>’</w:t>
            </w:r>
            <w:r w:rsidRPr="0089774E">
              <w:rPr>
                <w:rFonts w:ascii="Times New Roman" w:hAnsi="Times New Roman"/>
                <w:sz w:val="24"/>
                <w:szCs w:val="24"/>
              </w:rPr>
              <w:t>exprime aussi bien au niveau de la petite agriculture familiale, sur une base individuelle ou collective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Création d’opportunités d’emplois pour les jeunes dans locaux.</w:t>
            </w:r>
          </w:p>
        </w:tc>
        <w:tc>
          <w:tcPr>
            <w:tcW w:w="3870" w:type="dxa"/>
            <w:shd w:val="clear" w:color="auto" w:fill="FFFFFF" w:themeFill="background1"/>
            <w:vAlign w:val="center"/>
          </w:tcPr>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lastRenderedPageBreak/>
              <w:t>Les activités de construction des ouvrages peuvent engendrés des impacts négatifs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Temps de réalisation des ouvrages </w:t>
            </w:r>
            <w:r w:rsidR="008529F7" w:rsidRPr="0089774E">
              <w:rPr>
                <w:rFonts w:ascii="Times New Roman" w:hAnsi="Times New Roman"/>
                <w:sz w:val="24"/>
                <w:szCs w:val="24"/>
              </w:rPr>
              <w:t>(voies d’accès, marché</w:t>
            </w:r>
            <w:r w:rsidR="006B5837" w:rsidRPr="0089774E">
              <w:rPr>
                <w:rFonts w:ascii="Times New Roman" w:hAnsi="Times New Roman"/>
                <w:sz w:val="24"/>
                <w:szCs w:val="24"/>
              </w:rPr>
              <w:t xml:space="preserve"> et </w:t>
            </w:r>
            <w:r w:rsidR="00A90BC1" w:rsidRPr="0089774E">
              <w:rPr>
                <w:rFonts w:ascii="Times New Roman" w:hAnsi="Times New Roman"/>
                <w:sz w:val="24"/>
                <w:szCs w:val="24"/>
              </w:rPr>
              <w:t>magasin)</w:t>
            </w:r>
            <w:r w:rsidR="00EE2F6F" w:rsidRPr="0089774E">
              <w:rPr>
                <w:rFonts w:ascii="Times New Roman" w:hAnsi="Times New Roman"/>
                <w:sz w:val="24"/>
                <w:szCs w:val="24"/>
              </w:rPr>
              <w:t xml:space="preserve"> </w:t>
            </w:r>
            <w:r w:rsidRPr="0089774E">
              <w:rPr>
                <w:rFonts w:ascii="Times New Roman" w:hAnsi="Times New Roman"/>
                <w:sz w:val="24"/>
                <w:szCs w:val="24"/>
              </w:rPr>
              <w:t>;</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Des nuisances durant les travaux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Risque de perte du couvert végétal entraînant la perte d’habitats fauniques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Modification du paysage en rapport avec les travaux </w:t>
            </w:r>
            <w:r w:rsidR="00A90BC1" w:rsidRPr="0089774E">
              <w:rPr>
                <w:rFonts w:ascii="Times New Roman" w:hAnsi="Times New Roman"/>
                <w:sz w:val="24"/>
                <w:szCs w:val="24"/>
              </w:rPr>
              <w:t xml:space="preserve">et </w:t>
            </w:r>
            <w:r w:rsidR="00EE2F6F" w:rsidRPr="0089774E">
              <w:rPr>
                <w:rFonts w:ascii="Times New Roman" w:hAnsi="Times New Roman"/>
                <w:sz w:val="24"/>
                <w:szCs w:val="24"/>
              </w:rPr>
              <w:t xml:space="preserve">l’intensification des cultures </w:t>
            </w:r>
            <w:r w:rsidRPr="0089774E">
              <w:rPr>
                <w:rFonts w:ascii="Times New Roman" w:hAnsi="Times New Roman"/>
                <w:sz w:val="24"/>
                <w:szCs w:val="24"/>
              </w:rPr>
              <w:t>;</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eastAsia="MS Mincho" w:hAnsi="Times New Roman"/>
                <w:sz w:val="24"/>
                <w:szCs w:val="24"/>
              </w:rPr>
              <w:t>Risque de perturbation et désagrément des activités socio sur l’emprise (perte de biens, entrave à la mobilité)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Risque de déstructuration et de pollution des sols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Risque de maladie particulièrement les IST/VIH/SIDA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Les risques</w:t>
            </w:r>
            <w:r w:rsidR="00016BAF" w:rsidRPr="0089774E">
              <w:rPr>
                <w:rFonts w:ascii="Times New Roman" w:hAnsi="Times New Roman"/>
                <w:sz w:val="24"/>
                <w:szCs w:val="24"/>
              </w:rPr>
              <w:t xml:space="preserve"> sanitaires liés à l’</w:t>
            </w:r>
            <w:r w:rsidR="000D2A58" w:rsidRPr="0089774E">
              <w:rPr>
                <w:rFonts w:ascii="Times New Roman" w:hAnsi="Times New Roman"/>
                <w:sz w:val="24"/>
                <w:szCs w:val="24"/>
              </w:rPr>
              <w:t>utilisation des pesticides et</w:t>
            </w:r>
            <w:r w:rsidRPr="0089774E">
              <w:rPr>
                <w:rFonts w:ascii="Times New Roman" w:hAnsi="Times New Roman"/>
                <w:sz w:val="24"/>
                <w:szCs w:val="24"/>
              </w:rPr>
              <w:t xml:space="preserve"> de</w:t>
            </w:r>
            <w:r w:rsidR="000D2A58" w:rsidRPr="0089774E">
              <w:rPr>
                <w:rFonts w:ascii="Times New Roman" w:hAnsi="Times New Roman"/>
                <w:sz w:val="24"/>
                <w:szCs w:val="24"/>
              </w:rPr>
              <w:t>s</w:t>
            </w:r>
            <w:r w:rsidRPr="0089774E">
              <w:rPr>
                <w:rFonts w:ascii="Times New Roman" w:hAnsi="Times New Roman"/>
                <w:sz w:val="24"/>
                <w:szCs w:val="24"/>
              </w:rPr>
              <w:t xml:space="preserve"> déchets divers ;</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Risque des conflits sociaux liés </w:t>
            </w:r>
            <w:r w:rsidR="002E36B7" w:rsidRPr="0089774E">
              <w:rPr>
                <w:rFonts w:ascii="Times New Roman" w:hAnsi="Times New Roman"/>
                <w:sz w:val="24"/>
                <w:szCs w:val="24"/>
              </w:rPr>
              <w:t xml:space="preserve">aux diverses infrastructures, </w:t>
            </w:r>
            <w:r w:rsidRPr="0089774E">
              <w:rPr>
                <w:rFonts w:ascii="Times New Roman" w:hAnsi="Times New Roman"/>
                <w:sz w:val="24"/>
                <w:szCs w:val="24"/>
              </w:rPr>
              <w:t xml:space="preserve">leurs gestions et </w:t>
            </w:r>
            <w:r w:rsidR="00E6686F" w:rsidRPr="0089774E">
              <w:rPr>
                <w:rFonts w:ascii="Times New Roman" w:hAnsi="Times New Roman"/>
                <w:sz w:val="24"/>
                <w:szCs w:val="24"/>
              </w:rPr>
              <w:t xml:space="preserve">leurs </w:t>
            </w:r>
            <w:r w:rsidRPr="0089774E">
              <w:rPr>
                <w:rFonts w:ascii="Times New Roman" w:hAnsi="Times New Roman"/>
                <w:sz w:val="24"/>
                <w:szCs w:val="24"/>
              </w:rPr>
              <w:t>utilisations</w:t>
            </w:r>
          </w:p>
          <w:p w:rsidR="00BB228E" w:rsidRPr="0089774E" w:rsidRDefault="00BB228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Risque de conflits qui peuvent naître de la concurrence pour l’accès à l’appui du projet aux activités génératrices de revenus ou </w:t>
            </w:r>
            <w:r w:rsidRPr="0089774E">
              <w:rPr>
                <w:rFonts w:ascii="Times New Roman" w:hAnsi="Times New Roman"/>
                <w:sz w:val="24"/>
                <w:szCs w:val="24"/>
              </w:rPr>
              <w:lastRenderedPageBreak/>
              <w:t>à l’accès à la terre etc.</w:t>
            </w:r>
          </w:p>
          <w:p w:rsidR="00294F50" w:rsidRPr="0089774E" w:rsidRDefault="00887624"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Risque d’inondation et le manque d’aménagement </w:t>
            </w:r>
            <w:r w:rsidR="00AF0A2E" w:rsidRPr="0089774E">
              <w:rPr>
                <w:rFonts w:ascii="Times New Roman" w:hAnsi="Times New Roman"/>
                <w:sz w:val="24"/>
                <w:szCs w:val="24"/>
              </w:rPr>
              <w:t xml:space="preserve">hydro agricole pourrait ralentir </w:t>
            </w:r>
            <w:r w:rsidR="00294F50" w:rsidRPr="0089774E">
              <w:rPr>
                <w:rFonts w:ascii="Times New Roman" w:hAnsi="Times New Roman"/>
                <w:sz w:val="24"/>
                <w:szCs w:val="24"/>
              </w:rPr>
              <w:t>les effets positifs du projet ;</w:t>
            </w:r>
          </w:p>
          <w:p w:rsidR="00DE6B62" w:rsidRPr="0089774E" w:rsidRDefault="00AF0A2E"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 </w:t>
            </w:r>
            <w:r w:rsidR="00EF41ED" w:rsidRPr="0089774E">
              <w:rPr>
                <w:rFonts w:ascii="Times New Roman" w:hAnsi="Times New Roman"/>
                <w:sz w:val="24"/>
                <w:szCs w:val="24"/>
              </w:rPr>
              <w:t xml:space="preserve">Manque de </w:t>
            </w:r>
            <w:r w:rsidR="00D508B4" w:rsidRPr="0089774E">
              <w:rPr>
                <w:rFonts w:ascii="Times New Roman" w:hAnsi="Times New Roman"/>
                <w:sz w:val="24"/>
                <w:szCs w:val="24"/>
              </w:rPr>
              <w:t xml:space="preserve">volonté de </w:t>
            </w:r>
            <w:r w:rsidR="00DE6B62" w:rsidRPr="0089774E">
              <w:rPr>
                <w:rFonts w:ascii="Times New Roman" w:hAnsi="Times New Roman"/>
                <w:sz w:val="24"/>
                <w:szCs w:val="24"/>
              </w:rPr>
              <w:t>l’Etat ou</w:t>
            </w:r>
            <w:r w:rsidR="00D508B4" w:rsidRPr="0089774E">
              <w:rPr>
                <w:rFonts w:ascii="Times New Roman" w:hAnsi="Times New Roman"/>
                <w:sz w:val="24"/>
                <w:szCs w:val="24"/>
              </w:rPr>
              <w:t xml:space="preserve"> de la population </w:t>
            </w:r>
            <w:r w:rsidR="00DE6B62" w:rsidRPr="0089774E">
              <w:rPr>
                <w:rFonts w:ascii="Times New Roman" w:hAnsi="Times New Roman"/>
                <w:sz w:val="24"/>
                <w:szCs w:val="24"/>
              </w:rPr>
              <w:t>par rapport à la mise en œuvre du projet ;</w:t>
            </w:r>
          </w:p>
          <w:p w:rsidR="00BB228E" w:rsidRPr="0089774E" w:rsidRDefault="00D508B4"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 </w:t>
            </w:r>
            <w:r w:rsidR="008D6859" w:rsidRPr="0089774E">
              <w:rPr>
                <w:rFonts w:ascii="Times New Roman" w:hAnsi="Times New Roman"/>
                <w:sz w:val="24"/>
                <w:szCs w:val="24"/>
              </w:rPr>
              <w:t>Détournement des moyens financières</w:t>
            </w:r>
            <w:r w:rsidR="00BB551D" w:rsidRPr="0089774E">
              <w:rPr>
                <w:rFonts w:ascii="Times New Roman" w:hAnsi="Times New Roman"/>
                <w:sz w:val="24"/>
                <w:szCs w:val="24"/>
              </w:rPr>
              <w:t xml:space="preserve"> </w:t>
            </w:r>
            <w:r w:rsidR="008C3658" w:rsidRPr="0089774E">
              <w:rPr>
                <w:rFonts w:ascii="Times New Roman" w:hAnsi="Times New Roman"/>
                <w:sz w:val="24"/>
                <w:szCs w:val="24"/>
              </w:rPr>
              <w:t>par rapport la mise en œuvre des activités du projet</w:t>
            </w:r>
            <w:r w:rsidR="008B7791" w:rsidRPr="0089774E">
              <w:rPr>
                <w:rFonts w:ascii="Times New Roman" w:hAnsi="Times New Roman"/>
                <w:sz w:val="24"/>
                <w:szCs w:val="24"/>
              </w:rPr>
              <w:t> ;</w:t>
            </w:r>
          </w:p>
          <w:p w:rsidR="00A31A5C" w:rsidRPr="0089774E" w:rsidRDefault="00A31A5C"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 xml:space="preserve">Manque et non-respect des lois pour reconnaitre les femmes à l’accès à la terre pourra être une source important des actes de VBG  </w:t>
            </w:r>
          </w:p>
          <w:p w:rsidR="006C2204" w:rsidRPr="0089774E" w:rsidRDefault="00A31A5C" w:rsidP="00157035">
            <w:pPr>
              <w:pStyle w:val="PargrafodaLista"/>
              <w:numPr>
                <w:ilvl w:val="0"/>
                <w:numId w:val="53"/>
              </w:numPr>
              <w:spacing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9774E">
              <w:rPr>
                <w:rFonts w:ascii="Times New Roman" w:hAnsi="Times New Roman"/>
                <w:sz w:val="24"/>
                <w:szCs w:val="24"/>
              </w:rPr>
              <w:t>Risque de discrimination des femmes pourrait être noter avec la situation du pays ;</w:t>
            </w:r>
          </w:p>
        </w:tc>
      </w:tr>
    </w:tbl>
    <w:p w:rsidR="00BB228E" w:rsidRPr="00A05698" w:rsidRDefault="00BB228E" w:rsidP="004F4212">
      <w:pPr>
        <w:spacing w:after="120"/>
        <w:jc w:val="both"/>
      </w:pPr>
    </w:p>
    <w:p w:rsidR="00F57C99" w:rsidRPr="00A05698" w:rsidRDefault="00BB228E" w:rsidP="0089774E">
      <w:pPr>
        <w:ind w:right="12"/>
        <w:jc w:val="both"/>
      </w:pPr>
      <w:r w:rsidRPr="00A05698">
        <w:t>La mise en œuvre du projet</w:t>
      </w:r>
      <w:r w:rsidR="00A22550" w:rsidRPr="00A05698">
        <w:t xml:space="preserve"> PUSA</w:t>
      </w:r>
      <w:r w:rsidRPr="00A05698">
        <w:t xml:space="preserve"> va stimuler </w:t>
      </w:r>
      <w:r w:rsidR="00BF31CB" w:rsidRPr="00A05698">
        <w:t>le développement économiq</w:t>
      </w:r>
      <w:r w:rsidR="007D0768" w:rsidRPr="00A05698">
        <w:t>ue</w:t>
      </w:r>
      <w:r w:rsidR="00077A78" w:rsidRPr="00A05698">
        <w:t xml:space="preserve"> et social des </w:t>
      </w:r>
      <w:r w:rsidRPr="00A05698">
        <w:t>zone</w:t>
      </w:r>
      <w:r w:rsidR="00D80CC4" w:rsidRPr="00A05698">
        <w:t>s</w:t>
      </w:r>
      <w:r w:rsidRPr="00A05698">
        <w:t xml:space="preserve"> concernée</w:t>
      </w:r>
      <w:r w:rsidR="00D80CC4" w:rsidRPr="00A05698">
        <w:t>s</w:t>
      </w:r>
      <w:r w:rsidRPr="00A05698">
        <w:t xml:space="preserve"> et</w:t>
      </w:r>
      <w:r w:rsidR="007E250A" w:rsidRPr="00A05698">
        <w:t xml:space="preserve"> </w:t>
      </w:r>
      <w:r w:rsidRPr="00A05698">
        <w:t>contribue</w:t>
      </w:r>
      <w:r w:rsidR="007E250A" w:rsidRPr="00A05698">
        <w:t>r</w:t>
      </w:r>
      <w:r w:rsidR="00EF51B5">
        <w:t xml:space="preserve">a </w:t>
      </w:r>
      <w:r w:rsidR="00C737BA">
        <w:t>à</w:t>
      </w:r>
      <w:r w:rsidR="00EF51B5">
        <w:t xml:space="preserve"> </w:t>
      </w:r>
      <w:r w:rsidRPr="00A05698">
        <w:t xml:space="preserve">une meilleure gestion des ressources naturelles et </w:t>
      </w:r>
      <w:r w:rsidR="00C737BA">
        <w:t>à</w:t>
      </w:r>
      <w:r w:rsidR="00EF51B5">
        <w:t xml:space="preserve"> </w:t>
      </w:r>
      <w:r w:rsidRPr="00A05698">
        <w:t xml:space="preserve">l’amélioration de la biodiversité. </w:t>
      </w:r>
    </w:p>
    <w:p w:rsidR="00BB228E" w:rsidRPr="00A05698" w:rsidRDefault="00BB228E" w:rsidP="0089774E">
      <w:pPr>
        <w:ind w:right="12"/>
        <w:jc w:val="both"/>
      </w:pPr>
      <w:r w:rsidRPr="00A05698">
        <w:t xml:space="preserve">Le projet </w:t>
      </w:r>
      <w:r w:rsidR="000833CB" w:rsidRPr="00A05698">
        <w:t xml:space="preserve">PUSA </w:t>
      </w:r>
      <w:r w:rsidRPr="00A05698">
        <w:t>permettra :</w:t>
      </w:r>
    </w:p>
    <w:p w:rsidR="00476912" w:rsidRPr="00A05698" w:rsidRDefault="00A72021"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 réduction des</w:t>
      </w:r>
      <w:r w:rsidR="00E644DA" w:rsidRPr="00A05698">
        <w:rPr>
          <w:rFonts w:ascii="Times New Roman" w:hAnsi="Times New Roman"/>
          <w:sz w:val="24"/>
          <w:szCs w:val="24"/>
        </w:rPr>
        <w:t xml:space="preserve"> effets négatifs </w:t>
      </w:r>
      <w:r w:rsidR="00F749A4" w:rsidRPr="00A05698">
        <w:rPr>
          <w:rFonts w:ascii="Times New Roman" w:hAnsi="Times New Roman"/>
          <w:sz w:val="24"/>
          <w:szCs w:val="24"/>
        </w:rPr>
        <w:t>économiques</w:t>
      </w:r>
      <w:r w:rsidR="00CC5A5C" w:rsidRPr="00A05698">
        <w:rPr>
          <w:rFonts w:ascii="Times New Roman" w:hAnsi="Times New Roman"/>
          <w:sz w:val="24"/>
          <w:szCs w:val="24"/>
        </w:rPr>
        <w:t xml:space="preserve"> et socia</w:t>
      </w:r>
      <w:r w:rsidR="00E611AD" w:rsidRPr="00A05698">
        <w:rPr>
          <w:rFonts w:ascii="Times New Roman" w:hAnsi="Times New Roman"/>
          <w:sz w:val="24"/>
          <w:szCs w:val="24"/>
        </w:rPr>
        <w:t>ux</w:t>
      </w:r>
      <w:r w:rsidR="00CC5A5C" w:rsidRPr="00A05698">
        <w:rPr>
          <w:rFonts w:ascii="Times New Roman" w:hAnsi="Times New Roman"/>
          <w:sz w:val="24"/>
          <w:szCs w:val="24"/>
        </w:rPr>
        <w:t xml:space="preserve"> due </w:t>
      </w:r>
      <w:r w:rsidR="007E250A" w:rsidRPr="00A05698">
        <w:rPr>
          <w:rFonts w:ascii="Times New Roman" w:hAnsi="Times New Roman"/>
          <w:sz w:val="24"/>
          <w:szCs w:val="24"/>
        </w:rPr>
        <w:t xml:space="preserve">à </w:t>
      </w:r>
      <w:r w:rsidR="00681BD5" w:rsidRPr="00A05698">
        <w:rPr>
          <w:rFonts w:ascii="Times New Roman" w:hAnsi="Times New Roman"/>
          <w:sz w:val="24"/>
          <w:szCs w:val="24"/>
        </w:rPr>
        <w:t>la Covid</w:t>
      </w:r>
      <w:r w:rsidR="00CC5A5C" w:rsidRPr="00A05698">
        <w:rPr>
          <w:rFonts w:ascii="Times New Roman" w:hAnsi="Times New Roman"/>
          <w:sz w:val="24"/>
          <w:szCs w:val="24"/>
        </w:rPr>
        <w:t xml:space="preserve"> 19</w:t>
      </w:r>
      <w:r w:rsidR="00F749A4" w:rsidRPr="00A05698">
        <w:rPr>
          <w:rFonts w:ascii="Times New Roman" w:hAnsi="Times New Roman"/>
          <w:sz w:val="24"/>
          <w:szCs w:val="24"/>
        </w:rPr>
        <w:t> ;</w:t>
      </w:r>
    </w:p>
    <w:p w:rsidR="001B3F3C" w:rsidRPr="00A05698" w:rsidRDefault="001B3F3C"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Le développement de l</w:t>
      </w:r>
      <w:r w:rsidR="00A05714" w:rsidRPr="00A05698">
        <w:rPr>
          <w:rFonts w:ascii="Times New Roman" w:hAnsi="Times New Roman"/>
          <w:sz w:val="24"/>
          <w:szCs w:val="24"/>
        </w:rPr>
        <w:t>’</w:t>
      </w:r>
      <w:r w:rsidRPr="00A05698">
        <w:rPr>
          <w:rFonts w:ascii="Times New Roman" w:hAnsi="Times New Roman"/>
          <w:sz w:val="24"/>
          <w:szCs w:val="24"/>
        </w:rPr>
        <w:t>entreprenariat rural dans le domaine de l</w:t>
      </w:r>
      <w:r w:rsidR="00A05714" w:rsidRPr="00A05698">
        <w:rPr>
          <w:rFonts w:ascii="Times New Roman" w:hAnsi="Times New Roman"/>
          <w:sz w:val="24"/>
          <w:szCs w:val="24"/>
        </w:rPr>
        <w:t>’</w:t>
      </w:r>
      <w:r w:rsidRPr="00A05698">
        <w:rPr>
          <w:rFonts w:ascii="Times New Roman" w:hAnsi="Times New Roman"/>
          <w:sz w:val="24"/>
          <w:szCs w:val="24"/>
        </w:rPr>
        <w:t>agriculture ;</w:t>
      </w:r>
    </w:p>
    <w:p w:rsidR="001B3F3C" w:rsidRPr="00A05698" w:rsidRDefault="001B3F3C"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L’amélioration de la qualité nutritionnelle de la famille ;</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 réduction des pertes post-récolte ;</w:t>
      </w:r>
    </w:p>
    <w:p w:rsidR="00BA5D4C" w:rsidRPr="00A05698" w:rsidRDefault="00BA5D4C"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 xml:space="preserve">La réduction </w:t>
      </w:r>
      <w:r w:rsidR="00523CBF" w:rsidRPr="00A05698">
        <w:rPr>
          <w:rFonts w:ascii="Times New Roman" w:hAnsi="Times New Roman"/>
          <w:sz w:val="24"/>
          <w:szCs w:val="24"/>
        </w:rPr>
        <w:t>de l’</w:t>
      </w:r>
      <w:r w:rsidR="00F13A17" w:rsidRPr="00A05698">
        <w:rPr>
          <w:rFonts w:ascii="Times New Roman" w:hAnsi="Times New Roman"/>
          <w:sz w:val="24"/>
          <w:szCs w:val="24"/>
        </w:rPr>
        <w:t>insécurité</w:t>
      </w:r>
      <w:r w:rsidR="00523CBF" w:rsidRPr="00A05698">
        <w:rPr>
          <w:rFonts w:ascii="Times New Roman" w:hAnsi="Times New Roman"/>
          <w:sz w:val="24"/>
          <w:szCs w:val="24"/>
        </w:rPr>
        <w:t xml:space="preserve"> alimentaire dans le pays ;</w:t>
      </w:r>
      <w:r w:rsidRPr="00A05698">
        <w:rPr>
          <w:rFonts w:ascii="Times New Roman" w:hAnsi="Times New Roman"/>
          <w:sz w:val="24"/>
          <w:szCs w:val="24"/>
        </w:rPr>
        <w:t xml:space="preserve"> </w:t>
      </w:r>
    </w:p>
    <w:p w:rsidR="00F13A17" w:rsidRPr="00A05698" w:rsidRDefault="00011616"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w:t>
      </w:r>
      <w:r w:rsidR="000F1302" w:rsidRPr="00A05698">
        <w:rPr>
          <w:rFonts w:ascii="Times New Roman" w:hAnsi="Times New Roman"/>
          <w:sz w:val="24"/>
          <w:szCs w:val="24"/>
        </w:rPr>
        <w:t xml:space="preserve">’augmentation </w:t>
      </w:r>
      <w:r w:rsidR="008F78A2" w:rsidRPr="00A05698">
        <w:rPr>
          <w:rFonts w:ascii="Times New Roman" w:hAnsi="Times New Roman"/>
          <w:sz w:val="24"/>
          <w:szCs w:val="24"/>
        </w:rPr>
        <w:t xml:space="preserve">des produits </w:t>
      </w:r>
      <w:r w:rsidR="00E611AD" w:rsidRPr="00A05698">
        <w:rPr>
          <w:rFonts w:ascii="Times New Roman" w:hAnsi="Times New Roman"/>
          <w:sz w:val="24"/>
          <w:szCs w:val="24"/>
        </w:rPr>
        <w:t>céréaliers</w:t>
      </w:r>
      <w:r w:rsidR="008F78A2" w:rsidRPr="00A05698">
        <w:rPr>
          <w:rFonts w:ascii="Times New Roman" w:hAnsi="Times New Roman"/>
          <w:sz w:val="24"/>
          <w:szCs w:val="24"/>
        </w:rPr>
        <w:t xml:space="preserve"> </w:t>
      </w:r>
      <w:r w:rsidR="00ED2FD4" w:rsidRPr="00A05698">
        <w:rPr>
          <w:rFonts w:ascii="Times New Roman" w:hAnsi="Times New Roman"/>
          <w:sz w:val="24"/>
          <w:szCs w:val="24"/>
        </w:rPr>
        <w:t>dans les marchés locaux ;</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 diversification des activités </w:t>
      </w:r>
      <w:r w:rsidR="004569F1" w:rsidRPr="00A05698">
        <w:rPr>
          <w:rFonts w:ascii="Times New Roman" w:hAnsi="Times New Roman"/>
          <w:sz w:val="24"/>
          <w:szCs w:val="24"/>
        </w:rPr>
        <w:t>d’agricole</w:t>
      </w:r>
      <w:r w:rsidR="006C0289" w:rsidRPr="00A05698">
        <w:rPr>
          <w:rFonts w:ascii="Times New Roman" w:hAnsi="Times New Roman"/>
          <w:sz w:val="24"/>
          <w:szCs w:val="24"/>
        </w:rPr>
        <w:t xml:space="preserve"> </w:t>
      </w:r>
      <w:r w:rsidRPr="00A05698">
        <w:rPr>
          <w:rFonts w:ascii="Times New Roman" w:hAnsi="Times New Roman"/>
          <w:sz w:val="24"/>
          <w:szCs w:val="24"/>
        </w:rPr>
        <w:t>;</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La facilitation de déplacement des populations et des biens entre les villages et les zones de marché et/ou d</w:t>
      </w:r>
      <w:r w:rsidR="00A05714" w:rsidRPr="00A05698">
        <w:rPr>
          <w:rFonts w:ascii="Times New Roman" w:hAnsi="Times New Roman"/>
          <w:sz w:val="24"/>
          <w:szCs w:val="24"/>
        </w:rPr>
        <w:t>’</w:t>
      </w:r>
      <w:r w:rsidRPr="00A05698">
        <w:rPr>
          <w:rFonts w:ascii="Times New Roman" w:hAnsi="Times New Roman"/>
          <w:sz w:val="24"/>
          <w:szCs w:val="24"/>
        </w:rPr>
        <w:t>approvisionnement ;</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Le gain de temps ;</w:t>
      </w:r>
    </w:p>
    <w:p w:rsidR="00BB228E" w:rsidRPr="00A05698" w:rsidRDefault="00BB228E" w:rsidP="00157035">
      <w:pPr>
        <w:pStyle w:val="PargrafodaLista"/>
        <w:numPr>
          <w:ilvl w:val="0"/>
          <w:numId w:val="55"/>
        </w:numPr>
        <w:autoSpaceDE w:val="0"/>
        <w:autoSpaceDN w:val="0"/>
        <w:adjustRightInd w:val="0"/>
        <w:spacing w:line="240" w:lineRule="auto"/>
        <w:jc w:val="both"/>
        <w:rPr>
          <w:rFonts w:ascii="Times New Roman" w:hAnsi="Times New Roman"/>
          <w:sz w:val="24"/>
          <w:szCs w:val="24"/>
        </w:rPr>
      </w:pPr>
      <w:r w:rsidRPr="00A05698">
        <w:rPr>
          <w:rFonts w:ascii="Times New Roman" w:hAnsi="Times New Roman"/>
          <w:sz w:val="24"/>
          <w:szCs w:val="24"/>
        </w:rPr>
        <w:t>L’augmentation du taux d</w:t>
      </w:r>
      <w:r w:rsidR="00A05714" w:rsidRPr="00A05698">
        <w:rPr>
          <w:rFonts w:ascii="Times New Roman" w:hAnsi="Times New Roman"/>
          <w:sz w:val="24"/>
          <w:szCs w:val="24"/>
        </w:rPr>
        <w:t>’</w:t>
      </w:r>
      <w:r w:rsidRPr="00A05698">
        <w:rPr>
          <w:rFonts w:ascii="Times New Roman" w:hAnsi="Times New Roman"/>
          <w:sz w:val="24"/>
          <w:szCs w:val="24"/>
        </w:rPr>
        <w:t>éc</w:t>
      </w:r>
      <w:r w:rsidR="00355CC9" w:rsidRPr="00A05698">
        <w:rPr>
          <w:rFonts w:ascii="Times New Roman" w:hAnsi="Times New Roman"/>
          <w:sz w:val="24"/>
          <w:szCs w:val="24"/>
        </w:rPr>
        <w:t xml:space="preserve">oulement des produits agricoles (noix de cajou, riz, mil, </w:t>
      </w:r>
      <w:r w:rsidR="00B145AD" w:rsidRPr="00A05698">
        <w:rPr>
          <w:rFonts w:ascii="Times New Roman" w:hAnsi="Times New Roman"/>
          <w:sz w:val="24"/>
          <w:szCs w:val="24"/>
        </w:rPr>
        <w:t>maïs</w:t>
      </w:r>
      <w:r w:rsidR="00355CC9" w:rsidRPr="00A05698">
        <w:rPr>
          <w:rFonts w:ascii="Times New Roman" w:hAnsi="Times New Roman"/>
          <w:sz w:val="24"/>
          <w:szCs w:val="24"/>
        </w:rPr>
        <w:t>, sorgho, etc.)</w:t>
      </w:r>
      <w:r w:rsidR="00B145AD" w:rsidRPr="00A05698">
        <w:rPr>
          <w:rFonts w:ascii="Times New Roman" w:hAnsi="Times New Roman"/>
          <w:sz w:val="24"/>
          <w:szCs w:val="24"/>
        </w:rPr>
        <w:t xml:space="preserve"> </w:t>
      </w:r>
      <w:r w:rsidRPr="00A05698">
        <w:rPr>
          <w:rFonts w:ascii="Times New Roman" w:hAnsi="Times New Roman"/>
          <w:sz w:val="24"/>
          <w:szCs w:val="24"/>
        </w:rPr>
        <w:t>;</w:t>
      </w:r>
    </w:p>
    <w:p w:rsidR="00BB228E" w:rsidRPr="00A05698" w:rsidRDefault="00BB228E" w:rsidP="00157035">
      <w:pPr>
        <w:pStyle w:val="PargrafodaLista"/>
        <w:numPr>
          <w:ilvl w:val="0"/>
          <w:numId w:val="55"/>
        </w:numPr>
        <w:spacing w:line="240" w:lineRule="auto"/>
        <w:rPr>
          <w:rFonts w:ascii="Times New Roman" w:hAnsi="Times New Roman"/>
          <w:sz w:val="24"/>
          <w:szCs w:val="24"/>
        </w:rPr>
      </w:pPr>
      <w:r w:rsidRPr="00A05698">
        <w:rPr>
          <w:rFonts w:ascii="Times New Roman" w:hAnsi="Times New Roman"/>
          <w:sz w:val="24"/>
          <w:szCs w:val="24"/>
        </w:rPr>
        <w:t>Etc…</w:t>
      </w:r>
    </w:p>
    <w:p w:rsidR="00BB228E" w:rsidRPr="00A05698" w:rsidRDefault="00286E36" w:rsidP="0089774E">
      <w:pPr>
        <w:ind w:right="12"/>
        <w:jc w:val="both"/>
      </w:pPr>
      <w:r w:rsidRPr="00A05698">
        <w:t>Toutefois, ces effets</w:t>
      </w:r>
      <w:r w:rsidR="00E702BA" w:rsidRPr="00A05698">
        <w:t xml:space="preserve"> négatifs</w:t>
      </w:r>
      <w:r w:rsidR="00BB228E" w:rsidRPr="00A05698">
        <w:t xml:space="preserve"> peuvent être pris en charge de manière très efficace en appliquant des mesures d’atténua</w:t>
      </w:r>
      <w:r w:rsidR="00E702BA" w:rsidRPr="00A05698">
        <w:t>tion appropriées. Ainsi l’alternativ</w:t>
      </w:r>
      <w:r w:rsidR="00CF390F" w:rsidRPr="00A05698">
        <w:t>e</w:t>
      </w:r>
      <w:r w:rsidR="00BB228E" w:rsidRPr="00A05698">
        <w:t xml:space="preserve"> 02</w:t>
      </w:r>
      <w:r w:rsidR="0062538C" w:rsidRPr="00A05698">
        <w:t xml:space="preserve"> « </w:t>
      </w:r>
      <w:r w:rsidR="0031740E" w:rsidRPr="00A05698">
        <w:t>Intervention du projet dans les domaines (secteur de la noix de cajou et des cultures vivrière)</w:t>
      </w:r>
      <w:r w:rsidR="0062538C" w:rsidRPr="00A05698">
        <w:t> »</w:t>
      </w:r>
      <w:r w:rsidR="00BB228E" w:rsidRPr="00A05698">
        <w:t xml:space="preserve"> doit être privilégiée au regard des nombreux avantages qu’elle peut offrir aux plans économique, social et même environnemental.</w:t>
      </w:r>
    </w:p>
    <w:p w:rsidR="00F57C99" w:rsidRPr="00A05698" w:rsidRDefault="00F57C99" w:rsidP="0089774E">
      <w:pPr>
        <w:ind w:right="12"/>
        <w:jc w:val="both"/>
      </w:pPr>
    </w:p>
    <w:p w:rsidR="0097333C" w:rsidRDefault="00BB228E" w:rsidP="0089774E">
      <w:pPr>
        <w:ind w:right="12"/>
        <w:jc w:val="both"/>
      </w:pPr>
      <w:r w:rsidRPr="00A05698">
        <w:t>En tout état de cause, il convient d’accompagner les collectivités territoriales</w:t>
      </w:r>
      <w:r w:rsidR="00CF0B60" w:rsidRPr="00A05698">
        <w:t xml:space="preserve"> </w:t>
      </w:r>
      <w:r w:rsidRPr="00A05698">
        <w:t>et renforcer les moyens des structures techniques de l’Etat afin de préserver et valoriser durablement les écosystèmes de la zone et de freiner les pressions sur les ressources naturelles pour une bonne protection de l’environnement.</w:t>
      </w:r>
    </w:p>
    <w:p w:rsidR="004977FF" w:rsidRDefault="004977FF" w:rsidP="001F1F65">
      <w:pPr>
        <w:ind w:left="-284" w:right="-851"/>
        <w:jc w:val="both"/>
      </w:pPr>
    </w:p>
    <w:p w:rsidR="004977FF" w:rsidRDefault="004977FF" w:rsidP="001F1F65">
      <w:pPr>
        <w:ind w:left="-284" w:right="-851"/>
        <w:jc w:val="both"/>
      </w:pPr>
    </w:p>
    <w:p w:rsidR="00212D92" w:rsidRPr="00A05698" w:rsidRDefault="00A10969" w:rsidP="0089774E">
      <w:pPr>
        <w:pStyle w:val="PargrafodaLista"/>
        <w:keepNext/>
        <w:keepLines/>
        <w:numPr>
          <w:ilvl w:val="0"/>
          <w:numId w:val="99"/>
        </w:numPr>
        <w:pBdr>
          <w:bottom w:val="thickThinSmallGap" w:sz="24" w:space="1" w:color="auto"/>
        </w:pBdr>
        <w:shd w:val="clear" w:color="auto" w:fill="DEEAF6" w:themeFill="accent1" w:themeFillTint="33"/>
        <w:spacing w:after="0" w:line="240" w:lineRule="auto"/>
        <w:ind w:left="0" w:right="12" w:firstLine="0"/>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81" w:name="_Toc75432300"/>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L’ANALYSE DES </w:t>
      </w:r>
      <w:r w:rsidR="00D67715">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RISQUES ET DES </w:t>
      </w:r>
      <w:r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IMPACTS PREVISIONNELS SUR</w:t>
      </w:r>
      <w:r w:rsidR="00212D92"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L’ENVIRONNEMENT ET LE SOCIAL</w:t>
      </w:r>
      <w:bookmarkEnd w:id="281"/>
    </w:p>
    <w:p w:rsidR="00681BD5" w:rsidRDefault="00681BD5" w:rsidP="0097333C">
      <w:pPr>
        <w:ind w:left="-284" w:right="-851"/>
        <w:jc w:val="both"/>
      </w:pPr>
    </w:p>
    <w:p w:rsidR="006E0E71" w:rsidRPr="00A05698" w:rsidRDefault="00242A77" w:rsidP="0089774E">
      <w:pPr>
        <w:ind w:right="12"/>
        <w:jc w:val="both"/>
      </w:pPr>
      <w:r w:rsidRPr="00A05698">
        <w:t xml:space="preserve">La mise en œuvre du projet </w:t>
      </w:r>
      <w:r w:rsidR="00AB2B1E" w:rsidRPr="00A05698">
        <w:t xml:space="preserve">PUSA </w:t>
      </w:r>
      <w:r w:rsidRPr="00A05698">
        <w:t>contribuer</w:t>
      </w:r>
      <w:r w:rsidR="007E250A" w:rsidRPr="00A05698">
        <w:t>a</w:t>
      </w:r>
      <w:r w:rsidRPr="00A05698">
        <w:t xml:space="preserve"> à renforcer les conditions favorable</w:t>
      </w:r>
      <w:r w:rsidR="008125A6" w:rsidRPr="00A05698">
        <w:t>s au développement d</w:t>
      </w:r>
      <w:r w:rsidR="009F4D5F" w:rsidRPr="00A05698">
        <w:t>e l’</w:t>
      </w:r>
      <w:r w:rsidR="00F23C38" w:rsidRPr="00A05698">
        <w:t>économie</w:t>
      </w:r>
      <w:r w:rsidR="007E250A" w:rsidRPr="00A05698">
        <w:t>. Il permet</w:t>
      </w:r>
      <w:r w:rsidRPr="00A05698">
        <w:t xml:space="preserve"> </w:t>
      </w:r>
      <w:r w:rsidR="007E250A" w:rsidRPr="00A05698">
        <w:t>de</w:t>
      </w:r>
      <w:r w:rsidRPr="00A05698">
        <w:t xml:space="preserve"> </w:t>
      </w:r>
      <w:r w:rsidR="000816E4" w:rsidRPr="00A05698">
        <w:t>lutter contre l’</w:t>
      </w:r>
      <w:r w:rsidR="002B7A4C" w:rsidRPr="00A05698">
        <w:t>insécurité</w:t>
      </w:r>
      <w:r w:rsidR="000816E4" w:rsidRPr="00A05698">
        <w:t xml:space="preserve"> alimentaire dans le pays, à </w:t>
      </w:r>
      <w:r w:rsidRPr="00A05698">
        <w:t xml:space="preserve">améliorer les revenus des petits producteurs mais aussi </w:t>
      </w:r>
      <w:r w:rsidR="00D939E1" w:rsidRPr="00A05698">
        <w:t>d’</w:t>
      </w:r>
      <w:r w:rsidRPr="00A05698">
        <w:t>améliorer la qualité nutritionnelle des populatio</w:t>
      </w:r>
      <w:r w:rsidR="00025AFC" w:rsidRPr="00A05698">
        <w:t>ns très affectées par les</w:t>
      </w:r>
      <w:r w:rsidRPr="00A05698">
        <w:t xml:space="preserve"> effets </w:t>
      </w:r>
      <w:r w:rsidR="00CF75BC" w:rsidRPr="00A05698">
        <w:t xml:space="preserve">négatifs de la </w:t>
      </w:r>
      <w:r w:rsidR="00741DF3" w:rsidRPr="00A05698">
        <w:t>pandémie</w:t>
      </w:r>
      <w:r w:rsidR="00CF75BC" w:rsidRPr="00A05698">
        <w:t xml:space="preserve"> </w:t>
      </w:r>
      <w:r w:rsidR="00CD7E65" w:rsidRPr="00A05698">
        <w:t xml:space="preserve">de la Covid 19 </w:t>
      </w:r>
      <w:r w:rsidR="006E3C0F" w:rsidRPr="00A05698">
        <w:t xml:space="preserve">et les effets </w:t>
      </w:r>
      <w:r w:rsidRPr="00A05698">
        <w:t>pervers des changements climatiques</w:t>
      </w:r>
      <w:r w:rsidR="006E3C0F" w:rsidRPr="00A05698">
        <w:t>.</w:t>
      </w:r>
    </w:p>
    <w:p w:rsidR="006E0E71" w:rsidRPr="00A05698" w:rsidRDefault="006E3C0F" w:rsidP="0089774E">
      <w:pPr>
        <w:ind w:right="12"/>
        <w:jc w:val="both"/>
      </w:pPr>
      <w:r w:rsidRPr="00A05698">
        <w:t>Ainsi</w:t>
      </w:r>
      <w:r w:rsidR="00242A77" w:rsidRPr="00A05698">
        <w:t>, les activités qui permettront d’atteindre ces résultats peuvent également avoir des impacts négatifs sur les composantes environnementales et sociales des sites d’intervention.</w:t>
      </w:r>
    </w:p>
    <w:p w:rsidR="006E0E71" w:rsidRDefault="00B07955" w:rsidP="0089774E">
      <w:pPr>
        <w:ind w:right="12"/>
        <w:jc w:val="both"/>
      </w:pPr>
      <w:r w:rsidRPr="00A05698">
        <w:t xml:space="preserve">De plus, </w:t>
      </w:r>
      <w:r w:rsidR="00CE42F3" w:rsidRPr="00A05698">
        <w:t>i</w:t>
      </w:r>
      <w:r w:rsidR="00242A77" w:rsidRPr="00A05698">
        <w:t xml:space="preserve">l s’agira aussi, d’identifier les impacts positifs directs et indirects qu’ils conviendraient de capitaliser. Ces </w:t>
      </w:r>
      <w:r w:rsidR="00D939E1" w:rsidRPr="00A05698">
        <w:t>effets</w:t>
      </w:r>
      <w:r w:rsidR="00242A77" w:rsidRPr="00A05698">
        <w:t xml:space="preserve"> seront pris en compte à travers l</w:t>
      </w:r>
      <w:r w:rsidR="00A05714" w:rsidRPr="00A05698">
        <w:t>’</w:t>
      </w:r>
      <w:r w:rsidR="00242A77" w:rsidRPr="00A05698">
        <w:t>identification et l</w:t>
      </w:r>
      <w:r w:rsidR="00A05714" w:rsidRPr="00A05698">
        <w:t>’</w:t>
      </w:r>
      <w:r w:rsidR="00242A77" w:rsidRPr="00A05698">
        <w:t xml:space="preserve">analyse des impacts environnementaux </w:t>
      </w:r>
      <w:r w:rsidR="00D939E1" w:rsidRPr="00A05698">
        <w:t>notés</w:t>
      </w:r>
      <w:r w:rsidR="00242A77" w:rsidRPr="00A05698">
        <w:t>.</w:t>
      </w:r>
    </w:p>
    <w:p w:rsidR="004F1E76" w:rsidRPr="00A05698" w:rsidRDefault="004F1E76" w:rsidP="0089774E">
      <w:pPr>
        <w:ind w:right="12"/>
        <w:jc w:val="both"/>
      </w:pPr>
    </w:p>
    <w:p w:rsidR="00242A77" w:rsidRPr="00A05698" w:rsidRDefault="00242A77" w:rsidP="0089774E">
      <w:pPr>
        <w:ind w:right="12"/>
        <w:jc w:val="both"/>
      </w:pPr>
      <w:r w:rsidRPr="00A05698">
        <w:t>L</w:t>
      </w:r>
      <w:r w:rsidR="00A05714" w:rsidRPr="00A05698">
        <w:t>’</w:t>
      </w:r>
      <w:r w:rsidRPr="00A05698">
        <w:t>identification et l</w:t>
      </w:r>
      <w:r w:rsidR="00A05714" w:rsidRPr="00A05698">
        <w:t>’</w:t>
      </w:r>
      <w:r w:rsidRPr="00A05698">
        <w:t>analyse des impacts environnementaux</w:t>
      </w:r>
      <w:r w:rsidR="00D67715">
        <w:t xml:space="preserve"> et sociaux potentiels</w:t>
      </w:r>
      <w:r w:rsidRPr="00A05698">
        <w:t xml:space="preserve"> porteront sur les paramètres ci-dessous :</w:t>
      </w:r>
    </w:p>
    <w:p w:rsidR="00242A77" w:rsidRPr="00A05698" w:rsidRDefault="00242A77" w:rsidP="00157035">
      <w:pPr>
        <w:pStyle w:val="PargrafodaLista"/>
        <w:numPr>
          <w:ilvl w:val="0"/>
          <w:numId w:val="58"/>
        </w:numPr>
        <w:spacing w:after="0" w:line="240" w:lineRule="auto"/>
        <w:ind w:left="714" w:hanging="357"/>
        <w:contextualSpacing w:val="0"/>
        <w:jc w:val="both"/>
        <w:rPr>
          <w:rFonts w:ascii="Times New Roman" w:hAnsi="Times New Roman"/>
          <w:sz w:val="22"/>
          <w:szCs w:val="22"/>
        </w:rPr>
      </w:pPr>
      <w:r w:rsidRPr="00A05698">
        <w:rPr>
          <w:rFonts w:ascii="Times New Roman" w:hAnsi="Times New Roman"/>
          <w:sz w:val="22"/>
          <w:szCs w:val="22"/>
        </w:rPr>
        <w:t xml:space="preserve">Les phases du projet ; </w:t>
      </w:r>
    </w:p>
    <w:p w:rsidR="00242A77" w:rsidRPr="00A05698" w:rsidRDefault="00242A77" w:rsidP="00157035">
      <w:pPr>
        <w:pStyle w:val="PargrafodaLista"/>
        <w:numPr>
          <w:ilvl w:val="0"/>
          <w:numId w:val="58"/>
        </w:numPr>
        <w:spacing w:after="0" w:line="240" w:lineRule="auto"/>
        <w:ind w:left="714" w:hanging="357"/>
        <w:contextualSpacing w:val="0"/>
        <w:jc w:val="both"/>
        <w:rPr>
          <w:rFonts w:ascii="Times New Roman" w:hAnsi="Times New Roman"/>
          <w:sz w:val="22"/>
          <w:szCs w:val="22"/>
        </w:rPr>
      </w:pPr>
      <w:r w:rsidRPr="00A05698">
        <w:rPr>
          <w:rFonts w:ascii="Times New Roman" w:hAnsi="Times New Roman"/>
          <w:sz w:val="22"/>
          <w:szCs w:val="22"/>
        </w:rPr>
        <w:t>Les composantes du milieu récepteur ;</w:t>
      </w:r>
    </w:p>
    <w:p w:rsidR="00242A77" w:rsidRPr="00A05698" w:rsidRDefault="00242A77" w:rsidP="00157035">
      <w:pPr>
        <w:pStyle w:val="PargrafodaLista"/>
        <w:numPr>
          <w:ilvl w:val="0"/>
          <w:numId w:val="58"/>
        </w:numPr>
        <w:spacing w:after="0" w:line="240" w:lineRule="auto"/>
        <w:ind w:left="714" w:hanging="357"/>
        <w:contextualSpacing w:val="0"/>
        <w:jc w:val="both"/>
        <w:rPr>
          <w:rFonts w:ascii="Times New Roman" w:hAnsi="Times New Roman"/>
          <w:sz w:val="22"/>
          <w:szCs w:val="22"/>
        </w:rPr>
      </w:pPr>
      <w:r w:rsidRPr="00A05698">
        <w:rPr>
          <w:rFonts w:ascii="Times New Roman" w:hAnsi="Times New Roman"/>
          <w:sz w:val="22"/>
          <w:szCs w:val="22"/>
        </w:rPr>
        <w:t>Les sources d</w:t>
      </w:r>
      <w:r w:rsidR="00A05714" w:rsidRPr="00A05698">
        <w:rPr>
          <w:rFonts w:ascii="Times New Roman" w:hAnsi="Times New Roman"/>
          <w:sz w:val="22"/>
          <w:szCs w:val="22"/>
        </w:rPr>
        <w:t>’</w:t>
      </w:r>
      <w:r w:rsidRPr="00A05698">
        <w:rPr>
          <w:rFonts w:ascii="Times New Roman" w:hAnsi="Times New Roman"/>
          <w:sz w:val="22"/>
          <w:szCs w:val="22"/>
        </w:rPr>
        <w:t>impact.</w:t>
      </w:r>
    </w:p>
    <w:p w:rsidR="006E0E71" w:rsidRDefault="00242A77" w:rsidP="0004046F">
      <w:pPr>
        <w:ind w:right="12"/>
        <w:jc w:val="both"/>
      </w:pPr>
      <w:r w:rsidRPr="00A05698">
        <w:t>Les composantes du milieu récepteur analysées au cours de l’étude sont les composantes physiques, biologiques et socio-économiques de l’environnement.</w:t>
      </w:r>
    </w:p>
    <w:p w:rsidR="002155D9" w:rsidRPr="00A05698" w:rsidRDefault="002155D9" w:rsidP="0097333C">
      <w:pPr>
        <w:ind w:left="-284" w:right="-851"/>
        <w:jc w:val="both"/>
      </w:pPr>
    </w:p>
    <w:p w:rsidR="006E0E71" w:rsidRPr="002155D9" w:rsidRDefault="00242A77" w:rsidP="0004046F">
      <w:pPr>
        <w:ind w:right="12"/>
        <w:jc w:val="both"/>
        <w:rPr>
          <w:b/>
        </w:rPr>
      </w:pPr>
      <w:r w:rsidRPr="002155D9">
        <w:rPr>
          <w:b/>
        </w:rPr>
        <w:t>Dans le cadre de cette étude</w:t>
      </w:r>
      <w:r w:rsidR="00D939E1" w:rsidRPr="002155D9">
        <w:rPr>
          <w:b/>
        </w:rPr>
        <w:t>,</w:t>
      </w:r>
      <w:r w:rsidRPr="002155D9">
        <w:rPr>
          <w:b/>
        </w:rPr>
        <w:t xml:space="preserve"> l’analyse des impacts du projet </w:t>
      </w:r>
      <w:r w:rsidR="00264783" w:rsidRPr="002155D9">
        <w:rPr>
          <w:b/>
        </w:rPr>
        <w:t>PUSA</w:t>
      </w:r>
      <w:r w:rsidRPr="002155D9">
        <w:rPr>
          <w:b/>
        </w:rPr>
        <w:t xml:space="preserve"> à travers ses principales composantes est faite selon une approche globale car ce sont des objectifs globaux qu’on cherche à atteindre à travers cette</w:t>
      </w:r>
      <w:r w:rsidR="00D63578">
        <w:rPr>
          <w:b/>
        </w:rPr>
        <w:t xml:space="preserve"> CGES</w:t>
      </w:r>
      <w:r w:rsidRPr="002155D9">
        <w:rPr>
          <w:b/>
        </w:rPr>
        <w:t>.</w:t>
      </w:r>
    </w:p>
    <w:p w:rsidR="00681BD5" w:rsidRPr="00A05698" w:rsidRDefault="00681BD5" w:rsidP="0097333C">
      <w:pPr>
        <w:ind w:left="-284" w:right="-851"/>
        <w:jc w:val="both"/>
      </w:pPr>
    </w:p>
    <w:p w:rsidR="00E74E6B" w:rsidRPr="0097333C" w:rsidRDefault="00242A77" w:rsidP="004F0DC1">
      <w:pPr>
        <w:pStyle w:val="PargrafodaLista"/>
        <w:numPr>
          <w:ilvl w:val="1"/>
          <w:numId w:val="99"/>
        </w:numPr>
        <w:spacing w:after="120" w:line="240" w:lineRule="auto"/>
        <w:outlineLvl w:val="1"/>
        <w:rPr>
          <w:rFonts w:ascii="Times New Roman" w:hAnsi="Times New Roman"/>
          <w:b/>
          <w:bCs/>
          <w:sz w:val="24"/>
          <w:szCs w:val="24"/>
        </w:rPr>
      </w:pPr>
      <w:bookmarkStart w:id="282" w:name="_Toc55460151"/>
      <w:bookmarkStart w:id="283" w:name="_Toc55465544"/>
      <w:bookmarkStart w:id="284" w:name="_Toc75432301"/>
      <w:r w:rsidRPr="00A05698">
        <w:rPr>
          <w:rFonts w:ascii="Times New Roman" w:hAnsi="Times New Roman"/>
          <w:b/>
          <w:bCs/>
          <w:sz w:val="24"/>
          <w:szCs w:val="24"/>
        </w:rPr>
        <w:t>IMPACTS POSITIFS DU PROJET</w:t>
      </w:r>
      <w:bookmarkEnd w:id="282"/>
      <w:bookmarkEnd w:id="283"/>
      <w:bookmarkEnd w:id="284"/>
    </w:p>
    <w:p w:rsidR="00E62B58" w:rsidRPr="00A05698" w:rsidRDefault="00242A77" w:rsidP="004F0DC1">
      <w:pPr>
        <w:pStyle w:val="PargrafodaLista"/>
        <w:numPr>
          <w:ilvl w:val="2"/>
          <w:numId w:val="99"/>
        </w:numPr>
        <w:spacing w:after="120" w:line="240" w:lineRule="auto"/>
        <w:outlineLvl w:val="1"/>
        <w:rPr>
          <w:rFonts w:ascii="Times New Roman" w:hAnsi="Times New Roman"/>
          <w:b/>
          <w:bCs/>
          <w:sz w:val="24"/>
          <w:szCs w:val="24"/>
        </w:rPr>
      </w:pPr>
      <w:bookmarkStart w:id="285" w:name="_Toc75432302"/>
      <w:bookmarkStart w:id="286" w:name="_Toc55460152"/>
      <w:bookmarkStart w:id="287" w:name="_Toc55465545"/>
      <w:r w:rsidRPr="00A05698">
        <w:rPr>
          <w:rFonts w:ascii="Times New Roman" w:hAnsi="Times New Roman"/>
          <w:b/>
          <w:bCs/>
          <w:sz w:val="24"/>
          <w:szCs w:val="24"/>
        </w:rPr>
        <w:t>Les impacts positifs du projet</w:t>
      </w:r>
      <w:bookmarkEnd w:id="285"/>
      <w:r w:rsidRPr="00A05698">
        <w:rPr>
          <w:rFonts w:ascii="Times New Roman" w:hAnsi="Times New Roman"/>
          <w:b/>
          <w:bCs/>
          <w:sz w:val="24"/>
          <w:szCs w:val="24"/>
        </w:rPr>
        <w:t xml:space="preserve"> </w:t>
      </w:r>
      <w:bookmarkEnd w:id="286"/>
      <w:bookmarkEnd w:id="287"/>
    </w:p>
    <w:p w:rsidR="00A94262" w:rsidRPr="0097333C" w:rsidRDefault="00B30BE7" w:rsidP="00157035">
      <w:pPr>
        <w:pStyle w:val="Cabealho6"/>
        <w:numPr>
          <w:ilvl w:val="5"/>
          <w:numId w:val="105"/>
        </w:numPr>
        <w:spacing w:line="240" w:lineRule="auto"/>
        <w:rPr>
          <w:rFonts w:ascii="Times New Roman" w:hAnsi="Times New Roman"/>
          <w:b/>
          <w:i w:val="0"/>
          <w:iCs w:val="0"/>
          <w:color w:val="auto"/>
          <w:sz w:val="24"/>
          <w:szCs w:val="24"/>
        </w:rPr>
      </w:pPr>
      <w:r w:rsidRPr="0097333C">
        <w:rPr>
          <w:rFonts w:ascii="Times New Roman" w:hAnsi="Times New Roman"/>
          <w:b/>
          <w:i w:val="0"/>
          <w:iCs w:val="0"/>
          <w:color w:val="auto"/>
          <w:sz w:val="24"/>
          <w:szCs w:val="24"/>
        </w:rPr>
        <w:t>Soutien à la production agricole</w:t>
      </w:r>
    </w:p>
    <w:p w:rsidR="00E74E6B" w:rsidRPr="00A05698" w:rsidRDefault="00E74E6B" w:rsidP="00E74E6B"/>
    <w:p w:rsidR="00E62B58" w:rsidRPr="00A05698" w:rsidRDefault="00C7300F" w:rsidP="0004046F">
      <w:pPr>
        <w:ind w:right="12"/>
        <w:jc w:val="both"/>
      </w:pPr>
      <w:r w:rsidRPr="00A05698">
        <w:t>Aucun impact positif significatif n’est à prévoir sur le milieu naturel pendant la phase de préparation et d’installatio</w:t>
      </w:r>
      <w:r w:rsidR="007A475F" w:rsidRPr="00A05698">
        <w:t>n</w:t>
      </w:r>
      <w:r w:rsidRPr="00A05698">
        <w:t xml:space="preserve"> du Projet.</w:t>
      </w:r>
      <w:r w:rsidR="007A475F" w:rsidRPr="00A05698">
        <w:t xml:space="preserve"> </w:t>
      </w:r>
      <w:r w:rsidR="009C60E9" w:rsidRPr="00A05698">
        <w:t>C</w:t>
      </w:r>
      <w:r w:rsidR="007A475F" w:rsidRPr="00A05698">
        <w:t>ontrairement</w:t>
      </w:r>
      <w:r w:rsidR="009C60E9" w:rsidRPr="00A05698">
        <w:t xml:space="preserve"> e</w:t>
      </w:r>
      <w:r w:rsidR="00E62B58" w:rsidRPr="00A05698">
        <w:t>n phase d</w:t>
      </w:r>
      <w:r w:rsidR="0087514B">
        <w:t>’exploitation</w:t>
      </w:r>
      <w:r w:rsidR="00E62B58" w:rsidRPr="00A05698">
        <w:t xml:space="preserve"> les impacts positifs du projet PUSA se résument aux aspects majeurs suivants :</w:t>
      </w:r>
    </w:p>
    <w:p w:rsidR="00E74E6B" w:rsidRPr="00A05698" w:rsidRDefault="00E74E6B" w:rsidP="00E74E6B">
      <w:pPr>
        <w:ind w:left="-284" w:right="-851"/>
        <w:jc w:val="both"/>
      </w:pPr>
    </w:p>
    <w:p w:rsidR="00B314B8" w:rsidRPr="00A05698" w:rsidRDefault="00984A61" w:rsidP="00157035">
      <w:pPr>
        <w:pStyle w:val="Listacommarcas2"/>
        <w:numPr>
          <w:ilvl w:val="0"/>
          <w:numId w:val="106"/>
        </w:numPr>
        <w:spacing w:line="240" w:lineRule="auto"/>
        <w:rPr>
          <w:rFonts w:ascii="Times New Roman" w:hAnsi="Times New Roman"/>
          <w:b/>
          <w:sz w:val="24"/>
          <w:lang w:val="fr-FR"/>
        </w:rPr>
      </w:pPr>
      <w:r w:rsidRPr="00EF3A36">
        <w:rPr>
          <w:rFonts w:ascii="Times New Roman" w:hAnsi="Times New Roman"/>
          <w:b/>
          <w:sz w:val="24"/>
          <w:lang w:val="fr-FR"/>
        </w:rPr>
        <w:t xml:space="preserve">Impacts positifs </w:t>
      </w:r>
      <w:r>
        <w:rPr>
          <w:rFonts w:ascii="Times New Roman" w:hAnsi="Times New Roman"/>
          <w:b/>
          <w:sz w:val="24"/>
          <w:lang w:val="fr-FR"/>
        </w:rPr>
        <w:t>au niveau de la v</w:t>
      </w:r>
      <w:r w:rsidR="00B314B8" w:rsidRPr="00A05698">
        <w:rPr>
          <w:rFonts w:ascii="Times New Roman" w:hAnsi="Times New Roman"/>
          <w:b/>
          <w:sz w:val="24"/>
          <w:lang w:val="fr-FR"/>
        </w:rPr>
        <w:t>alorisati</w:t>
      </w:r>
      <w:r w:rsidR="009234B2" w:rsidRPr="00A05698">
        <w:rPr>
          <w:rFonts w:ascii="Times New Roman" w:hAnsi="Times New Roman"/>
          <w:b/>
          <w:sz w:val="24"/>
          <w:lang w:val="fr-FR"/>
        </w:rPr>
        <w:t>on et Organisation dans le secteur agricole</w:t>
      </w:r>
    </w:p>
    <w:p w:rsidR="00B314B8" w:rsidRPr="00A05698" w:rsidRDefault="00B740FC" w:rsidP="00A76F4A">
      <w:pPr>
        <w:ind w:right="12"/>
        <w:jc w:val="both"/>
      </w:pPr>
      <w:r w:rsidRPr="00A05698">
        <w:t>Grace à la mise en œuvre du composante 1</w:t>
      </w:r>
      <w:r w:rsidR="00B314B8" w:rsidRPr="00A05698">
        <w:t xml:space="preserve">, une meilleure organisation du segment de la </w:t>
      </w:r>
      <w:r w:rsidR="00F24948" w:rsidRPr="00A05698">
        <w:t>pro</w:t>
      </w:r>
      <w:r w:rsidR="00F271E7" w:rsidRPr="00A05698">
        <w:t xml:space="preserve">duction et de la </w:t>
      </w:r>
      <w:r w:rsidR="00B314B8" w:rsidRPr="00A05698">
        <w:t>commercialisat</w:t>
      </w:r>
      <w:r w:rsidR="00880948" w:rsidRPr="00A05698">
        <w:t xml:space="preserve">ion des noix de cajou et des produits céréalière </w:t>
      </w:r>
      <w:r w:rsidR="00B314B8" w:rsidRPr="00A05698">
        <w:t>permettra une meilleure valorisation de ces produits pour éviter que les acteurs du marché parallèle puissent récupérer la majeure partie de la production.</w:t>
      </w:r>
    </w:p>
    <w:p w:rsidR="006D55DE" w:rsidRPr="00A05698" w:rsidRDefault="006D55DE" w:rsidP="00A76F4A">
      <w:pPr>
        <w:ind w:right="12"/>
        <w:jc w:val="both"/>
      </w:pPr>
    </w:p>
    <w:p w:rsidR="00B314B8" w:rsidRPr="00A05698" w:rsidRDefault="00B314B8" w:rsidP="00A76F4A">
      <w:pPr>
        <w:ind w:right="12"/>
        <w:jc w:val="both"/>
      </w:pPr>
      <w:r w:rsidRPr="00A05698">
        <w:t xml:space="preserve">Cette meilleure organisation se refléterait à travers le démarrage à temps des campagnes de commercialisation. </w:t>
      </w:r>
      <w:r w:rsidR="00D939E1" w:rsidRPr="00A05698">
        <w:t>Également</w:t>
      </w:r>
      <w:r w:rsidRPr="00A05698">
        <w:t xml:space="preserve">, les problèmes (organisationnel, financier et technique) de l’interprofession pourraient être définitivement réglés </w:t>
      </w:r>
      <w:r w:rsidR="00D939E1" w:rsidRPr="00A05698">
        <w:t>afin d’</w:t>
      </w:r>
      <w:r w:rsidRPr="00A05698">
        <w:t xml:space="preserve">éviter la non unanimité dans la fixation du prix au producteur. </w:t>
      </w:r>
    </w:p>
    <w:p w:rsidR="00B314B8" w:rsidRPr="00A05698" w:rsidRDefault="004D49ED" w:rsidP="00A76F4A">
      <w:pPr>
        <w:ind w:right="12"/>
        <w:jc w:val="both"/>
      </w:pPr>
      <w:r w:rsidRPr="00A05698">
        <w:t xml:space="preserve">De plus, la mise en œuvre des </w:t>
      </w:r>
      <w:r w:rsidR="00187F69" w:rsidRPr="00A05698">
        <w:t>soutien</w:t>
      </w:r>
      <w:r w:rsidR="0016609E" w:rsidRPr="00A05698">
        <w:t>s</w:t>
      </w:r>
      <w:r w:rsidRPr="00A05698">
        <w:t xml:space="preserve"> à la production agricole </w:t>
      </w:r>
      <w:r w:rsidR="00B314B8" w:rsidRPr="00A05698">
        <w:t>parti</w:t>
      </w:r>
      <w:r w:rsidRPr="00A05698">
        <w:t xml:space="preserve">cipera de régler </w:t>
      </w:r>
      <w:r w:rsidR="00B314B8" w:rsidRPr="00A05698">
        <w:t xml:space="preserve">les problèmes de </w:t>
      </w:r>
      <w:r w:rsidR="00187F69" w:rsidRPr="00A05698">
        <w:t xml:space="preserve">manque de </w:t>
      </w:r>
      <w:r w:rsidR="002A350F" w:rsidRPr="00A05698">
        <w:t>matériel, de finance</w:t>
      </w:r>
      <w:r w:rsidR="005E4BD9" w:rsidRPr="00A05698">
        <w:t>ment pour faire face au cout</w:t>
      </w:r>
      <w:r w:rsidR="002A350F" w:rsidRPr="00A05698">
        <w:t xml:space="preserve"> </w:t>
      </w:r>
      <w:r w:rsidR="00B314B8" w:rsidRPr="00A05698">
        <w:t>et de la collecte dans le circuit de la commercialisation grâce :</w:t>
      </w:r>
    </w:p>
    <w:p w:rsidR="008D514F" w:rsidRPr="00843722" w:rsidRDefault="008D514F" w:rsidP="00A76F4A">
      <w:pPr>
        <w:pStyle w:val="PargrafodaLista"/>
        <w:numPr>
          <w:ilvl w:val="0"/>
          <w:numId w:val="59"/>
        </w:numPr>
        <w:spacing w:after="0" w:line="240" w:lineRule="auto"/>
        <w:ind w:right="12"/>
        <w:jc w:val="both"/>
        <w:rPr>
          <w:rFonts w:ascii="Times New Roman" w:hAnsi="Times New Roman"/>
          <w:sz w:val="22"/>
          <w:szCs w:val="22"/>
        </w:rPr>
      </w:pPr>
      <w:r w:rsidRPr="00843722">
        <w:rPr>
          <w:rFonts w:ascii="Times New Roman" w:hAnsi="Times New Roman"/>
          <w:sz w:val="22"/>
          <w:szCs w:val="22"/>
        </w:rPr>
        <w:lastRenderedPageBreak/>
        <w:t>Une meilleure organisation du segment de la production et de la commercialisation des noix de cajou et des produits céréalière permettra une meilleure valorisation de ces produits.</w:t>
      </w:r>
    </w:p>
    <w:p w:rsidR="008D514F" w:rsidRPr="00843722" w:rsidRDefault="008D514F" w:rsidP="00A76F4A">
      <w:pPr>
        <w:pStyle w:val="PargrafodaLista"/>
        <w:numPr>
          <w:ilvl w:val="0"/>
          <w:numId w:val="59"/>
        </w:numPr>
        <w:spacing w:after="0" w:line="240" w:lineRule="auto"/>
        <w:ind w:right="12"/>
        <w:jc w:val="both"/>
        <w:rPr>
          <w:rFonts w:ascii="Times New Roman" w:hAnsi="Times New Roman"/>
          <w:sz w:val="22"/>
          <w:szCs w:val="22"/>
        </w:rPr>
      </w:pPr>
      <w:r w:rsidRPr="00843722">
        <w:rPr>
          <w:rFonts w:ascii="Times New Roman" w:hAnsi="Times New Roman"/>
          <w:sz w:val="22"/>
          <w:szCs w:val="22"/>
        </w:rPr>
        <w:t xml:space="preserve">Le projet permettra de lever certaines contraintes majeures par rapport à la commercialisation des noix de cajou et de booster les cultures vivrières. </w:t>
      </w:r>
    </w:p>
    <w:p w:rsidR="008D514F" w:rsidRPr="00843722" w:rsidRDefault="008D514F" w:rsidP="00A76F4A">
      <w:pPr>
        <w:pStyle w:val="PargrafodaLista"/>
        <w:numPr>
          <w:ilvl w:val="0"/>
          <w:numId w:val="59"/>
        </w:numPr>
        <w:spacing w:after="0" w:line="240" w:lineRule="auto"/>
        <w:ind w:right="12"/>
        <w:jc w:val="both"/>
        <w:rPr>
          <w:rFonts w:ascii="Times New Roman" w:hAnsi="Times New Roman"/>
          <w:sz w:val="22"/>
          <w:szCs w:val="22"/>
        </w:rPr>
      </w:pPr>
      <w:r w:rsidRPr="00843722">
        <w:rPr>
          <w:rFonts w:ascii="Times New Roman" w:hAnsi="Times New Roman"/>
          <w:sz w:val="22"/>
          <w:szCs w:val="22"/>
        </w:rPr>
        <w:t xml:space="preserve">La réduction des spéculateurs dans les marchés locaux, </w:t>
      </w:r>
    </w:p>
    <w:p w:rsidR="008D514F" w:rsidRPr="00843722" w:rsidRDefault="008D514F" w:rsidP="00A76F4A">
      <w:pPr>
        <w:pStyle w:val="PargrafodaLista"/>
        <w:numPr>
          <w:ilvl w:val="0"/>
          <w:numId w:val="59"/>
        </w:numPr>
        <w:spacing w:after="0" w:line="240" w:lineRule="auto"/>
        <w:ind w:right="12"/>
        <w:jc w:val="both"/>
        <w:rPr>
          <w:rFonts w:ascii="Times New Roman" w:hAnsi="Times New Roman"/>
          <w:sz w:val="22"/>
          <w:szCs w:val="22"/>
        </w:rPr>
      </w:pPr>
      <w:r w:rsidRPr="00843722">
        <w:rPr>
          <w:rFonts w:ascii="Times New Roman" w:hAnsi="Times New Roman"/>
          <w:sz w:val="22"/>
          <w:szCs w:val="22"/>
        </w:rPr>
        <w:t xml:space="preserve">La restauration de la confiance des producteurs aux opérateurs à travers des mécanismes de contractualisation plus adaptés. </w:t>
      </w:r>
    </w:p>
    <w:p w:rsidR="008D514F" w:rsidRPr="00843722" w:rsidRDefault="008D514F" w:rsidP="00A76F4A">
      <w:pPr>
        <w:pStyle w:val="PargrafodaLista"/>
        <w:numPr>
          <w:ilvl w:val="0"/>
          <w:numId w:val="59"/>
        </w:numPr>
        <w:spacing w:after="0" w:line="240" w:lineRule="auto"/>
        <w:ind w:right="12"/>
        <w:jc w:val="both"/>
        <w:rPr>
          <w:rFonts w:ascii="Times New Roman" w:hAnsi="Times New Roman"/>
          <w:sz w:val="22"/>
          <w:szCs w:val="22"/>
        </w:rPr>
      </w:pPr>
      <w:r w:rsidRPr="00843722">
        <w:rPr>
          <w:rFonts w:ascii="Times New Roman" w:hAnsi="Times New Roman"/>
          <w:sz w:val="22"/>
          <w:szCs w:val="22"/>
        </w:rPr>
        <w:t xml:space="preserve">L’intensification de la riziculture va consacrer la diversification de la production agricole permettant non seulement une autosuffisance alimentaire, mais aussi un enrichissement des zones de culture par les rotations culturales. </w:t>
      </w:r>
    </w:p>
    <w:p w:rsidR="00681BD5" w:rsidRPr="00083B97" w:rsidRDefault="00681BD5" w:rsidP="00A76F4A">
      <w:pPr>
        <w:pStyle w:val="Listacommarcas2"/>
        <w:numPr>
          <w:ilvl w:val="0"/>
          <w:numId w:val="0"/>
        </w:numPr>
        <w:spacing w:line="240" w:lineRule="auto"/>
        <w:ind w:left="578" w:right="12"/>
        <w:rPr>
          <w:rFonts w:ascii="Times New Roman" w:hAnsi="Times New Roman"/>
          <w:sz w:val="24"/>
          <w:lang w:val="fr-FR"/>
        </w:rPr>
      </w:pPr>
    </w:p>
    <w:p w:rsidR="003C5BBE" w:rsidRPr="00083B97" w:rsidRDefault="003C5BBE" w:rsidP="00A76F4A">
      <w:pPr>
        <w:pStyle w:val="Listacommarcas2"/>
        <w:numPr>
          <w:ilvl w:val="0"/>
          <w:numId w:val="106"/>
        </w:numPr>
        <w:spacing w:line="240" w:lineRule="auto"/>
        <w:ind w:right="12"/>
        <w:rPr>
          <w:rFonts w:ascii="Times New Roman" w:hAnsi="Times New Roman"/>
          <w:b/>
          <w:sz w:val="24"/>
          <w:lang w:val="fr-FR"/>
        </w:rPr>
      </w:pPr>
      <w:r w:rsidRPr="00083B97">
        <w:rPr>
          <w:rFonts w:ascii="Times New Roman" w:hAnsi="Times New Roman"/>
          <w:b/>
          <w:sz w:val="24"/>
          <w:lang w:val="fr-FR"/>
        </w:rPr>
        <w:t xml:space="preserve">Impacts positifs de l’appui à la production agricole </w:t>
      </w:r>
    </w:p>
    <w:p w:rsidR="00CE348D" w:rsidRPr="003C5BBE" w:rsidRDefault="003C5BBE" w:rsidP="00A76F4A">
      <w:pPr>
        <w:ind w:right="12"/>
        <w:jc w:val="both"/>
      </w:pPr>
      <w:r w:rsidRPr="003C5BBE">
        <w:t>L</w:t>
      </w:r>
      <w:r w:rsidR="00CE348D">
        <w:t>’augmentation de l</w:t>
      </w:r>
      <w:r w:rsidRPr="003C5BBE">
        <w:t>a vulgarisation de</w:t>
      </w:r>
      <w:r w:rsidR="00D75D7D">
        <w:t>s</w:t>
      </w:r>
      <w:r w:rsidRPr="003C5BBE">
        <w:t xml:space="preserve"> techniques agricoles nouvelles contribuera à l’optimisation des rendements sans un accroissement des terres de </w:t>
      </w:r>
      <w:r w:rsidR="004F00FF" w:rsidRPr="003C5BBE">
        <w:t>culture</w:t>
      </w:r>
      <w:r w:rsidR="004F00FF">
        <w:t>,</w:t>
      </w:r>
      <w:r w:rsidR="004F00FF" w:rsidRPr="00425A94">
        <w:t xml:space="preserve"> l’amélioration</w:t>
      </w:r>
      <w:r w:rsidR="00425A94" w:rsidRPr="00425A94">
        <w:t xml:space="preserve"> de la production, de la productivité et de la résilience des systèmes de production au changement climatique</w:t>
      </w:r>
      <w:r w:rsidR="007C3238">
        <w:t>.</w:t>
      </w:r>
      <w:r w:rsidR="00425A94" w:rsidRPr="00425A94" w:rsidDel="00334F1B">
        <w:t xml:space="preserve"> </w:t>
      </w:r>
      <w:r w:rsidRPr="003C5BBE">
        <w:t xml:space="preserve">. </w:t>
      </w:r>
    </w:p>
    <w:p w:rsidR="003C5BBE" w:rsidRPr="00083B97" w:rsidRDefault="003C5BBE" w:rsidP="00A76F4A">
      <w:pPr>
        <w:pStyle w:val="Listacommarcas2"/>
        <w:numPr>
          <w:ilvl w:val="1"/>
          <w:numId w:val="106"/>
        </w:numPr>
        <w:spacing w:line="240" w:lineRule="auto"/>
        <w:ind w:right="12"/>
        <w:rPr>
          <w:rFonts w:ascii="Times New Roman" w:hAnsi="Times New Roman"/>
          <w:b/>
          <w:sz w:val="24"/>
          <w:lang w:val="fr-FR"/>
        </w:rPr>
      </w:pPr>
      <w:r w:rsidRPr="00083B97">
        <w:rPr>
          <w:rFonts w:ascii="Times New Roman" w:hAnsi="Times New Roman"/>
          <w:b/>
          <w:sz w:val="24"/>
          <w:lang w:val="fr-FR"/>
        </w:rPr>
        <w:t xml:space="preserve">Impacts positifs liés à la fourniture de semence et d'intrants </w:t>
      </w:r>
    </w:p>
    <w:p w:rsidR="003C5BBE" w:rsidRDefault="003C5BBE" w:rsidP="00A76F4A">
      <w:pPr>
        <w:ind w:right="12"/>
        <w:jc w:val="both"/>
      </w:pPr>
      <w:r w:rsidRPr="00A700CB">
        <w:t>La fourniture de semences et d’engrais va permettre de doper le système de production agricole</w:t>
      </w:r>
      <w:r w:rsidRPr="003C5BBE">
        <w:t xml:space="preserve"> dans une perspective d’autosuffisance alimentaire. La qualité des semences constitue un facteur essentiel dans l'amélioration des rendements et l'optimisation de la production. Cependant, l’utilisation d’intrants agricoles bien que nécessaires pour l'obtention de meilleurs rendements, peut si elle n'est pas encadrée, provoquer des pollutions de l’environnement (un certain nombre de résidus chimiques risque de polluer les eaux de surface et la nappes phréatique) et par conséquent contaminer les êtres humains ou les animaux qui viendront s'y abreuver. </w:t>
      </w:r>
    </w:p>
    <w:p w:rsidR="00EE39E3" w:rsidRPr="003C5BBE" w:rsidRDefault="00EE39E3" w:rsidP="00A76F4A">
      <w:pPr>
        <w:ind w:left="-284" w:right="12"/>
        <w:jc w:val="both"/>
      </w:pPr>
    </w:p>
    <w:p w:rsidR="003C5BBE" w:rsidRPr="00083B97" w:rsidRDefault="003C5BBE" w:rsidP="00A76F4A">
      <w:pPr>
        <w:pStyle w:val="Listacommarcas2"/>
        <w:numPr>
          <w:ilvl w:val="1"/>
          <w:numId w:val="106"/>
        </w:numPr>
        <w:spacing w:line="240" w:lineRule="auto"/>
        <w:ind w:right="12"/>
        <w:rPr>
          <w:rFonts w:ascii="Times New Roman" w:hAnsi="Times New Roman"/>
          <w:b/>
          <w:sz w:val="24"/>
          <w:lang w:val="fr-FR"/>
        </w:rPr>
      </w:pPr>
      <w:r w:rsidRPr="00083B97">
        <w:rPr>
          <w:rFonts w:ascii="Times New Roman" w:hAnsi="Times New Roman"/>
          <w:b/>
          <w:sz w:val="24"/>
          <w:lang w:val="fr-FR"/>
        </w:rPr>
        <w:t xml:space="preserve">Impacts positifs liés à la fourniture de petits équipements agricoles </w:t>
      </w:r>
    </w:p>
    <w:p w:rsidR="003C5BBE" w:rsidRPr="003C5BBE" w:rsidRDefault="003C5BBE" w:rsidP="00A76F4A">
      <w:pPr>
        <w:ind w:right="12"/>
        <w:jc w:val="both"/>
      </w:pPr>
      <w:r w:rsidRPr="003C5BBE">
        <w:t xml:space="preserve">Les infrastructures et équipement de production comme les motoculteurs sont un important vecteur de développement des capacités, d’amélioration de la productivité, de gain de compétitivité et finalement de développement économique et d’amélioration des conditions de vie et de revenus des producteurs. Le travail manuel étant extrêmement pénible et les rendements obtenus sont souvent relativement faibles et décourage souvent les producteurs. Ainsi, l'usage de techniques modernes de production contribuera à alléger la charge de travail tout en boostant la production ce qui permettra à terme d'atteindre les objectifs de sécurité alimentaire. </w:t>
      </w:r>
    </w:p>
    <w:p w:rsidR="003C5BBE" w:rsidRPr="00083B97" w:rsidRDefault="003C5BBE" w:rsidP="00A76F4A">
      <w:pPr>
        <w:pStyle w:val="Listacommarcas2"/>
        <w:numPr>
          <w:ilvl w:val="0"/>
          <w:numId w:val="0"/>
        </w:numPr>
        <w:spacing w:line="240" w:lineRule="auto"/>
        <w:ind w:right="12"/>
        <w:rPr>
          <w:rFonts w:ascii="Times New Roman" w:hAnsi="Times New Roman"/>
          <w:sz w:val="24"/>
          <w:lang w:val="fr-FR"/>
        </w:rPr>
      </w:pPr>
    </w:p>
    <w:p w:rsidR="006D55DE" w:rsidRPr="0097333C" w:rsidRDefault="00984A61" w:rsidP="00A76F4A">
      <w:pPr>
        <w:pStyle w:val="Listacommarcas2"/>
        <w:numPr>
          <w:ilvl w:val="0"/>
          <w:numId w:val="106"/>
        </w:numPr>
        <w:spacing w:line="240" w:lineRule="auto"/>
        <w:ind w:right="12"/>
        <w:rPr>
          <w:rFonts w:ascii="Times New Roman" w:hAnsi="Times New Roman"/>
          <w:b/>
          <w:sz w:val="24"/>
          <w:lang w:val="fr-FR"/>
        </w:rPr>
      </w:pPr>
      <w:r w:rsidRPr="00EF3A36">
        <w:rPr>
          <w:rFonts w:ascii="Times New Roman" w:hAnsi="Times New Roman"/>
          <w:b/>
          <w:sz w:val="24"/>
          <w:lang w:val="fr-FR"/>
        </w:rPr>
        <w:t xml:space="preserve">Impacts positifs </w:t>
      </w:r>
      <w:r>
        <w:rPr>
          <w:rFonts w:ascii="Times New Roman" w:hAnsi="Times New Roman"/>
          <w:b/>
          <w:sz w:val="24"/>
          <w:lang w:val="fr-FR"/>
        </w:rPr>
        <w:t>sur l’a</w:t>
      </w:r>
      <w:r w:rsidR="00B314B8" w:rsidRPr="00A05698">
        <w:rPr>
          <w:rFonts w:ascii="Times New Roman" w:hAnsi="Times New Roman"/>
          <w:b/>
          <w:sz w:val="24"/>
          <w:lang w:val="fr-FR"/>
        </w:rPr>
        <w:t>mélioration de</w:t>
      </w:r>
      <w:r w:rsidR="008766FA" w:rsidRPr="00A05698">
        <w:rPr>
          <w:rFonts w:ascii="Times New Roman" w:hAnsi="Times New Roman"/>
          <w:b/>
          <w:sz w:val="24"/>
          <w:lang w:val="fr-FR"/>
        </w:rPr>
        <w:t>s conditions de</w:t>
      </w:r>
      <w:r w:rsidR="00B314B8" w:rsidRPr="00A05698">
        <w:rPr>
          <w:rFonts w:ascii="Times New Roman" w:hAnsi="Times New Roman"/>
          <w:b/>
          <w:sz w:val="24"/>
          <w:lang w:val="fr-FR"/>
        </w:rPr>
        <w:t xml:space="preserve"> vie de la population </w:t>
      </w:r>
    </w:p>
    <w:p w:rsidR="006D55DE" w:rsidRPr="00A05698" w:rsidRDefault="00B314B8" w:rsidP="00A76F4A">
      <w:pPr>
        <w:ind w:right="12"/>
        <w:jc w:val="both"/>
      </w:pPr>
      <w:r w:rsidRPr="00A05698">
        <w:t>Les conditions de vies de la population pourraient s’améliorer de manière considérab</w:t>
      </w:r>
      <w:r w:rsidR="00E20C28" w:rsidRPr="00A05698">
        <w:t>le grâce au développement du secteur de l’agriculture</w:t>
      </w:r>
      <w:r w:rsidR="009426AC" w:rsidRPr="00A05698">
        <w:t xml:space="preserve"> surtout </w:t>
      </w:r>
      <w:r w:rsidR="00687C62" w:rsidRPr="00A05698">
        <w:t xml:space="preserve">dans le secteur de la production </w:t>
      </w:r>
      <w:r w:rsidR="009426AC" w:rsidRPr="00A05698">
        <w:t xml:space="preserve">et de la commercialisation </w:t>
      </w:r>
      <w:r w:rsidR="00687C62" w:rsidRPr="00A05698">
        <w:t xml:space="preserve">des </w:t>
      </w:r>
      <w:r w:rsidR="00611422" w:rsidRPr="00A05698">
        <w:t>noix de cajou.</w:t>
      </w:r>
    </w:p>
    <w:p w:rsidR="006D55DE" w:rsidRPr="00A05698" w:rsidRDefault="0098479C" w:rsidP="00A76F4A">
      <w:pPr>
        <w:ind w:right="12"/>
        <w:jc w:val="both"/>
      </w:pPr>
      <w:r w:rsidRPr="00A05698">
        <w:t>Ce composante 1</w:t>
      </w:r>
      <w:r w:rsidR="00B314B8" w:rsidRPr="00A05698">
        <w:t xml:space="preserve"> contribuer</w:t>
      </w:r>
      <w:r w:rsidRPr="00A05698">
        <w:t>a</w:t>
      </w:r>
      <w:r w:rsidR="00B314B8" w:rsidRPr="00A05698">
        <w:t xml:space="preserve"> à la réduction de la pauvreté au niveau des populations vulnérables exposées à l</w:t>
      </w:r>
      <w:r w:rsidR="00A05714" w:rsidRPr="00A05698">
        <w:t>’</w:t>
      </w:r>
      <w:r w:rsidR="00B314B8" w:rsidRPr="00A05698">
        <w:t xml:space="preserve">insécurité alimentaire (accès à une alimentation suffisante et diversifiée). </w:t>
      </w:r>
    </w:p>
    <w:p w:rsidR="0082611C" w:rsidRDefault="0082611C" w:rsidP="00A76F4A">
      <w:pPr>
        <w:pStyle w:val="Listacommarcas2"/>
        <w:numPr>
          <w:ilvl w:val="0"/>
          <w:numId w:val="0"/>
        </w:numPr>
        <w:spacing w:line="240" w:lineRule="auto"/>
        <w:ind w:right="12"/>
        <w:rPr>
          <w:rFonts w:ascii="Times New Roman" w:hAnsi="Times New Roman"/>
          <w:sz w:val="24"/>
          <w:lang w:val="fr-FR"/>
        </w:rPr>
      </w:pPr>
    </w:p>
    <w:p w:rsidR="00EA4085" w:rsidRPr="001F2701" w:rsidRDefault="00EA4085" w:rsidP="00A76F4A">
      <w:pPr>
        <w:pStyle w:val="Listacommarcas2"/>
        <w:numPr>
          <w:ilvl w:val="0"/>
          <w:numId w:val="106"/>
        </w:numPr>
        <w:spacing w:line="240" w:lineRule="auto"/>
        <w:ind w:right="12"/>
        <w:rPr>
          <w:rFonts w:ascii="Times New Roman" w:hAnsi="Times New Roman"/>
          <w:b/>
          <w:lang w:val="fr-FR"/>
        </w:rPr>
      </w:pPr>
      <w:r w:rsidRPr="00083B97">
        <w:rPr>
          <w:rFonts w:ascii="Times New Roman" w:hAnsi="Times New Roman"/>
          <w:b/>
          <w:sz w:val="24"/>
          <w:lang w:val="fr-FR"/>
        </w:rPr>
        <w:t xml:space="preserve">Impacts positifs de l'encadrement des petits producteurs </w:t>
      </w:r>
    </w:p>
    <w:p w:rsidR="002D52F2" w:rsidRPr="0004046F" w:rsidRDefault="00EA4085" w:rsidP="00A76F4A">
      <w:pPr>
        <w:ind w:right="12"/>
        <w:jc w:val="both"/>
      </w:pPr>
      <w:r w:rsidRPr="0004046F">
        <w:t xml:space="preserve">Les services de conseils pour les producteurs vont consacrer </w:t>
      </w:r>
      <w:r w:rsidR="00A57DCB" w:rsidRPr="0004046F">
        <w:t>une meilleure maîtrise</w:t>
      </w:r>
      <w:r w:rsidRPr="0004046F">
        <w:t xml:space="preserve"> de la production et de la productivité des périmètres rizicoles en permettant non seulement une autosuffisance alimentaire, mais aussi </w:t>
      </w:r>
      <w:r w:rsidR="00984A61" w:rsidRPr="0004046F">
        <w:t>une préservation</w:t>
      </w:r>
      <w:r w:rsidRPr="0004046F">
        <w:t xml:space="preserve"> des zones de culture par l'intégration de mesures environnementales de protection des milieux qui vont contribuer à la gestion des écosystèmes de mangroves. </w:t>
      </w:r>
      <w:r w:rsidR="002D52F2" w:rsidRPr="0004046F">
        <w:t xml:space="preserve">La vulgarisation de techniques agricoles nouvelles contribuera à </w:t>
      </w:r>
      <w:r w:rsidR="002D52F2" w:rsidRPr="0004046F">
        <w:lastRenderedPageBreak/>
        <w:t xml:space="preserve">l’optimisation des rendements sans un accroissement des terres de culture en défaveur des pâturages. </w:t>
      </w:r>
    </w:p>
    <w:p w:rsidR="0082611C" w:rsidRDefault="002D52F2" w:rsidP="00A76F4A">
      <w:pPr>
        <w:ind w:right="12"/>
        <w:jc w:val="both"/>
      </w:pPr>
      <w:r w:rsidRPr="0004046F">
        <w:t xml:space="preserve">Le développement et la maîtrise des techniques de lutte intégrée vont aider à la prévention des risques de pollution par l’usage des produits chimiques dans la mesure où ces techniques vont favoriser l'intégration de la lutte biologique. La recherche sur les pratiques culturales durables et respectueuses de l'environnement et d’autres alternatives aux pesticides favorisent aussi la lutte contre certains parasites. </w:t>
      </w:r>
    </w:p>
    <w:p w:rsidR="00A76F4A" w:rsidRPr="0004046F" w:rsidRDefault="00A76F4A" w:rsidP="00A76F4A">
      <w:pPr>
        <w:ind w:right="12"/>
        <w:jc w:val="both"/>
      </w:pPr>
    </w:p>
    <w:p w:rsidR="003C0EDA" w:rsidRDefault="00984A61" w:rsidP="00A76F4A">
      <w:pPr>
        <w:pStyle w:val="Listacommarcas2"/>
        <w:numPr>
          <w:ilvl w:val="0"/>
          <w:numId w:val="106"/>
        </w:numPr>
        <w:spacing w:line="240" w:lineRule="auto"/>
        <w:ind w:right="12"/>
        <w:rPr>
          <w:rFonts w:ascii="Times New Roman" w:hAnsi="Times New Roman"/>
          <w:b/>
          <w:sz w:val="24"/>
          <w:lang w:val="fr-FR"/>
        </w:rPr>
      </w:pPr>
      <w:r w:rsidRPr="00EF3A36">
        <w:rPr>
          <w:rFonts w:ascii="Times New Roman" w:hAnsi="Times New Roman"/>
          <w:b/>
          <w:sz w:val="24"/>
          <w:lang w:val="fr-FR"/>
        </w:rPr>
        <w:t xml:space="preserve">Impacts positifs </w:t>
      </w:r>
      <w:r w:rsidR="00C5720A">
        <w:rPr>
          <w:rFonts w:ascii="Times New Roman" w:hAnsi="Times New Roman"/>
          <w:b/>
          <w:sz w:val="24"/>
          <w:lang w:val="fr-FR"/>
        </w:rPr>
        <w:t>par rapport à l’a</w:t>
      </w:r>
      <w:r w:rsidR="00B314B8" w:rsidRPr="00A05698">
        <w:rPr>
          <w:rFonts w:ascii="Times New Roman" w:hAnsi="Times New Roman"/>
          <w:b/>
          <w:sz w:val="24"/>
          <w:lang w:val="fr-FR"/>
        </w:rPr>
        <w:t>ppui à la mise en valeur et renforcement des capacités</w:t>
      </w:r>
    </w:p>
    <w:p w:rsidR="003C0EDA" w:rsidRDefault="00B314B8" w:rsidP="00A76F4A">
      <w:pPr>
        <w:ind w:right="12"/>
        <w:jc w:val="both"/>
      </w:pPr>
      <w:r w:rsidRPr="00A05698">
        <w:t>Le manque de structuration et d</w:t>
      </w:r>
      <w:r w:rsidR="00A05714" w:rsidRPr="00A05698">
        <w:t>’</w:t>
      </w:r>
      <w:r w:rsidRPr="00A05698">
        <w:t>organisation fonctionnelle explique les nombreux échecs des organisations paysannes liés à la divergence des perceptions et des intérêts de chacun des catégories socioprofessionnelles. Bien que certaines structures fédératrices soient identifiées sur le terrain, le manque de moyens d</w:t>
      </w:r>
      <w:r w:rsidR="00A05714" w:rsidRPr="00A05698">
        <w:t>’</w:t>
      </w:r>
      <w:r w:rsidRPr="00A05698">
        <w:t xml:space="preserve">intervention et de connaissances approfondies des causes probables des nombreuses vulnérabilités, les solutions souvent apportées et mises en œuvre demeurent inefficaces pour répondre convenablement aux besoins des populations. </w:t>
      </w:r>
    </w:p>
    <w:p w:rsidR="004C346E" w:rsidRPr="00A05698" w:rsidRDefault="004C346E" w:rsidP="00A76F4A">
      <w:pPr>
        <w:ind w:right="12"/>
        <w:jc w:val="both"/>
      </w:pPr>
    </w:p>
    <w:p w:rsidR="003C0EDA" w:rsidRDefault="00B314B8" w:rsidP="00A76F4A">
      <w:pPr>
        <w:ind w:right="12"/>
        <w:jc w:val="both"/>
      </w:pPr>
      <w:r w:rsidRPr="00A05698">
        <w:t>L</w:t>
      </w:r>
      <w:r w:rsidR="00A05714" w:rsidRPr="00A05698">
        <w:t>’</w:t>
      </w:r>
      <w:r w:rsidRPr="00A05698">
        <w:t>appui à l</w:t>
      </w:r>
      <w:r w:rsidR="00A05714" w:rsidRPr="00A05698">
        <w:t>’</w:t>
      </w:r>
      <w:r w:rsidRPr="00A05698">
        <w:t>organisation et à la mobilisation des principaux acteurs autour des questions fondamentales de l</w:t>
      </w:r>
      <w:r w:rsidR="00A05714" w:rsidRPr="00A05698">
        <w:t>’</w:t>
      </w:r>
      <w:r w:rsidRPr="00A05698">
        <w:t xml:space="preserve">agriculture contribuerait à </w:t>
      </w:r>
      <w:r w:rsidR="00085CD2" w:rsidRPr="00A05698">
        <w:t>développer le secteur agricole</w:t>
      </w:r>
      <w:r w:rsidRPr="00A05698">
        <w:t xml:space="preserve"> mais aussi, attein</w:t>
      </w:r>
      <w:r w:rsidR="00085CD2" w:rsidRPr="00A05698">
        <w:t>dre les objectifs du projet d’urgence de sécurité alimentaire (PUSA)</w:t>
      </w:r>
      <w:r w:rsidRPr="00A05698">
        <w:t>.</w:t>
      </w:r>
    </w:p>
    <w:p w:rsidR="004C346E" w:rsidRPr="00A05698" w:rsidRDefault="004C346E" w:rsidP="00A76F4A">
      <w:pPr>
        <w:ind w:right="12"/>
        <w:jc w:val="both"/>
      </w:pPr>
    </w:p>
    <w:p w:rsidR="003C0EDA" w:rsidRPr="00A05698" w:rsidRDefault="00B314B8" w:rsidP="00A76F4A">
      <w:pPr>
        <w:ind w:right="12"/>
        <w:jc w:val="both"/>
      </w:pPr>
      <w:r w:rsidRPr="00A05698">
        <w:t xml:space="preserve">Lors des rencontres de consultation avec les acteurs, la majeure partie ont exprimé leur disponibilité à collaborer étroitement avec le projet </w:t>
      </w:r>
      <w:r w:rsidR="003D2AC8" w:rsidRPr="00A05698">
        <w:t>PUSA</w:t>
      </w:r>
      <w:r w:rsidRPr="00A05698">
        <w:t xml:space="preserve"> pour atteindre les objectifs visés. </w:t>
      </w:r>
    </w:p>
    <w:p w:rsidR="00B314B8" w:rsidRPr="00A05698" w:rsidRDefault="00B314B8" w:rsidP="00A76F4A">
      <w:pPr>
        <w:ind w:right="12"/>
        <w:jc w:val="both"/>
      </w:pPr>
      <w:r w:rsidRPr="00A05698">
        <w:t>Ainsi, l</w:t>
      </w:r>
      <w:r w:rsidR="00A05714" w:rsidRPr="00A05698">
        <w:t>’</w:t>
      </w:r>
      <w:r w:rsidRPr="00A05698">
        <w:t>appui à l</w:t>
      </w:r>
      <w:r w:rsidR="00A05714" w:rsidRPr="00A05698">
        <w:t>’</w:t>
      </w:r>
      <w:r w:rsidRPr="00A05698">
        <w:t>organisation des bénéficiaires sous forme de GIE ou</w:t>
      </w:r>
      <w:r w:rsidR="00213BC4">
        <w:t xml:space="preserve"> de fédération</w:t>
      </w:r>
      <w:r w:rsidRPr="00A05698">
        <w:t>, la formation des petits producteurs (agriculteurs,), le financeme</w:t>
      </w:r>
      <w:r w:rsidR="00ED3D4A" w:rsidRPr="00A05698">
        <w:t>nt des jeunes et des femmes, à</w:t>
      </w:r>
      <w:r w:rsidRPr="00A05698">
        <w:t xml:space="preserve"> l</w:t>
      </w:r>
      <w:r w:rsidR="00A05714" w:rsidRPr="00A05698">
        <w:t>’</w:t>
      </w:r>
      <w:r w:rsidRPr="00A05698">
        <w:t>adaptation au changement climatique vont contribuer :</w:t>
      </w:r>
    </w:p>
    <w:p w:rsidR="001826EF" w:rsidRDefault="001826EF" w:rsidP="00A76F4A">
      <w:pPr>
        <w:pStyle w:val="Listacommarcas2"/>
        <w:numPr>
          <w:ilvl w:val="0"/>
          <w:numId w:val="0"/>
        </w:numPr>
        <w:spacing w:line="240" w:lineRule="auto"/>
        <w:ind w:right="12"/>
        <w:rPr>
          <w:rFonts w:ascii="Times New Roman" w:hAnsi="Times New Roman"/>
          <w:sz w:val="24"/>
          <w:lang w:val="fr-FR"/>
        </w:rPr>
      </w:pPr>
    </w:p>
    <w:p w:rsidR="001826EF" w:rsidRPr="001F2701" w:rsidRDefault="001826EF" w:rsidP="00A76F4A">
      <w:pPr>
        <w:pStyle w:val="Listacommarcas2"/>
        <w:numPr>
          <w:ilvl w:val="0"/>
          <w:numId w:val="106"/>
        </w:numPr>
        <w:spacing w:line="240" w:lineRule="auto"/>
        <w:ind w:right="12"/>
        <w:rPr>
          <w:rFonts w:ascii="Times New Roman" w:hAnsi="Times New Roman"/>
          <w:b/>
          <w:lang w:val="fr-FR"/>
        </w:rPr>
      </w:pPr>
      <w:r w:rsidRPr="00083B97">
        <w:rPr>
          <w:rFonts w:ascii="Times New Roman" w:hAnsi="Times New Roman"/>
          <w:b/>
          <w:sz w:val="24"/>
          <w:lang w:val="fr-FR"/>
        </w:rPr>
        <w:t>Impacts positifs de la prise en compte des aspects du gen</w:t>
      </w:r>
      <w:r w:rsidR="00421710" w:rsidRPr="00787BCD">
        <w:rPr>
          <w:rFonts w:ascii="Times New Roman" w:hAnsi="Times New Roman"/>
          <w:b/>
          <w:sz w:val="24"/>
          <w:lang w:val="fr-FR"/>
        </w:rPr>
        <w:t xml:space="preserve">re dans les activités du PUSA </w:t>
      </w:r>
    </w:p>
    <w:p w:rsidR="001826EF" w:rsidRPr="0004046F" w:rsidRDefault="00787BCD" w:rsidP="00A76F4A">
      <w:pPr>
        <w:ind w:right="12"/>
        <w:jc w:val="both"/>
      </w:pPr>
      <w:r w:rsidRPr="0004046F">
        <w:t>Le projet</w:t>
      </w:r>
      <w:r w:rsidR="001826EF" w:rsidRPr="0004046F">
        <w:t xml:space="preserve"> va favoriser la prise en compte des aspects du genre et du processus d’intégration des notions d’équité dans l’exécution des activités. Les femmes, qui constituent des leviers essentiels dans l’organisation et l’animation des organisations de producteurs agricoles, participeront activement aux activités du projet dont elles seront des bénéficiaires privilégiées, en termes d’accroissement de revenus, de maîtrise de technologies et d’encadrement. </w:t>
      </w:r>
    </w:p>
    <w:p w:rsidR="002B11DC" w:rsidRPr="0097333C" w:rsidRDefault="009C2723" w:rsidP="00A76F4A">
      <w:pPr>
        <w:pStyle w:val="Cabealho6"/>
        <w:numPr>
          <w:ilvl w:val="5"/>
          <w:numId w:val="105"/>
        </w:numPr>
        <w:spacing w:line="240" w:lineRule="auto"/>
        <w:ind w:right="12"/>
        <w:jc w:val="both"/>
        <w:rPr>
          <w:rFonts w:ascii="Times New Roman" w:hAnsi="Times New Roman"/>
          <w:b/>
          <w:i w:val="0"/>
          <w:iCs w:val="0"/>
          <w:color w:val="auto"/>
          <w:sz w:val="24"/>
          <w:szCs w:val="24"/>
        </w:rPr>
      </w:pPr>
      <w:r w:rsidRPr="0097333C">
        <w:rPr>
          <w:rFonts w:ascii="Times New Roman" w:hAnsi="Times New Roman"/>
          <w:b/>
          <w:i w:val="0"/>
          <w:iCs w:val="0"/>
          <w:color w:val="auto"/>
          <w:sz w:val="24"/>
          <w:szCs w:val="24"/>
        </w:rPr>
        <w:t>Soutien aux Filets de Sécurité communautaires (</w:t>
      </w:r>
      <w:r w:rsidR="007213B4" w:rsidRPr="0097333C">
        <w:rPr>
          <w:rFonts w:ascii="Times New Roman" w:hAnsi="Times New Roman"/>
          <w:b/>
          <w:i w:val="0"/>
          <w:iCs w:val="0"/>
          <w:color w:val="auto"/>
          <w:sz w:val="24"/>
          <w:szCs w:val="24"/>
        </w:rPr>
        <w:t xml:space="preserve">la création </w:t>
      </w:r>
      <w:r w:rsidR="000C7180" w:rsidRPr="0097333C">
        <w:rPr>
          <w:rFonts w:ascii="Times New Roman" w:hAnsi="Times New Roman"/>
          <w:b/>
          <w:i w:val="0"/>
          <w:iCs w:val="0"/>
          <w:color w:val="auto"/>
          <w:sz w:val="24"/>
          <w:szCs w:val="24"/>
        </w:rPr>
        <w:t>d’emploi,</w:t>
      </w:r>
      <w:r w:rsidR="007213B4" w:rsidRPr="0097333C">
        <w:rPr>
          <w:rFonts w:ascii="Times New Roman" w:hAnsi="Times New Roman"/>
          <w:b/>
          <w:i w:val="0"/>
          <w:iCs w:val="0"/>
          <w:color w:val="auto"/>
          <w:sz w:val="24"/>
          <w:szCs w:val="24"/>
        </w:rPr>
        <w:t xml:space="preserve"> </w:t>
      </w:r>
      <w:r w:rsidRPr="0097333C">
        <w:rPr>
          <w:rFonts w:ascii="Times New Roman" w:hAnsi="Times New Roman"/>
          <w:b/>
          <w:i w:val="0"/>
          <w:iCs w:val="0"/>
          <w:color w:val="auto"/>
          <w:sz w:val="24"/>
          <w:szCs w:val="24"/>
        </w:rPr>
        <w:t>la réhabilitation des structures de stockage, l</w:t>
      </w:r>
      <w:r w:rsidR="00A05714" w:rsidRPr="0097333C">
        <w:rPr>
          <w:rFonts w:ascii="Times New Roman" w:hAnsi="Times New Roman"/>
          <w:b/>
          <w:i w:val="0"/>
          <w:iCs w:val="0"/>
          <w:color w:val="auto"/>
          <w:sz w:val="24"/>
          <w:szCs w:val="24"/>
        </w:rPr>
        <w:t>’</w:t>
      </w:r>
      <w:r w:rsidRPr="0097333C">
        <w:rPr>
          <w:rFonts w:ascii="Times New Roman" w:hAnsi="Times New Roman"/>
          <w:b/>
          <w:i w:val="0"/>
          <w:iCs w:val="0"/>
          <w:color w:val="auto"/>
          <w:sz w:val="24"/>
          <w:szCs w:val="24"/>
        </w:rPr>
        <w:t>ouverture de routes d</w:t>
      </w:r>
      <w:r w:rsidR="00A05714" w:rsidRPr="0097333C">
        <w:rPr>
          <w:rFonts w:ascii="Times New Roman" w:hAnsi="Times New Roman"/>
          <w:b/>
          <w:i w:val="0"/>
          <w:iCs w:val="0"/>
          <w:color w:val="auto"/>
          <w:sz w:val="24"/>
          <w:szCs w:val="24"/>
        </w:rPr>
        <w:t>’</w:t>
      </w:r>
      <w:r w:rsidRPr="0097333C">
        <w:rPr>
          <w:rFonts w:ascii="Times New Roman" w:hAnsi="Times New Roman"/>
          <w:b/>
          <w:i w:val="0"/>
          <w:iCs w:val="0"/>
          <w:color w:val="auto"/>
          <w:sz w:val="24"/>
          <w:szCs w:val="24"/>
        </w:rPr>
        <w:t>accès aux zones de production agricole, la construction de marchés locaux, etc.)</w:t>
      </w:r>
    </w:p>
    <w:p w:rsidR="009077FE" w:rsidRPr="00A05698" w:rsidRDefault="009077FE" w:rsidP="00A76F4A">
      <w:pPr>
        <w:pStyle w:val="Cabealho3"/>
        <w:keepLines/>
        <w:numPr>
          <w:ilvl w:val="0"/>
          <w:numId w:val="107"/>
        </w:numPr>
        <w:spacing w:before="120" w:after="120"/>
        <w:ind w:right="12"/>
        <w:jc w:val="both"/>
        <w:rPr>
          <w:rFonts w:ascii="Times New Roman" w:hAnsi="Times New Roman"/>
        </w:rPr>
      </w:pPr>
      <w:r w:rsidRPr="00A05698">
        <w:rPr>
          <w:rFonts w:ascii="Times New Roman" w:hAnsi="Times New Roman"/>
        </w:rPr>
        <w:t>Impacts positifs du projet en phase de mise en œuvre</w:t>
      </w:r>
    </w:p>
    <w:p w:rsidR="00E67CBC" w:rsidRPr="00A05698" w:rsidRDefault="00E341BD" w:rsidP="00A76F4A">
      <w:pPr>
        <w:ind w:right="12"/>
        <w:jc w:val="both"/>
      </w:pPr>
      <w:r w:rsidRPr="00A05698">
        <w:t>En phase préparation et de mise en œuvre,</w:t>
      </w:r>
      <w:r w:rsidR="00F53B3B" w:rsidRPr="00A05698">
        <w:t xml:space="preserve"> </w:t>
      </w:r>
      <w:r w:rsidR="00327A21" w:rsidRPr="00A05698">
        <w:t xml:space="preserve">les impacts positifs potentiels du projet </w:t>
      </w:r>
      <w:r w:rsidR="00660959" w:rsidRPr="00A05698">
        <w:t xml:space="preserve">PUSA </w:t>
      </w:r>
      <w:r w:rsidR="00327A21" w:rsidRPr="00A05698">
        <w:t xml:space="preserve">sont : </w:t>
      </w:r>
    </w:p>
    <w:p w:rsidR="001026B9" w:rsidRPr="0097333C" w:rsidRDefault="00242A77" w:rsidP="00A76F4A">
      <w:pPr>
        <w:pStyle w:val="Listacommarcas2"/>
        <w:numPr>
          <w:ilvl w:val="0"/>
          <w:numId w:val="106"/>
        </w:numPr>
        <w:spacing w:line="240" w:lineRule="auto"/>
        <w:ind w:right="12"/>
        <w:rPr>
          <w:rFonts w:ascii="Times New Roman" w:hAnsi="Times New Roman"/>
          <w:b/>
          <w:sz w:val="24"/>
          <w:lang w:val="fr-FR"/>
        </w:rPr>
      </w:pPr>
      <w:r w:rsidRPr="00A05698">
        <w:rPr>
          <w:rFonts w:ascii="Times New Roman" w:hAnsi="Times New Roman"/>
          <w:b/>
          <w:sz w:val="24"/>
          <w:lang w:val="fr-FR"/>
        </w:rPr>
        <w:t xml:space="preserve">La création d’emplois directs </w:t>
      </w:r>
    </w:p>
    <w:p w:rsidR="00BB6E3C" w:rsidRDefault="00242A77" w:rsidP="00A76F4A">
      <w:pPr>
        <w:ind w:right="12"/>
        <w:jc w:val="both"/>
      </w:pPr>
      <w:r w:rsidRPr="00A05698">
        <w:t>Les emplois attendus dans le cad</w:t>
      </w:r>
      <w:r w:rsidR="00A65D8E" w:rsidRPr="00A05698">
        <w:t xml:space="preserve">re des activités de </w:t>
      </w:r>
      <w:r w:rsidR="000C3A71" w:rsidRPr="00A05698">
        <w:t>réalisation</w:t>
      </w:r>
      <w:r w:rsidR="00674B97" w:rsidRPr="00A05698">
        <w:t xml:space="preserve"> des </w:t>
      </w:r>
      <w:r w:rsidR="005002CA" w:rsidRPr="00A05698">
        <w:t>structures</w:t>
      </w:r>
      <w:r w:rsidR="00AA6741" w:rsidRPr="00A05698">
        <w:t xml:space="preserve"> de </w:t>
      </w:r>
      <w:r w:rsidR="001A2E48" w:rsidRPr="00A05698">
        <w:t>stockage bâtiments, des voies d’</w:t>
      </w:r>
      <w:r w:rsidR="00A64EF2" w:rsidRPr="00A05698">
        <w:t>accès</w:t>
      </w:r>
      <w:r w:rsidR="001A2E48" w:rsidRPr="00A05698">
        <w:t xml:space="preserve"> et des construction</w:t>
      </w:r>
      <w:r w:rsidR="00A64EF2" w:rsidRPr="00A05698">
        <w:t>s</w:t>
      </w:r>
      <w:r w:rsidR="001A2E48" w:rsidRPr="00A05698">
        <w:t xml:space="preserve"> de</w:t>
      </w:r>
      <w:r w:rsidR="00886945" w:rsidRPr="00A05698">
        <w:t>s</w:t>
      </w:r>
      <w:r w:rsidR="001A2E48" w:rsidRPr="00A05698">
        <w:t xml:space="preserve"> marché</w:t>
      </w:r>
      <w:r w:rsidR="00886945" w:rsidRPr="00A05698">
        <w:t>s</w:t>
      </w:r>
      <w:r w:rsidR="00A64EF2" w:rsidRPr="00A05698">
        <w:t xml:space="preserve"> locaux dans les différentes zones</w:t>
      </w:r>
      <w:r w:rsidRPr="00A05698">
        <w:t xml:space="preserve"> concernées constituent une source d’espoir pour la main d’œuvre locale et de plus pour ceux q</w:t>
      </w:r>
      <w:r w:rsidR="007B3364" w:rsidRPr="00A05698">
        <w:t>ui intervien</w:t>
      </w:r>
      <w:r w:rsidR="00391D8D">
        <w:t>nen</w:t>
      </w:r>
      <w:r w:rsidR="007B3364" w:rsidRPr="00A05698">
        <w:t>t dans le BTP</w:t>
      </w:r>
      <w:r w:rsidRPr="00A05698">
        <w:t>.</w:t>
      </w:r>
    </w:p>
    <w:p w:rsidR="00E67CBC" w:rsidRPr="00A05698" w:rsidRDefault="00E67CBC" w:rsidP="00A76F4A">
      <w:pPr>
        <w:ind w:left="-284" w:right="12"/>
        <w:jc w:val="both"/>
      </w:pPr>
    </w:p>
    <w:p w:rsidR="00242A77" w:rsidRPr="00A05698" w:rsidRDefault="00242A77" w:rsidP="00A76F4A">
      <w:pPr>
        <w:pStyle w:val="Listacommarcas2"/>
        <w:numPr>
          <w:ilvl w:val="0"/>
          <w:numId w:val="106"/>
        </w:numPr>
        <w:spacing w:line="240" w:lineRule="auto"/>
        <w:ind w:right="12"/>
        <w:rPr>
          <w:rFonts w:ascii="Times New Roman" w:hAnsi="Times New Roman"/>
          <w:b/>
          <w:sz w:val="24"/>
          <w:lang w:val="fr-FR"/>
        </w:rPr>
      </w:pPr>
      <w:r w:rsidRPr="00A05698">
        <w:rPr>
          <w:rFonts w:ascii="Times New Roman" w:hAnsi="Times New Roman"/>
          <w:b/>
          <w:sz w:val="24"/>
          <w:lang w:val="fr-FR"/>
        </w:rPr>
        <w:t xml:space="preserve">La création d’emplois indirects </w:t>
      </w:r>
    </w:p>
    <w:p w:rsidR="00E67CBC" w:rsidRPr="00A05698" w:rsidRDefault="00242A77" w:rsidP="00A76F4A">
      <w:pPr>
        <w:ind w:right="12"/>
        <w:jc w:val="both"/>
      </w:pPr>
      <w:r w:rsidRPr="00A05698">
        <w:lastRenderedPageBreak/>
        <w:t xml:space="preserve">La présence des bases des chantiers engendrera inévitablement l’augmentation des revenus dans les activités commerciales (restaurants, boutiques, les vendeurs et vendeuses de denrées alimentaires, etc.) à proximité. </w:t>
      </w:r>
    </w:p>
    <w:p w:rsidR="00242A77" w:rsidRPr="00A05698" w:rsidRDefault="00242A77" w:rsidP="00A76F4A">
      <w:pPr>
        <w:pStyle w:val="Listacommarcas2"/>
        <w:numPr>
          <w:ilvl w:val="0"/>
          <w:numId w:val="106"/>
        </w:numPr>
        <w:spacing w:line="240" w:lineRule="auto"/>
        <w:ind w:right="12"/>
        <w:rPr>
          <w:rFonts w:ascii="Times New Roman" w:hAnsi="Times New Roman"/>
          <w:b/>
          <w:sz w:val="24"/>
          <w:lang w:val="fr-FR"/>
        </w:rPr>
      </w:pPr>
      <w:r w:rsidRPr="00A05698">
        <w:rPr>
          <w:rFonts w:ascii="Times New Roman" w:hAnsi="Times New Roman"/>
          <w:b/>
          <w:sz w:val="24"/>
          <w:lang w:val="fr-FR"/>
        </w:rPr>
        <w:t>Opportunités d’affaires pour des opérateurs économiques privés</w:t>
      </w:r>
    </w:p>
    <w:p w:rsidR="00420040" w:rsidRPr="00A05698" w:rsidRDefault="006128D1" w:rsidP="00A76F4A">
      <w:pPr>
        <w:ind w:right="12"/>
        <w:jc w:val="both"/>
      </w:pPr>
      <w:r w:rsidRPr="00A05698">
        <w:t>Les travaux de</w:t>
      </w:r>
      <w:r w:rsidR="00242A77" w:rsidRPr="00A05698">
        <w:t xml:space="preserve"> </w:t>
      </w:r>
      <w:r w:rsidR="00FF2FEF" w:rsidRPr="00A05698">
        <w:t>réalisation des structures de stockage bâtiments, des voies d’accès et des constructions de</w:t>
      </w:r>
      <w:r w:rsidR="00886945" w:rsidRPr="00A05698">
        <w:t>s</w:t>
      </w:r>
      <w:r w:rsidR="00FF2FEF" w:rsidRPr="00A05698">
        <w:t xml:space="preserve"> marché</w:t>
      </w:r>
      <w:r w:rsidR="00886945" w:rsidRPr="00A05698">
        <w:t>s</w:t>
      </w:r>
      <w:r w:rsidR="00FF2FEF" w:rsidRPr="00A05698">
        <w:t xml:space="preserve"> locaux </w:t>
      </w:r>
      <w:r w:rsidR="00242A77" w:rsidRPr="00A05698">
        <w:t>auront un impact positif en termes d</w:t>
      </w:r>
      <w:r w:rsidR="00A05714" w:rsidRPr="00A05698">
        <w:t>’</w:t>
      </w:r>
      <w:r w:rsidR="00242A77" w:rsidRPr="00A05698">
        <w:t>augmentation du revenu des populations locales et des différentes catégories socioprofessionnelles à travers l</w:t>
      </w:r>
      <w:r w:rsidR="00A05714" w:rsidRPr="00A05698">
        <w:t>’</w:t>
      </w:r>
      <w:r w:rsidR="00242A77" w:rsidRPr="00A05698">
        <w:t>utilisation des matériaux locaux. Qu</w:t>
      </w:r>
      <w:r w:rsidR="00A05714" w:rsidRPr="00A05698">
        <w:t>’</w:t>
      </w:r>
      <w:r w:rsidR="00242A77" w:rsidRPr="00A05698">
        <w:t>il s</w:t>
      </w:r>
      <w:r w:rsidR="00A05714" w:rsidRPr="00A05698">
        <w:t>’</w:t>
      </w:r>
      <w:r w:rsidR="00242A77" w:rsidRPr="00A05698">
        <w:t>agisse de matériaux d</w:t>
      </w:r>
      <w:r w:rsidR="00A05714" w:rsidRPr="00A05698">
        <w:t>’</w:t>
      </w:r>
      <w:r w:rsidR="00242A77" w:rsidRPr="00A05698">
        <w:t xml:space="preserve">emprunt (pierre, sable, gravier, latérite) ou </w:t>
      </w:r>
      <w:r w:rsidR="00681BD5" w:rsidRPr="00A05698">
        <w:t xml:space="preserve">d’achat </w:t>
      </w:r>
      <w:r w:rsidR="00681BD5">
        <w:t>de</w:t>
      </w:r>
      <w:r w:rsidR="00681BD5" w:rsidRPr="00A05698">
        <w:t xml:space="preserve"> </w:t>
      </w:r>
      <w:r w:rsidR="00971169">
        <w:t>matériaux</w:t>
      </w:r>
      <w:r w:rsidR="00971169" w:rsidRPr="00A05698">
        <w:t xml:space="preserve"> </w:t>
      </w:r>
      <w:r w:rsidR="00971169">
        <w:t>sur</w:t>
      </w:r>
      <w:r w:rsidR="00971169" w:rsidRPr="00A05698">
        <w:t xml:space="preserve"> </w:t>
      </w:r>
      <w:r w:rsidR="00971169">
        <w:t>le</w:t>
      </w:r>
      <w:r w:rsidR="00971169" w:rsidRPr="00A05698">
        <w:t xml:space="preserve"> </w:t>
      </w:r>
      <w:r w:rsidR="00971169">
        <w:t>marché́</w:t>
      </w:r>
      <w:r w:rsidR="00971169" w:rsidRPr="00A05698">
        <w:t xml:space="preserve"> </w:t>
      </w:r>
      <w:r w:rsidR="00971169">
        <w:t>local</w:t>
      </w:r>
      <w:r w:rsidR="00242A77" w:rsidRPr="00A05698">
        <w:t xml:space="preserve"> (ciment, bois traité, acier, etc.), les travaux auront comme effet d</w:t>
      </w:r>
      <w:r w:rsidR="00A05714" w:rsidRPr="00A05698">
        <w:t>’</w:t>
      </w:r>
      <w:r w:rsidR="00242A77" w:rsidRPr="00A05698">
        <w:t>injecter de l</w:t>
      </w:r>
      <w:r w:rsidR="00A05714" w:rsidRPr="00A05698">
        <w:t>’</w:t>
      </w:r>
      <w:r w:rsidR="00242A77" w:rsidRPr="00A05698">
        <w:t>argent frais dans les marches locales, ce qui contribuera au développement des activités socioéconomiques de manière plus directe pour le commerce des matériaux.</w:t>
      </w:r>
    </w:p>
    <w:p w:rsidR="00242A77" w:rsidRPr="00815C68" w:rsidRDefault="00242A77" w:rsidP="00A76F4A">
      <w:pPr>
        <w:pStyle w:val="Cabealho3"/>
        <w:keepLines/>
        <w:numPr>
          <w:ilvl w:val="0"/>
          <w:numId w:val="107"/>
        </w:numPr>
        <w:spacing w:before="120" w:after="120"/>
        <w:ind w:right="12"/>
        <w:jc w:val="both"/>
        <w:rPr>
          <w:rFonts w:ascii="Times New Roman" w:hAnsi="Times New Roman"/>
          <w:sz w:val="24"/>
          <w:szCs w:val="24"/>
        </w:rPr>
      </w:pPr>
      <w:bookmarkStart w:id="288" w:name="_Toc55460153"/>
      <w:bookmarkStart w:id="289" w:name="_Toc55465546"/>
      <w:r w:rsidRPr="00815C68">
        <w:rPr>
          <w:rFonts w:ascii="Times New Roman" w:hAnsi="Times New Roman"/>
          <w:sz w:val="24"/>
          <w:szCs w:val="24"/>
        </w:rPr>
        <w:t>Impacts positifs du projet en phase d’exploitation</w:t>
      </w:r>
      <w:bookmarkEnd w:id="288"/>
      <w:bookmarkEnd w:id="289"/>
    </w:p>
    <w:p w:rsidR="00420040" w:rsidRDefault="00242A77" w:rsidP="00A76F4A">
      <w:pPr>
        <w:ind w:right="12"/>
        <w:jc w:val="both"/>
      </w:pPr>
      <w:r w:rsidRPr="00A05698">
        <w:t xml:space="preserve">En phase d’exploitation les impacts positifs du projet sont : </w:t>
      </w:r>
    </w:p>
    <w:p w:rsidR="00E67CBC" w:rsidRPr="00A05698" w:rsidRDefault="00E67CBC" w:rsidP="00A76F4A">
      <w:pPr>
        <w:ind w:left="-284" w:right="12"/>
        <w:jc w:val="both"/>
      </w:pPr>
    </w:p>
    <w:p w:rsidR="00242A77" w:rsidRPr="00A05698" w:rsidRDefault="00242A77" w:rsidP="00A76F4A">
      <w:pPr>
        <w:pStyle w:val="Listacommarcas2"/>
        <w:numPr>
          <w:ilvl w:val="0"/>
          <w:numId w:val="106"/>
        </w:numPr>
        <w:spacing w:line="240" w:lineRule="auto"/>
        <w:ind w:right="12"/>
        <w:rPr>
          <w:rFonts w:ascii="Times New Roman" w:hAnsi="Times New Roman"/>
          <w:b/>
          <w:sz w:val="24"/>
          <w:lang w:val="fr-FR"/>
        </w:rPr>
      </w:pPr>
      <w:r w:rsidRPr="00A05698">
        <w:rPr>
          <w:rFonts w:ascii="Times New Roman" w:hAnsi="Times New Roman"/>
          <w:b/>
          <w:sz w:val="24"/>
          <w:lang w:val="fr-FR"/>
        </w:rPr>
        <w:t xml:space="preserve">Opportunités d’emplois </w:t>
      </w:r>
    </w:p>
    <w:p w:rsidR="00420040" w:rsidRDefault="00324663" w:rsidP="00A76F4A">
      <w:pPr>
        <w:ind w:right="12"/>
        <w:jc w:val="both"/>
      </w:pPr>
      <w:r w:rsidRPr="00A05698">
        <w:t xml:space="preserve">La mise en service des </w:t>
      </w:r>
      <w:r w:rsidR="00396495" w:rsidRPr="00A05698">
        <w:t xml:space="preserve">structures </w:t>
      </w:r>
      <w:r w:rsidR="00517A22" w:rsidRPr="00A05698">
        <w:t>de stockage</w:t>
      </w:r>
      <w:r w:rsidR="00115E02" w:rsidRPr="00A05698">
        <w:t xml:space="preserve"> et des marchés </w:t>
      </w:r>
      <w:r w:rsidR="00A328E9" w:rsidRPr="00A05698">
        <w:t>locaux</w:t>
      </w:r>
      <w:r w:rsidR="00115E02" w:rsidRPr="00A05698">
        <w:t xml:space="preserve"> </w:t>
      </w:r>
      <w:r w:rsidR="00FA4B0E" w:rsidRPr="00A05698">
        <w:t>pourrait</w:t>
      </w:r>
      <w:r w:rsidR="00242A77" w:rsidRPr="00A05698">
        <w:t xml:space="preserve"> constituer une création d’emploi pour les jeunes des localités concernés car le projet peut offrir de</w:t>
      </w:r>
      <w:r w:rsidR="0028649C" w:rsidRPr="00A05698">
        <w:t>s emplois directs et permanents</w:t>
      </w:r>
      <w:r w:rsidR="00242A77" w:rsidRPr="00A05698">
        <w:t>. L</w:t>
      </w:r>
      <w:r w:rsidR="00A05714" w:rsidRPr="00A05698">
        <w:t>’</w:t>
      </w:r>
      <w:r w:rsidR="00242A77" w:rsidRPr="00A05698">
        <w:t>augmentation du revenu résultant de la création d</w:t>
      </w:r>
      <w:r w:rsidR="00A05714" w:rsidRPr="00A05698">
        <w:t>’</w:t>
      </w:r>
      <w:r w:rsidR="00242A77" w:rsidRPr="00A05698">
        <w:t>emplois contribuera à la lutte contre la pau</w:t>
      </w:r>
      <w:r w:rsidR="004C3A26" w:rsidRPr="00A05698">
        <w:t xml:space="preserve">vreté et </w:t>
      </w:r>
      <w:r w:rsidR="00DD4874" w:rsidRPr="00A05698">
        <w:t>l’insécurité alimentaire.</w:t>
      </w:r>
      <w:r w:rsidR="00242A77" w:rsidRPr="00A05698">
        <w:t xml:space="preserve"> </w:t>
      </w:r>
    </w:p>
    <w:p w:rsidR="00E67CBC" w:rsidRPr="00A05698" w:rsidRDefault="00E67CBC" w:rsidP="00A76F4A">
      <w:pPr>
        <w:ind w:left="-284" w:right="12"/>
        <w:jc w:val="both"/>
      </w:pPr>
    </w:p>
    <w:p w:rsidR="00242A77" w:rsidRPr="00A05698" w:rsidRDefault="00242A77" w:rsidP="00A76F4A">
      <w:pPr>
        <w:pStyle w:val="Listacommarcas2"/>
        <w:numPr>
          <w:ilvl w:val="0"/>
          <w:numId w:val="106"/>
        </w:numPr>
        <w:spacing w:line="240" w:lineRule="auto"/>
        <w:ind w:right="12"/>
        <w:rPr>
          <w:rFonts w:ascii="Times New Roman" w:hAnsi="Times New Roman"/>
          <w:b/>
          <w:sz w:val="24"/>
          <w:lang w:val="fr-FR"/>
        </w:rPr>
      </w:pPr>
      <w:r w:rsidRPr="00A05698">
        <w:rPr>
          <w:rFonts w:ascii="Times New Roman" w:hAnsi="Times New Roman"/>
          <w:b/>
          <w:sz w:val="24"/>
          <w:lang w:val="fr-FR"/>
        </w:rPr>
        <w:t>Amélioration des conditions socio-économiques</w:t>
      </w:r>
    </w:p>
    <w:p w:rsidR="00242A77" w:rsidRPr="00A05698" w:rsidRDefault="00BB35B0" w:rsidP="00A76F4A">
      <w:pPr>
        <w:ind w:right="12"/>
        <w:jc w:val="both"/>
      </w:pPr>
      <w:r w:rsidRPr="00A05698">
        <w:t>L</w:t>
      </w:r>
      <w:r w:rsidR="00A72612" w:rsidRPr="00A05698">
        <w:t>a réalisation des infrastru</w:t>
      </w:r>
      <w:r w:rsidR="006A3309" w:rsidRPr="00A05698">
        <w:t xml:space="preserve">ctures </w:t>
      </w:r>
      <w:r w:rsidR="00242A77" w:rsidRPr="00A05698">
        <w:t>permettra d’impulser un développement quantitatif et qualitatif de la gestion des affaires et une nouvelle possibilité de dévelo</w:t>
      </w:r>
      <w:r w:rsidR="00B8355A" w:rsidRPr="00A05698">
        <w:t>ppement économique des zones</w:t>
      </w:r>
      <w:r w:rsidR="00242A77" w:rsidRPr="00A05698">
        <w:t xml:space="preserve"> concernées grâce aux investisseurs nationaux comme internationaux. En plus, </w:t>
      </w:r>
      <w:r w:rsidR="00341E34" w:rsidRPr="00A05698">
        <w:t xml:space="preserve">ces futures </w:t>
      </w:r>
      <w:r w:rsidR="00EB48FB" w:rsidRPr="00A05698">
        <w:t>réalisations</w:t>
      </w:r>
      <w:r w:rsidR="00341E34" w:rsidRPr="00A05698">
        <w:t xml:space="preserve"> </w:t>
      </w:r>
      <w:r w:rsidR="00EB48FB" w:rsidRPr="00A05698">
        <w:t>permettront</w:t>
      </w:r>
      <w:r w:rsidR="00242A77" w:rsidRPr="00A05698">
        <w:t xml:space="preserve"> une augmentation de la </w:t>
      </w:r>
      <w:r w:rsidR="00681BD5" w:rsidRPr="00A05698">
        <w:t>capacité́</w:t>
      </w:r>
      <w:r w:rsidR="00681BD5">
        <w:t xml:space="preserve"> </w:t>
      </w:r>
      <w:r w:rsidR="00681BD5" w:rsidRPr="00A05698">
        <w:t>stockage</w:t>
      </w:r>
      <w:r w:rsidR="00242A77" w:rsidRPr="00A05698">
        <w:t xml:space="preserve"> des récoltes dans les zones marquées par des problèmes d’inf</w:t>
      </w:r>
      <w:r w:rsidR="00701BFB" w:rsidRPr="00A05698">
        <w:t>rastructure stockage pour une</w:t>
      </w:r>
      <w:r w:rsidR="00242A77" w:rsidRPr="00A05698">
        <w:t xml:space="preserve"> sécurisation de la récolte contre les insectes et autres rongeurs, la préservation de la qualité des produits et l’augmentation de la durée de conservation. </w:t>
      </w:r>
    </w:p>
    <w:p w:rsidR="00420040" w:rsidRPr="00A05698" w:rsidRDefault="00420040" w:rsidP="00A76F4A">
      <w:pPr>
        <w:ind w:right="12"/>
        <w:jc w:val="both"/>
      </w:pPr>
    </w:p>
    <w:p w:rsidR="00EC77B0" w:rsidRDefault="006609F1" w:rsidP="00A76F4A">
      <w:pPr>
        <w:ind w:right="12"/>
        <w:jc w:val="both"/>
      </w:pPr>
      <w:r w:rsidRPr="00A05698">
        <w:t>Le projet PUSA</w:t>
      </w:r>
      <w:r w:rsidR="00242A77" w:rsidRPr="00A05698">
        <w:t xml:space="preserve"> va permettre d’améliorer les conditions de travail des différents acteurs </w:t>
      </w:r>
      <w:r w:rsidR="00B55F3D" w:rsidRPr="00A05698">
        <w:t>(</w:t>
      </w:r>
      <w:r w:rsidR="00422F19" w:rsidRPr="00A05698">
        <w:t xml:space="preserve">agricultures, producteurs de noix de </w:t>
      </w:r>
      <w:r w:rsidR="00B857C6" w:rsidRPr="00A05698">
        <w:t xml:space="preserve">cajou, commerçants, etc.) </w:t>
      </w:r>
      <w:r w:rsidR="00F5779A" w:rsidRPr="00A05698">
        <w:t>en apportant des</w:t>
      </w:r>
      <w:r w:rsidR="00242A77" w:rsidRPr="00A05698">
        <w:t xml:space="preserve"> </w:t>
      </w:r>
      <w:r w:rsidR="00E75EF5" w:rsidRPr="00A05698">
        <w:t>appuis considérable</w:t>
      </w:r>
      <w:r w:rsidR="00242A77" w:rsidRPr="00A05698">
        <w:t xml:space="preserve"> </w:t>
      </w:r>
      <w:r w:rsidR="00F5779A" w:rsidRPr="00A05698">
        <w:t>(</w:t>
      </w:r>
      <w:r w:rsidR="00E75EF5" w:rsidRPr="00A05698">
        <w:t>matériel,</w:t>
      </w:r>
      <w:r w:rsidR="009B57E2" w:rsidRPr="00A05698">
        <w:t xml:space="preserve"> finance, voies d’accès,</w:t>
      </w:r>
      <w:r w:rsidR="00C82F22" w:rsidRPr="00A05698">
        <w:t xml:space="preserve"> marchés locaux, </w:t>
      </w:r>
      <w:r w:rsidR="003D2BEA" w:rsidRPr="00A05698">
        <w:t>etc.</w:t>
      </w:r>
      <w:r w:rsidR="008719DC" w:rsidRPr="00A05698">
        <w:t>..</w:t>
      </w:r>
      <w:r w:rsidR="00242A77" w:rsidRPr="00A05698">
        <w:t xml:space="preserve"> </w:t>
      </w:r>
    </w:p>
    <w:p w:rsidR="00E23B91" w:rsidRDefault="00E23B91" w:rsidP="00A76F4A">
      <w:pPr>
        <w:ind w:right="12"/>
        <w:jc w:val="both"/>
      </w:pPr>
    </w:p>
    <w:p w:rsidR="00EC77B0" w:rsidRPr="00E23B91" w:rsidRDefault="00AE102A" w:rsidP="00A76F4A">
      <w:pPr>
        <w:ind w:right="12"/>
        <w:jc w:val="both"/>
      </w:pPr>
      <w:r w:rsidRPr="00E23B91">
        <w:t>Grace à l’appuis au niveau de l’</w:t>
      </w:r>
      <w:r w:rsidR="00E23B91" w:rsidRPr="00E23B91">
        <w:t>élevage</w:t>
      </w:r>
      <w:r w:rsidRPr="00E23B91">
        <w:t xml:space="preserve"> par rapport aux</w:t>
      </w:r>
      <w:r w:rsidRPr="008371D1">
        <w:t xml:space="preserve"> vaccinations, la vermifications</w:t>
      </w:r>
      <w:r w:rsidR="00E23B91" w:rsidRPr="008371D1">
        <w:t xml:space="preserve"> </w:t>
      </w:r>
      <w:r w:rsidRPr="008371D1">
        <w:t xml:space="preserve">permettra de </w:t>
      </w:r>
      <w:r w:rsidR="001B47B9" w:rsidRPr="008371D1">
        <w:t>réduire</w:t>
      </w:r>
      <w:r w:rsidRPr="008371D1">
        <w:t xml:space="preserve"> les</w:t>
      </w:r>
      <w:r w:rsidR="00EC77B0" w:rsidRPr="008371D1">
        <w:t xml:space="preserve"> difficultés des éleveurs par rapport à la </w:t>
      </w:r>
      <w:r w:rsidR="00786E23" w:rsidRPr="008371D1">
        <w:t>santé</w:t>
      </w:r>
      <w:r w:rsidR="00EC77B0" w:rsidRPr="008371D1">
        <w:t xml:space="preserve"> des </w:t>
      </w:r>
      <w:r w:rsidR="00E23B91" w:rsidRPr="008371D1">
        <w:t xml:space="preserve">animaux, </w:t>
      </w:r>
      <w:r w:rsidR="00E23B91" w:rsidRPr="00E23B91">
        <w:t>l’amélioration</w:t>
      </w:r>
      <w:r w:rsidR="00EC77B0" w:rsidRPr="00E23B91">
        <w:t xml:space="preserve"> de la qualité des services offerts aux transhumants notamment</w:t>
      </w:r>
      <w:r w:rsidR="001B47B9" w:rsidRPr="00E23B91">
        <w:t xml:space="preserve"> </w:t>
      </w:r>
      <w:r w:rsidR="00EC77B0" w:rsidRPr="00E23B91">
        <w:t xml:space="preserve">la sécurité alimentaire, des conditions d'accès aux infrastructures </w:t>
      </w:r>
      <w:r w:rsidR="001B47B9" w:rsidRPr="00E23B91">
        <w:t>sociales, a</w:t>
      </w:r>
      <w:r w:rsidR="00EC77B0" w:rsidRPr="00E23B91">
        <w:t>u développement de l'entreprenariat rural dans le domaine de l'élevage (embouche ovine et caprine &amp; avicole)</w:t>
      </w:r>
      <w:r w:rsidR="00E23B91" w:rsidRPr="00E23B91">
        <w:t>, à</w:t>
      </w:r>
      <w:r w:rsidR="00EC77B0" w:rsidRPr="00E23B91">
        <w:t xml:space="preserve"> l'amélioration de la qualité nutritionnelle de la famille ;</w:t>
      </w:r>
    </w:p>
    <w:p w:rsidR="00420040" w:rsidRPr="00A05698" w:rsidRDefault="00420040" w:rsidP="00A76F4A">
      <w:pPr>
        <w:ind w:right="12"/>
        <w:jc w:val="both"/>
      </w:pPr>
    </w:p>
    <w:p w:rsidR="00242A77" w:rsidRPr="002D6F4B" w:rsidRDefault="00242A77" w:rsidP="00A76F4A">
      <w:pPr>
        <w:pStyle w:val="Primeiroavanodecorpodetexto2"/>
        <w:spacing w:after="0" w:line="240" w:lineRule="auto"/>
        <w:ind w:right="12"/>
        <w:jc w:val="center"/>
        <w:rPr>
          <w:rFonts w:ascii="Times New Roman" w:hAnsi="Times New Roman"/>
          <w:b/>
          <w:sz w:val="20"/>
          <w:szCs w:val="20"/>
        </w:rPr>
      </w:pPr>
      <w:bookmarkStart w:id="290" w:name="_Toc55460642"/>
      <w:bookmarkStart w:id="291" w:name="_Toc75503449"/>
      <w:r w:rsidRPr="002D6F4B">
        <w:rPr>
          <w:rFonts w:ascii="Times New Roman" w:hAnsi="Times New Roman"/>
          <w:b/>
          <w:sz w:val="20"/>
          <w:szCs w:val="20"/>
        </w:rPr>
        <w:t xml:space="preserve">Tableau </w:t>
      </w:r>
      <w:r w:rsidRPr="002D6F4B">
        <w:rPr>
          <w:rFonts w:ascii="Times New Roman" w:hAnsi="Times New Roman"/>
          <w:b/>
          <w:sz w:val="20"/>
          <w:szCs w:val="20"/>
        </w:rPr>
        <w:fldChar w:fldCharType="begin"/>
      </w:r>
      <w:r w:rsidRPr="002D6F4B">
        <w:rPr>
          <w:rFonts w:ascii="Times New Roman" w:hAnsi="Times New Roman"/>
          <w:b/>
          <w:sz w:val="20"/>
          <w:szCs w:val="20"/>
        </w:rPr>
        <w:instrText xml:space="preserve"> </w:instrText>
      </w:r>
      <w:r w:rsidR="006C5620" w:rsidRPr="002D6F4B">
        <w:rPr>
          <w:rFonts w:ascii="Times New Roman" w:hAnsi="Times New Roman"/>
          <w:b/>
          <w:sz w:val="20"/>
          <w:szCs w:val="20"/>
        </w:rPr>
        <w:instrText>SEQ</w:instrText>
      </w:r>
      <w:r w:rsidRPr="002D6F4B">
        <w:rPr>
          <w:rFonts w:ascii="Times New Roman" w:hAnsi="Times New Roman"/>
          <w:b/>
          <w:sz w:val="20"/>
          <w:szCs w:val="20"/>
        </w:rPr>
        <w:instrText xml:space="preserve"> Tableau \* ARABIC </w:instrText>
      </w:r>
      <w:r w:rsidRPr="002D6F4B">
        <w:rPr>
          <w:rFonts w:ascii="Times New Roman" w:hAnsi="Times New Roman"/>
          <w:b/>
          <w:sz w:val="20"/>
          <w:szCs w:val="20"/>
        </w:rPr>
        <w:fldChar w:fldCharType="separate"/>
      </w:r>
      <w:r w:rsidR="00D51AB3" w:rsidRPr="002D6F4B">
        <w:rPr>
          <w:rFonts w:ascii="Times New Roman" w:hAnsi="Times New Roman"/>
          <w:b/>
          <w:noProof/>
          <w:sz w:val="20"/>
          <w:szCs w:val="20"/>
        </w:rPr>
        <w:t>15</w:t>
      </w:r>
      <w:r w:rsidRPr="002D6F4B">
        <w:rPr>
          <w:rFonts w:ascii="Times New Roman" w:hAnsi="Times New Roman"/>
          <w:b/>
          <w:sz w:val="20"/>
          <w:szCs w:val="20"/>
        </w:rPr>
        <w:fldChar w:fldCharType="end"/>
      </w:r>
      <w:r w:rsidRPr="002D6F4B">
        <w:rPr>
          <w:rFonts w:ascii="Times New Roman" w:hAnsi="Times New Roman"/>
          <w:b/>
          <w:sz w:val="20"/>
          <w:szCs w:val="20"/>
        </w:rPr>
        <w:t>. Synthèse des impacts positifs de la mise en œuvre des activités du projet</w:t>
      </w:r>
      <w:bookmarkEnd w:id="290"/>
      <w:bookmarkEnd w:id="291"/>
    </w:p>
    <w:tbl>
      <w:tblPr>
        <w:tblStyle w:val="TableauGrille2-Accentuation61"/>
        <w:tblW w:w="54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8164"/>
      </w:tblGrid>
      <w:tr w:rsidR="00242A77" w:rsidRPr="00815C68" w:rsidTr="002D6F4B">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auto"/>
            </w:tcBorders>
            <w:shd w:val="clear" w:color="auto" w:fill="EDEDED" w:themeFill="accent3" w:themeFillTint="33"/>
            <w:vAlign w:val="center"/>
          </w:tcPr>
          <w:p w:rsidR="00242A77" w:rsidRPr="00815C68" w:rsidRDefault="00242A77" w:rsidP="00A76F4A">
            <w:pPr>
              <w:autoSpaceDE w:val="0"/>
              <w:autoSpaceDN w:val="0"/>
              <w:adjustRightInd w:val="0"/>
              <w:ind w:right="12"/>
              <w:jc w:val="center"/>
              <w:rPr>
                <w:rFonts w:eastAsia="Calibri"/>
                <w:color w:val="000000"/>
              </w:rPr>
            </w:pPr>
            <w:r w:rsidRPr="00815C68">
              <w:rPr>
                <w:rFonts w:eastAsia="Calibri"/>
                <w:color w:val="000000"/>
              </w:rPr>
              <w:t>Activités</w:t>
            </w:r>
          </w:p>
        </w:tc>
        <w:tc>
          <w:tcPr>
            <w:tcW w:w="7966" w:type="dxa"/>
            <w:tcBorders>
              <w:top w:val="single" w:sz="4" w:space="0" w:color="auto"/>
            </w:tcBorders>
            <w:shd w:val="clear" w:color="auto" w:fill="EDEDED" w:themeFill="accent3" w:themeFillTint="33"/>
          </w:tcPr>
          <w:p w:rsidR="00242A77" w:rsidRPr="00815C68" w:rsidRDefault="00242A77" w:rsidP="00A76F4A">
            <w:pPr>
              <w:autoSpaceDE w:val="0"/>
              <w:autoSpaceDN w:val="0"/>
              <w:adjustRightInd w:val="0"/>
              <w:ind w:right="12"/>
              <w:jc w:val="center"/>
              <w:cnfStyle w:val="100000000000" w:firstRow="1" w:lastRow="0" w:firstColumn="0" w:lastColumn="0" w:oddVBand="0" w:evenVBand="0" w:oddHBand="0" w:evenHBand="0" w:firstRowFirstColumn="0" w:firstRowLastColumn="0" w:lastRowFirstColumn="0" w:lastRowLastColumn="0"/>
              <w:rPr>
                <w:rFonts w:eastAsia="Calibri"/>
                <w:color w:val="000000"/>
              </w:rPr>
            </w:pPr>
            <w:r w:rsidRPr="00815C68">
              <w:rPr>
                <w:rFonts w:eastAsia="Calibri"/>
                <w:color w:val="000000"/>
              </w:rPr>
              <w:t>Impacts positifs majeurs du projet</w:t>
            </w:r>
          </w:p>
        </w:tc>
      </w:tr>
      <w:tr w:rsidR="00242A77" w:rsidRPr="00815C68" w:rsidTr="002D6F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8" w:type="dxa"/>
            <w:vMerge w:val="restart"/>
            <w:shd w:val="clear" w:color="auto" w:fill="FFFFFF"/>
            <w:vAlign w:val="center"/>
          </w:tcPr>
          <w:p w:rsidR="00D13ABB" w:rsidRPr="00815C68" w:rsidRDefault="00D13ABB" w:rsidP="00A76F4A">
            <w:pPr>
              <w:spacing w:before="60" w:after="60"/>
              <w:ind w:right="12"/>
              <w:jc w:val="center"/>
            </w:pPr>
            <w:r w:rsidRPr="00815C68">
              <w:rPr>
                <w:u w:val="single"/>
              </w:rPr>
              <w:t>Soutien à la production agricole</w:t>
            </w:r>
          </w:p>
          <w:p w:rsidR="00242A77" w:rsidRPr="00815C68" w:rsidRDefault="00242A77" w:rsidP="00A76F4A">
            <w:pPr>
              <w:ind w:right="12"/>
              <w:jc w:val="center"/>
              <w:rPr>
                <w:rFonts w:eastAsia="Calibri"/>
                <w:color w:val="000000"/>
              </w:rPr>
            </w:pPr>
          </w:p>
        </w:tc>
        <w:tc>
          <w:tcPr>
            <w:tcW w:w="7966" w:type="dxa"/>
            <w:shd w:val="clear" w:color="auto" w:fill="DEEAF6" w:themeFill="accent1" w:themeFillTint="33"/>
          </w:tcPr>
          <w:p w:rsidR="00242A77" w:rsidRPr="00815C68" w:rsidRDefault="005467AB" w:rsidP="00A76F4A">
            <w:pPr>
              <w:autoSpaceDE w:val="0"/>
              <w:autoSpaceDN w:val="0"/>
              <w:adjustRightInd w:val="0"/>
              <w:ind w:right="12"/>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815C68">
              <w:rPr>
                <w:rFonts w:eastAsia="Calibri"/>
                <w:b/>
              </w:rPr>
              <w:t>Phase d’exploitation</w:t>
            </w:r>
          </w:p>
        </w:tc>
      </w:tr>
      <w:tr w:rsidR="00242A77" w:rsidRPr="00815C68" w:rsidTr="002D6F4B">
        <w:trPr>
          <w:jc w:val="center"/>
        </w:trPr>
        <w:tc>
          <w:tcPr>
            <w:cnfStyle w:val="001000000000" w:firstRow="0" w:lastRow="0" w:firstColumn="1" w:lastColumn="0" w:oddVBand="0" w:evenVBand="0" w:oddHBand="0" w:evenHBand="0" w:firstRowFirstColumn="0" w:firstRowLastColumn="0" w:lastRowFirstColumn="0" w:lastRowLastColumn="0"/>
            <w:tcW w:w="1948" w:type="dxa"/>
            <w:vMerge/>
            <w:shd w:val="clear" w:color="auto" w:fill="FFFFFF"/>
            <w:vAlign w:val="center"/>
          </w:tcPr>
          <w:p w:rsidR="00242A77" w:rsidRPr="00815C68" w:rsidRDefault="00242A77" w:rsidP="00A76F4A">
            <w:pPr>
              <w:ind w:right="12"/>
              <w:rPr>
                <w:rFonts w:eastAsia="Calibri"/>
                <w:color w:val="000000"/>
              </w:rPr>
            </w:pPr>
          </w:p>
        </w:tc>
        <w:tc>
          <w:tcPr>
            <w:tcW w:w="7966" w:type="dxa"/>
          </w:tcPr>
          <w:p w:rsidR="00AF4F28" w:rsidRPr="00815C68" w:rsidRDefault="00AF4F28" w:rsidP="00A76F4A">
            <w:pPr>
              <w:ind w:right="12"/>
              <w:jc w:val="both"/>
              <w:cnfStyle w:val="000000000000" w:firstRow="0" w:lastRow="0" w:firstColumn="0" w:lastColumn="0" w:oddVBand="0" w:evenVBand="0" w:oddHBand="0" w:evenHBand="0" w:firstRowFirstColumn="0" w:firstRowLastColumn="0" w:lastRowFirstColumn="0" w:lastRowLastColumn="0"/>
            </w:pPr>
            <w:r w:rsidRPr="00815C68">
              <w:rPr>
                <w:b/>
              </w:rPr>
              <w:t>L’augmentation de la vulgarisation des techniques agricoles nouvelles</w:t>
            </w:r>
            <w:r w:rsidRPr="00815C68">
              <w:t xml:space="preserve"> contribuera à l’optimisation des rendements sans un accroissement des terres de culture en défaveur des pâturages.</w:t>
            </w:r>
          </w:p>
          <w:p w:rsidR="00FF2D0C" w:rsidRPr="00815C68" w:rsidRDefault="00FF2D0C" w:rsidP="00A76F4A">
            <w:pPr>
              <w:ind w:right="12"/>
              <w:jc w:val="both"/>
              <w:cnfStyle w:val="000000000000" w:firstRow="0" w:lastRow="0" w:firstColumn="0" w:lastColumn="0" w:oddVBand="0" w:evenVBand="0" w:oddHBand="0" w:evenHBand="0" w:firstRowFirstColumn="0" w:firstRowLastColumn="0" w:lastRowFirstColumn="0" w:lastRowLastColumn="0"/>
              <w:rPr>
                <w:b/>
              </w:rPr>
            </w:pPr>
            <w:r w:rsidRPr="00815C68">
              <w:rPr>
                <w:b/>
              </w:rPr>
              <w:t>Valorisati</w:t>
            </w:r>
            <w:r w:rsidR="009C4C9B" w:rsidRPr="00815C68">
              <w:rPr>
                <w:b/>
              </w:rPr>
              <w:t>on et Organisation dans le secteur agricole</w:t>
            </w:r>
          </w:p>
          <w:p w:rsidR="00EF2FC6" w:rsidRPr="00815C68" w:rsidRDefault="00EF2FC6"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 xml:space="preserve">Une </w:t>
            </w:r>
            <w:r w:rsidR="002E372A" w:rsidRPr="00815C68">
              <w:rPr>
                <w:rFonts w:ascii="Times New Roman" w:hAnsi="Times New Roman"/>
                <w:sz w:val="24"/>
                <w:szCs w:val="24"/>
              </w:rPr>
              <w:t xml:space="preserve">meilleure organisation du segment de la production et de la </w:t>
            </w:r>
            <w:r w:rsidR="002E372A" w:rsidRPr="00815C68">
              <w:rPr>
                <w:rFonts w:ascii="Times New Roman" w:hAnsi="Times New Roman"/>
                <w:sz w:val="24"/>
                <w:szCs w:val="24"/>
              </w:rPr>
              <w:lastRenderedPageBreak/>
              <w:t>commercialisation des noix de cajou et des produits céréalière permettra une meilleure valorisation de ces produits</w:t>
            </w:r>
            <w:r w:rsidRPr="00815C68">
              <w:rPr>
                <w:rFonts w:ascii="Times New Roman" w:hAnsi="Times New Roman"/>
                <w:sz w:val="24"/>
                <w:szCs w:val="24"/>
              </w:rPr>
              <w:t>.</w:t>
            </w:r>
          </w:p>
          <w:p w:rsidR="00FF2D0C" w:rsidRPr="00815C68" w:rsidRDefault="00657B2A"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Le</w:t>
            </w:r>
            <w:r w:rsidR="002158D2" w:rsidRPr="00815C68">
              <w:rPr>
                <w:rFonts w:ascii="Times New Roman" w:hAnsi="Times New Roman"/>
                <w:sz w:val="24"/>
                <w:szCs w:val="24"/>
              </w:rPr>
              <w:t xml:space="preserve"> projet</w:t>
            </w:r>
            <w:r w:rsidR="00FF2D0C" w:rsidRPr="00815C68">
              <w:rPr>
                <w:rFonts w:ascii="Times New Roman" w:hAnsi="Times New Roman"/>
                <w:sz w:val="24"/>
                <w:szCs w:val="24"/>
              </w:rPr>
              <w:t xml:space="preserve"> permettra de lever certaines contraintes majeures par rapport à la commercialisation des noix de cajou et de booster les cultures vivrières. </w:t>
            </w:r>
          </w:p>
          <w:p w:rsidR="00D600C9" w:rsidRPr="00815C68" w:rsidRDefault="00FF2D0C"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 xml:space="preserve">La réduction des spéculateurs dans les marchés locaux, </w:t>
            </w:r>
          </w:p>
          <w:p w:rsidR="00D600C9" w:rsidRPr="00815C68" w:rsidRDefault="00FF2D0C"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 xml:space="preserve">La restauration de la confiance des producteurs aux opérateurs à travers des mécanismes de contractualisation plus adaptés. </w:t>
            </w:r>
          </w:p>
          <w:p w:rsidR="000270FB" w:rsidRPr="002D6F4B" w:rsidRDefault="00ED2ABD" w:rsidP="002D6F4B">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 xml:space="preserve">L’intensification de la riziculture va consacrer la diversification de la production agricole permettant non seulement une autosuffisance alimentaire, mais aussi un enrichissement des zones de culture par les rotations culturales. </w:t>
            </w:r>
          </w:p>
          <w:p w:rsidR="0056439E" w:rsidRPr="00815C68" w:rsidRDefault="000270FB" w:rsidP="00A76F4A">
            <w:pPr>
              <w:ind w:right="12"/>
              <w:jc w:val="both"/>
              <w:cnfStyle w:val="000000000000" w:firstRow="0" w:lastRow="0" w:firstColumn="0" w:lastColumn="0" w:oddVBand="0" w:evenVBand="0" w:oddHBand="0" w:evenHBand="0" w:firstRowFirstColumn="0" w:firstRowLastColumn="0" w:lastRowFirstColumn="0" w:lastRowLastColumn="0"/>
              <w:rPr>
                <w:b/>
              </w:rPr>
            </w:pPr>
            <w:r w:rsidRPr="00815C68">
              <w:rPr>
                <w:b/>
              </w:rPr>
              <w:t>La fourniture de semences et d’engrais va permettre de doper le système de production agricole dans une perspective d’autosuffisance alimentaire</w:t>
            </w:r>
            <w:r w:rsidR="00946BB0" w:rsidRPr="00815C68">
              <w:rPr>
                <w:b/>
              </w:rPr>
              <w:t> ;</w:t>
            </w:r>
          </w:p>
          <w:p w:rsidR="005E07F4" w:rsidRPr="00815C68" w:rsidRDefault="0056439E" w:rsidP="00A76F4A">
            <w:pPr>
              <w:ind w:right="12"/>
              <w:jc w:val="both"/>
              <w:cnfStyle w:val="000000000000" w:firstRow="0" w:lastRow="0" w:firstColumn="0" w:lastColumn="0" w:oddVBand="0" w:evenVBand="0" w:oddHBand="0" w:evenHBand="0" w:firstRowFirstColumn="0" w:firstRowLastColumn="0" w:lastRowFirstColumn="0" w:lastRowLastColumn="0"/>
              <w:rPr>
                <w:b/>
              </w:rPr>
            </w:pPr>
            <w:r w:rsidRPr="00815C68">
              <w:rPr>
                <w:b/>
              </w:rPr>
              <w:t>Les infrastructures et équipement de production comme les motoculteurs sont un important vecteur de développement des capacités, d’amélioration de la productivité, de gain de compétitivité et finalement de développement économique et d’amélioration des conditions de vie et de revenus des producteurs</w:t>
            </w:r>
            <w:r w:rsidR="00DE58B7" w:rsidRPr="00815C68">
              <w:rPr>
                <w:b/>
              </w:rPr>
              <w:t> ;</w:t>
            </w:r>
          </w:p>
          <w:p w:rsidR="005E07F4" w:rsidRPr="00815C68" w:rsidRDefault="005E07F4" w:rsidP="00A76F4A">
            <w:pPr>
              <w:ind w:right="12"/>
              <w:jc w:val="both"/>
              <w:cnfStyle w:val="000000000000" w:firstRow="0" w:lastRow="0" w:firstColumn="0" w:lastColumn="0" w:oddVBand="0" w:evenVBand="0" w:oddHBand="0" w:evenHBand="0" w:firstRowFirstColumn="0" w:firstRowLastColumn="0" w:lastRowFirstColumn="0" w:lastRowLastColumn="0"/>
              <w:rPr>
                <w:b/>
              </w:rPr>
            </w:pPr>
            <w:r w:rsidRPr="00815C68">
              <w:rPr>
                <w:b/>
                <w:color w:val="000000"/>
                <w:lang w:eastAsia="en-US"/>
              </w:rPr>
              <w:t xml:space="preserve">Les services de conseils pour les producteurs vont consacrer </w:t>
            </w:r>
            <w:r w:rsidR="00A57DCB" w:rsidRPr="00815C68">
              <w:rPr>
                <w:b/>
                <w:color w:val="000000"/>
                <w:lang w:eastAsia="en-US"/>
              </w:rPr>
              <w:t>une meilleure maîtrise</w:t>
            </w:r>
            <w:r w:rsidRPr="00815C68">
              <w:rPr>
                <w:b/>
                <w:color w:val="000000"/>
                <w:lang w:eastAsia="en-US"/>
              </w:rPr>
              <w:t xml:space="preserve"> de la production et de la productivité des périmètres rizicoles en permettant non seulement une autosuffisance alimentaire</w:t>
            </w:r>
            <w:r w:rsidR="00DE58B7" w:rsidRPr="00815C68">
              <w:rPr>
                <w:b/>
                <w:color w:val="000000"/>
                <w:lang w:eastAsia="en-US"/>
              </w:rPr>
              <w:t> ;</w:t>
            </w:r>
          </w:p>
          <w:p w:rsidR="00A22D7A" w:rsidRPr="00815C68" w:rsidRDefault="00A22D7A" w:rsidP="00A76F4A">
            <w:pPr>
              <w:spacing w:before="120" w:after="120"/>
              <w:ind w:right="12"/>
              <w:jc w:val="both"/>
              <w:cnfStyle w:val="000000000000" w:firstRow="0" w:lastRow="0" w:firstColumn="0" w:lastColumn="0" w:oddVBand="0" w:evenVBand="0" w:oddHBand="0" w:evenHBand="0" w:firstRowFirstColumn="0" w:firstRowLastColumn="0" w:lastRowFirstColumn="0" w:lastRowLastColumn="0"/>
              <w:rPr>
                <w:rFonts w:eastAsia="Calibri"/>
                <w:b/>
              </w:rPr>
            </w:pPr>
            <w:r w:rsidRPr="00815C68">
              <w:rPr>
                <w:rFonts w:eastAsia="Calibri"/>
                <w:b/>
              </w:rPr>
              <w:t>Amélioration des conditions de vie de la population</w:t>
            </w:r>
            <w:r w:rsidR="004D72D2" w:rsidRPr="00815C68">
              <w:rPr>
                <w:rFonts w:eastAsia="Calibri"/>
                <w:b/>
              </w:rPr>
              <w:t> :</w:t>
            </w:r>
          </w:p>
          <w:p w:rsidR="00D13ABB" w:rsidRPr="00815C68" w:rsidRDefault="006072CD"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la réduction</w:t>
            </w:r>
            <w:r w:rsidR="00ED0CB3" w:rsidRPr="00815C68">
              <w:rPr>
                <w:rFonts w:ascii="Times New Roman" w:hAnsi="Times New Roman"/>
                <w:sz w:val="24"/>
                <w:szCs w:val="24"/>
              </w:rPr>
              <w:t xml:space="preserve"> de la pauvreté au niveau des populations vulnérables exposées à l</w:t>
            </w:r>
            <w:r w:rsidR="00A05714" w:rsidRPr="00815C68">
              <w:rPr>
                <w:rFonts w:ascii="Times New Roman" w:hAnsi="Times New Roman"/>
                <w:sz w:val="24"/>
                <w:szCs w:val="24"/>
              </w:rPr>
              <w:t>’</w:t>
            </w:r>
            <w:r w:rsidR="00ED0CB3" w:rsidRPr="00815C68">
              <w:rPr>
                <w:rFonts w:ascii="Times New Roman" w:hAnsi="Times New Roman"/>
                <w:sz w:val="24"/>
                <w:szCs w:val="24"/>
              </w:rPr>
              <w:t>insécurité alimentaire</w:t>
            </w:r>
          </w:p>
          <w:p w:rsidR="00A8277E" w:rsidRPr="00815C68" w:rsidRDefault="00A8277E"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l</w:t>
            </w:r>
            <w:r w:rsidR="00A05714" w:rsidRPr="00815C68">
              <w:rPr>
                <w:rFonts w:ascii="Times New Roman" w:hAnsi="Times New Roman"/>
                <w:sz w:val="24"/>
                <w:szCs w:val="24"/>
              </w:rPr>
              <w:t>’</w:t>
            </w:r>
            <w:r w:rsidRPr="00815C68">
              <w:rPr>
                <w:rFonts w:ascii="Times New Roman" w:hAnsi="Times New Roman"/>
                <w:sz w:val="24"/>
                <w:szCs w:val="24"/>
              </w:rPr>
              <w:t>amélioration des conditions de vie des agriculteurs ;</w:t>
            </w:r>
          </w:p>
          <w:p w:rsidR="00A8277E" w:rsidRPr="00815C68" w:rsidRDefault="00A8277E"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la sédentarisation des populations à la recherche de terre appropriées à leur choix de culture ;</w:t>
            </w:r>
          </w:p>
          <w:p w:rsidR="00A8277E" w:rsidRPr="00815C68" w:rsidRDefault="00A8277E"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l</w:t>
            </w:r>
            <w:r w:rsidR="00A05714" w:rsidRPr="00815C68">
              <w:rPr>
                <w:rFonts w:ascii="Times New Roman" w:hAnsi="Times New Roman"/>
                <w:sz w:val="24"/>
                <w:szCs w:val="24"/>
              </w:rPr>
              <w:t>’</w:t>
            </w:r>
            <w:r w:rsidRPr="00815C68">
              <w:rPr>
                <w:rFonts w:ascii="Times New Roman" w:hAnsi="Times New Roman"/>
                <w:sz w:val="24"/>
                <w:szCs w:val="24"/>
              </w:rPr>
              <w:t>amélioration de la santé des populations ;</w:t>
            </w:r>
          </w:p>
          <w:p w:rsidR="00A8277E" w:rsidRPr="00815C68" w:rsidRDefault="00A8277E"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la réduction des conflits d</w:t>
            </w:r>
            <w:r w:rsidR="00A05714" w:rsidRPr="00815C68">
              <w:rPr>
                <w:rFonts w:ascii="Times New Roman" w:hAnsi="Times New Roman"/>
                <w:sz w:val="24"/>
                <w:szCs w:val="24"/>
              </w:rPr>
              <w:t>’</w:t>
            </w:r>
            <w:r w:rsidRPr="00815C68">
              <w:rPr>
                <w:rFonts w:ascii="Times New Roman" w:hAnsi="Times New Roman"/>
                <w:sz w:val="24"/>
                <w:szCs w:val="24"/>
              </w:rPr>
              <w:t>usages et d</w:t>
            </w:r>
            <w:r w:rsidR="00A05714" w:rsidRPr="00815C68">
              <w:rPr>
                <w:rFonts w:ascii="Times New Roman" w:hAnsi="Times New Roman"/>
                <w:sz w:val="24"/>
                <w:szCs w:val="24"/>
              </w:rPr>
              <w:t>’</w:t>
            </w:r>
            <w:r w:rsidRPr="00815C68">
              <w:rPr>
                <w:rFonts w:ascii="Times New Roman" w:hAnsi="Times New Roman"/>
                <w:sz w:val="24"/>
                <w:szCs w:val="24"/>
              </w:rPr>
              <w:t>exploitation entre les éleveurs, les agriculteurs et les transhumants ;</w:t>
            </w:r>
          </w:p>
          <w:p w:rsidR="00A8277E" w:rsidRPr="00815C68" w:rsidRDefault="00A8277E"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 xml:space="preserve">Au renforcement des capacités financières des bénéficiaires pour mieux lutter contre la pauvreté </w:t>
            </w:r>
          </w:p>
          <w:p w:rsidR="00A8277E" w:rsidRPr="00815C68" w:rsidRDefault="00A8277E"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l’amélioration de la situation nutritionnelle des populations ;</w:t>
            </w:r>
          </w:p>
          <w:p w:rsidR="00A8277E" w:rsidRPr="00815C68" w:rsidRDefault="00A8277E"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l</w:t>
            </w:r>
            <w:r w:rsidR="00A05714" w:rsidRPr="00815C68">
              <w:rPr>
                <w:rFonts w:ascii="Times New Roman" w:hAnsi="Times New Roman"/>
                <w:sz w:val="24"/>
                <w:szCs w:val="24"/>
              </w:rPr>
              <w:t>’</w:t>
            </w:r>
            <w:r w:rsidRPr="00815C68">
              <w:rPr>
                <w:rFonts w:ascii="Times New Roman" w:hAnsi="Times New Roman"/>
                <w:sz w:val="24"/>
                <w:szCs w:val="24"/>
              </w:rPr>
              <w:t>amélioration des revenues financières des femmes.</w:t>
            </w:r>
          </w:p>
          <w:p w:rsidR="00DD349E" w:rsidRPr="00815C68" w:rsidRDefault="002D26DF"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A</w:t>
            </w:r>
            <w:r w:rsidR="00986050" w:rsidRPr="00815C68">
              <w:rPr>
                <w:rFonts w:ascii="Times New Roman" w:hAnsi="Times New Roman"/>
                <w:sz w:val="24"/>
                <w:szCs w:val="24"/>
              </w:rPr>
              <w:t>u</w:t>
            </w:r>
            <w:r w:rsidR="00307584" w:rsidRPr="00815C68">
              <w:rPr>
                <w:rFonts w:ascii="Times New Roman" w:hAnsi="Times New Roman"/>
                <w:sz w:val="24"/>
                <w:szCs w:val="24"/>
              </w:rPr>
              <w:t xml:space="preserve"> renforcement</w:t>
            </w:r>
            <w:r w:rsidR="00D07ED8" w:rsidRPr="00815C68">
              <w:rPr>
                <w:rFonts w:ascii="Times New Roman" w:hAnsi="Times New Roman"/>
                <w:sz w:val="24"/>
                <w:szCs w:val="24"/>
              </w:rPr>
              <w:t xml:space="preserve"> des capacités et des formations pour les femmes </w:t>
            </w:r>
            <w:r w:rsidR="00CE5D9C" w:rsidRPr="00815C68">
              <w:rPr>
                <w:rFonts w:ascii="Times New Roman" w:hAnsi="Times New Roman"/>
                <w:sz w:val="24"/>
                <w:szCs w:val="24"/>
              </w:rPr>
              <w:t xml:space="preserve">dans les activités </w:t>
            </w:r>
            <w:r w:rsidR="00693449" w:rsidRPr="00815C68">
              <w:rPr>
                <w:rFonts w:ascii="Times New Roman" w:hAnsi="Times New Roman"/>
                <w:sz w:val="24"/>
                <w:szCs w:val="24"/>
              </w:rPr>
              <w:t>de transformation des produits agricoles ;</w:t>
            </w:r>
          </w:p>
          <w:p w:rsidR="005A2583" w:rsidRPr="00815C68" w:rsidRDefault="005A2583" w:rsidP="00A76F4A">
            <w:pPr>
              <w:spacing w:before="120" w:after="120"/>
              <w:ind w:right="12"/>
              <w:jc w:val="both"/>
              <w:cnfStyle w:val="000000000000" w:firstRow="0" w:lastRow="0" w:firstColumn="0" w:lastColumn="0" w:oddVBand="0" w:evenVBand="0" w:oddHBand="0" w:evenHBand="0" w:firstRowFirstColumn="0" w:firstRowLastColumn="0" w:lastRowFirstColumn="0" w:lastRowLastColumn="0"/>
              <w:rPr>
                <w:rFonts w:eastAsia="Calibri"/>
                <w:b/>
              </w:rPr>
            </w:pPr>
            <w:r w:rsidRPr="00815C68">
              <w:rPr>
                <w:rFonts w:eastAsia="Calibri"/>
                <w:b/>
              </w:rPr>
              <w:t>Appui à la mise en valeur et renforcement des capacités</w:t>
            </w:r>
            <w:r w:rsidR="008B2539" w:rsidRPr="00815C68">
              <w:rPr>
                <w:rFonts w:eastAsia="Calibri"/>
                <w:b/>
              </w:rPr>
              <w:t xml:space="preserve"> permettra :</w:t>
            </w:r>
          </w:p>
          <w:p w:rsidR="00013844" w:rsidRPr="00815C68" w:rsidRDefault="00013844"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assurer une production suffisante et permanente des produits agricoles (produit vivrière) ;</w:t>
            </w:r>
          </w:p>
          <w:p w:rsidR="00013844" w:rsidRPr="00815C68" w:rsidRDefault="00013844"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assurer l</w:t>
            </w:r>
            <w:r w:rsidR="00A05714" w:rsidRPr="00815C68">
              <w:rPr>
                <w:rFonts w:ascii="Times New Roman" w:hAnsi="Times New Roman"/>
                <w:sz w:val="24"/>
                <w:szCs w:val="24"/>
              </w:rPr>
              <w:t>’</w:t>
            </w:r>
            <w:r w:rsidRPr="00815C68">
              <w:rPr>
                <w:rFonts w:ascii="Times New Roman" w:hAnsi="Times New Roman"/>
                <w:sz w:val="24"/>
                <w:szCs w:val="24"/>
              </w:rPr>
              <w:t>accès à une ligne de crédit aux petits producteurs et aux GIE ou fédération ;</w:t>
            </w:r>
          </w:p>
          <w:p w:rsidR="00013844" w:rsidRPr="00815C68" w:rsidRDefault="00013844"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À l</w:t>
            </w:r>
            <w:r w:rsidR="00A05714" w:rsidRPr="00815C68">
              <w:rPr>
                <w:rFonts w:ascii="Times New Roman" w:hAnsi="Times New Roman"/>
                <w:sz w:val="24"/>
                <w:szCs w:val="24"/>
              </w:rPr>
              <w:t>’</w:t>
            </w:r>
            <w:r w:rsidRPr="00815C68">
              <w:rPr>
                <w:rFonts w:ascii="Times New Roman" w:hAnsi="Times New Roman"/>
                <w:sz w:val="24"/>
                <w:szCs w:val="24"/>
              </w:rPr>
              <w:t>amélioration des connaissances concernant les techniques de transformation et de conservation des filières prioritaires pour atteindre la sécurité alimentaire dans le pays ;</w:t>
            </w:r>
          </w:p>
          <w:p w:rsidR="00013844" w:rsidRPr="00815C68" w:rsidRDefault="00013844"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A l’augmentation d’une bonne prise en compte des effets néfastes des changements climatiques ;</w:t>
            </w:r>
          </w:p>
          <w:p w:rsidR="00013844" w:rsidRPr="00815C68" w:rsidRDefault="00013844"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A l’Intensification de la production et optimisation des rendements ;</w:t>
            </w:r>
          </w:p>
          <w:p w:rsidR="00013844" w:rsidRPr="00815C68" w:rsidRDefault="00013844"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lastRenderedPageBreak/>
              <w:t>À encourager la volonté d</w:t>
            </w:r>
            <w:r w:rsidR="00A05714" w:rsidRPr="00815C68">
              <w:rPr>
                <w:rFonts w:ascii="Times New Roman" w:hAnsi="Times New Roman"/>
                <w:sz w:val="24"/>
                <w:szCs w:val="24"/>
              </w:rPr>
              <w:t>’</w:t>
            </w:r>
            <w:r w:rsidRPr="00815C68">
              <w:rPr>
                <w:rFonts w:ascii="Times New Roman" w:hAnsi="Times New Roman"/>
                <w:sz w:val="24"/>
                <w:szCs w:val="24"/>
              </w:rPr>
              <w:t>entreprenariat chez les jeunes et les femmes (leadership des femmes et des jeunes)</w:t>
            </w:r>
            <w:r w:rsidR="00C820ED" w:rsidRPr="00815C68">
              <w:rPr>
                <w:rFonts w:ascii="Times New Roman" w:hAnsi="Times New Roman"/>
                <w:sz w:val="24"/>
                <w:szCs w:val="24"/>
              </w:rPr>
              <w:t xml:space="preserve"> dans les </w:t>
            </w:r>
            <w:r w:rsidR="001E62AF" w:rsidRPr="00815C68">
              <w:rPr>
                <w:rFonts w:ascii="Times New Roman" w:hAnsi="Times New Roman"/>
                <w:sz w:val="24"/>
                <w:szCs w:val="24"/>
              </w:rPr>
              <w:t>activités</w:t>
            </w:r>
            <w:r w:rsidR="00C820ED" w:rsidRPr="00815C68">
              <w:rPr>
                <w:rFonts w:ascii="Times New Roman" w:hAnsi="Times New Roman"/>
                <w:sz w:val="24"/>
                <w:szCs w:val="24"/>
              </w:rPr>
              <w:t xml:space="preserve"> </w:t>
            </w:r>
            <w:r w:rsidR="001E62AF" w:rsidRPr="00815C68">
              <w:rPr>
                <w:rFonts w:ascii="Times New Roman" w:hAnsi="Times New Roman"/>
                <w:sz w:val="24"/>
                <w:szCs w:val="24"/>
              </w:rPr>
              <w:t>de développement</w:t>
            </w:r>
            <w:r w:rsidRPr="00815C68">
              <w:rPr>
                <w:rFonts w:ascii="Times New Roman" w:hAnsi="Times New Roman"/>
                <w:sz w:val="24"/>
                <w:szCs w:val="24"/>
              </w:rPr>
              <w:t> ;</w:t>
            </w:r>
          </w:p>
          <w:p w:rsidR="00A3430B" w:rsidRPr="00815C68" w:rsidRDefault="00B53FF4"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 xml:space="preserve">À </w:t>
            </w:r>
            <w:r w:rsidR="008B2539" w:rsidRPr="00815C68">
              <w:rPr>
                <w:rFonts w:ascii="Times New Roman" w:hAnsi="Times New Roman"/>
                <w:sz w:val="24"/>
                <w:szCs w:val="24"/>
              </w:rPr>
              <w:t xml:space="preserve">avoir une </w:t>
            </w:r>
            <w:r w:rsidRPr="00815C68">
              <w:rPr>
                <w:rFonts w:ascii="Times New Roman" w:hAnsi="Times New Roman"/>
                <w:sz w:val="24"/>
                <w:szCs w:val="24"/>
              </w:rPr>
              <w:t>meilleure maîtrise de la production et de la productivité des périmètres rizicoles et d’anacardiers en permettant non seulement une autosuffisance alimentaire, mais aussi une préservation des zones de culture par l</w:t>
            </w:r>
            <w:r w:rsidR="00A05714" w:rsidRPr="00815C68">
              <w:rPr>
                <w:rFonts w:ascii="Times New Roman" w:hAnsi="Times New Roman"/>
                <w:sz w:val="24"/>
                <w:szCs w:val="24"/>
              </w:rPr>
              <w:t>’</w:t>
            </w:r>
            <w:r w:rsidRPr="00815C68">
              <w:rPr>
                <w:rFonts w:ascii="Times New Roman" w:hAnsi="Times New Roman"/>
                <w:sz w:val="24"/>
                <w:szCs w:val="24"/>
              </w:rPr>
              <w:t xml:space="preserve">intégration de mesures environnementales de protection des milieux sensibles. </w:t>
            </w:r>
          </w:p>
          <w:p w:rsidR="00D5504E" w:rsidRPr="00815C68" w:rsidRDefault="009151BA" w:rsidP="00A76F4A">
            <w:pPr>
              <w:pStyle w:val="PargrafodaLista"/>
              <w:numPr>
                <w:ilvl w:val="0"/>
                <w:numId w:val="59"/>
              </w:numPr>
              <w:spacing w:after="0" w:line="240" w:lineRule="auto"/>
              <w:ind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C68">
              <w:rPr>
                <w:rFonts w:ascii="Times New Roman" w:hAnsi="Times New Roman"/>
                <w:sz w:val="24"/>
                <w:szCs w:val="24"/>
              </w:rPr>
              <w:t xml:space="preserve">A </w:t>
            </w:r>
            <w:r w:rsidR="00B53FF4" w:rsidRPr="00815C68">
              <w:rPr>
                <w:rFonts w:ascii="Times New Roman" w:hAnsi="Times New Roman"/>
                <w:sz w:val="24"/>
                <w:szCs w:val="24"/>
              </w:rPr>
              <w:t>La vulgarisation de techniques agricoles nouvelles contribuera à l’optimisation des rendements</w:t>
            </w:r>
            <w:r w:rsidR="00926390" w:rsidRPr="00815C68">
              <w:rPr>
                <w:rFonts w:ascii="Times New Roman" w:hAnsi="Times New Roman"/>
                <w:sz w:val="24"/>
                <w:szCs w:val="24"/>
              </w:rPr>
              <w:t> ;</w:t>
            </w:r>
          </w:p>
          <w:p w:rsidR="00743B4B" w:rsidRPr="00815C68" w:rsidRDefault="00D5504E" w:rsidP="00A76F4A">
            <w:pPr>
              <w:spacing w:before="120" w:after="120"/>
              <w:ind w:right="12"/>
              <w:jc w:val="both"/>
              <w:cnfStyle w:val="000000000000" w:firstRow="0" w:lastRow="0" w:firstColumn="0" w:lastColumn="0" w:oddVBand="0" w:evenVBand="0" w:oddHBand="0" w:evenHBand="0" w:firstRowFirstColumn="0" w:firstRowLastColumn="0" w:lastRowFirstColumn="0" w:lastRowLastColumn="0"/>
              <w:rPr>
                <w:b/>
              </w:rPr>
            </w:pPr>
            <w:r w:rsidRPr="00815C68">
              <w:rPr>
                <w:rFonts w:eastAsia="Calibri"/>
                <w:b/>
              </w:rPr>
              <w:t>Le projet va favoriser la prise en compte des aspects du genre et du processus d’intégration des notions d’équité dans l’exécution des activités</w:t>
            </w:r>
            <w:r w:rsidRPr="00815C68" w:rsidDel="00D5504E">
              <w:t xml:space="preserve"> </w:t>
            </w:r>
          </w:p>
        </w:tc>
      </w:tr>
      <w:tr w:rsidR="00242A77" w:rsidRPr="00815C68" w:rsidTr="002D6F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8" w:type="dxa"/>
            <w:vMerge w:val="restart"/>
            <w:shd w:val="clear" w:color="auto" w:fill="FFFFFF"/>
            <w:vAlign w:val="center"/>
          </w:tcPr>
          <w:p w:rsidR="00242A77" w:rsidRPr="00815C68" w:rsidRDefault="00F500AC" w:rsidP="00A76F4A">
            <w:pPr>
              <w:widowControl w:val="0"/>
              <w:autoSpaceDE w:val="0"/>
              <w:autoSpaceDN w:val="0"/>
              <w:adjustRightInd w:val="0"/>
              <w:spacing w:after="240"/>
              <w:ind w:right="12"/>
              <w:jc w:val="center"/>
              <w:rPr>
                <w:rFonts w:eastAsia="Calibri"/>
                <w:color w:val="000000"/>
              </w:rPr>
            </w:pPr>
            <w:r w:rsidRPr="00815C68">
              <w:rPr>
                <w:u w:val="single"/>
              </w:rPr>
              <w:lastRenderedPageBreak/>
              <w:t>Soutien aux Filets de Sécurité communautaires (</w:t>
            </w:r>
            <w:r w:rsidRPr="00815C68">
              <w:t>la réhabilitation des structures de stockage, l</w:t>
            </w:r>
            <w:r w:rsidR="00A05714" w:rsidRPr="00815C68">
              <w:t>’</w:t>
            </w:r>
            <w:r w:rsidRPr="00815C68">
              <w:t>ouverture de routes d</w:t>
            </w:r>
            <w:r w:rsidR="00A05714" w:rsidRPr="00815C68">
              <w:t>’</w:t>
            </w:r>
            <w:r w:rsidRPr="00815C68">
              <w:t>accès aux zones de production agricole, la construction de marchés locaux, etc.)</w:t>
            </w:r>
          </w:p>
        </w:tc>
        <w:tc>
          <w:tcPr>
            <w:tcW w:w="7966" w:type="dxa"/>
            <w:shd w:val="clear" w:color="auto" w:fill="DEEAF6" w:themeFill="accent1" w:themeFillTint="33"/>
          </w:tcPr>
          <w:p w:rsidR="00242A77" w:rsidRPr="00815C68" w:rsidRDefault="00C657BD" w:rsidP="00A76F4A">
            <w:pPr>
              <w:autoSpaceDE w:val="0"/>
              <w:autoSpaceDN w:val="0"/>
              <w:adjustRightInd w:val="0"/>
              <w:ind w:right="12"/>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815C68">
              <w:rPr>
                <w:rFonts w:eastAsia="Calibri"/>
                <w:b/>
              </w:rPr>
              <w:t xml:space="preserve">Phase de mise en </w:t>
            </w:r>
            <w:r w:rsidR="00577DA3" w:rsidRPr="00815C68">
              <w:rPr>
                <w:rFonts w:eastAsia="Calibri"/>
                <w:b/>
              </w:rPr>
              <w:t>œuvre du projet</w:t>
            </w:r>
          </w:p>
        </w:tc>
      </w:tr>
      <w:tr w:rsidR="00490203" w:rsidRPr="00815C68" w:rsidTr="002D6F4B">
        <w:trPr>
          <w:jc w:val="center"/>
        </w:trPr>
        <w:tc>
          <w:tcPr>
            <w:cnfStyle w:val="001000000000" w:firstRow="0" w:lastRow="0" w:firstColumn="1" w:lastColumn="0" w:oddVBand="0" w:evenVBand="0" w:oddHBand="0" w:evenHBand="0" w:firstRowFirstColumn="0" w:firstRowLastColumn="0" w:lastRowFirstColumn="0" w:lastRowLastColumn="0"/>
            <w:tcW w:w="1948" w:type="dxa"/>
            <w:vMerge/>
            <w:shd w:val="clear" w:color="auto" w:fill="FFFFFF"/>
            <w:vAlign w:val="center"/>
          </w:tcPr>
          <w:p w:rsidR="00490203" w:rsidRPr="00815C68" w:rsidRDefault="00490203" w:rsidP="00A76F4A">
            <w:pPr>
              <w:widowControl w:val="0"/>
              <w:autoSpaceDE w:val="0"/>
              <w:autoSpaceDN w:val="0"/>
              <w:adjustRightInd w:val="0"/>
              <w:spacing w:after="240"/>
              <w:ind w:right="12"/>
              <w:rPr>
                <w:b w:val="0"/>
                <w:u w:val="single"/>
              </w:rPr>
            </w:pPr>
          </w:p>
        </w:tc>
        <w:tc>
          <w:tcPr>
            <w:tcW w:w="7966" w:type="dxa"/>
            <w:shd w:val="clear" w:color="auto" w:fill="auto"/>
          </w:tcPr>
          <w:p w:rsidR="00490203" w:rsidRPr="00815C68" w:rsidRDefault="00A644B1" w:rsidP="00A76F4A">
            <w:pPr>
              <w:numPr>
                <w:ilvl w:val="0"/>
                <w:numId w:val="59"/>
              </w:numPr>
              <w:ind w:right="12"/>
              <w:jc w:val="both"/>
              <w:cnfStyle w:val="000000000000" w:firstRow="0" w:lastRow="0" w:firstColumn="0" w:lastColumn="0" w:oddVBand="0" w:evenVBand="0" w:oddHBand="0" w:evenHBand="0" w:firstRowFirstColumn="0" w:firstRowLastColumn="0" w:lastRowFirstColumn="0" w:lastRowLastColumn="0"/>
              <w:rPr>
                <w:b/>
                <w:bCs/>
                <w:i/>
                <w:iCs/>
              </w:rPr>
            </w:pPr>
            <w:r w:rsidRPr="00815C68">
              <w:rPr>
                <w:rFonts w:eastAsia="Calibri"/>
              </w:rPr>
              <w:t>Opportunités d’affaires pour des opérateurs économiques privés</w:t>
            </w:r>
          </w:p>
          <w:p w:rsidR="00775F7B" w:rsidRPr="00815C68" w:rsidRDefault="006F50F7" w:rsidP="00A76F4A">
            <w:pPr>
              <w:numPr>
                <w:ilvl w:val="0"/>
                <w:numId w:val="59"/>
              </w:numPr>
              <w:ind w:right="12"/>
              <w:jc w:val="both"/>
              <w:cnfStyle w:val="000000000000" w:firstRow="0" w:lastRow="0" w:firstColumn="0" w:lastColumn="0" w:oddVBand="0" w:evenVBand="0" w:oddHBand="0" w:evenHBand="0" w:firstRowFirstColumn="0" w:firstRowLastColumn="0" w:lastRowFirstColumn="0" w:lastRowLastColumn="0"/>
              <w:rPr>
                <w:bCs/>
                <w:iCs/>
              </w:rPr>
            </w:pPr>
            <w:r w:rsidRPr="00815C68">
              <w:rPr>
                <w:bCs/>
                <w:iCs/>
              </w:rPr>
              <w:t xml:space="preserve">Le programme « travail contre nourriture » ou « vivres contre travail » favorisera la réalisation de travaux communautaires et permet aux volontaires d’avoir un emploi temporaire. </w:t>
            </w:r>
          </w:p>
        </w:tc>
      </w:tr>
      <w:tr w:rsidR="00490203" w:rsidRPr="00815C68" w:rsidTr="002D6F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8" w:type="dxa"/>
            <w:vMerge/>
            <w:shd w:val="clear" w:color="auto" w:fill="FFFFFF"/>
            <w:vAlign w:val="center"/>
          </w:tcPr>
          <w:p w:rsidR="00490203" w:rsidRPr="00815C68" w:rsidRDefault="00490203" w:rsidP="00A76F4A">
            <w:pPr>
              <w:widowControl w:val="0"/>
              <w:autoSpaceDE w:val="0"/>
              <w:autoSpaceDN w:val="0"/>
              <w:adjustRightInd w:val="0"/>
              <w:spacing w:after="240"/>
              <w:ind w:right="12"/>
              <w:rPr>
                <w:b w:val="0"/>
                <w:u w:val="single"/>
              </w:rPr>
            </w:pPr>
          </w:p>
        </w:tc>
        <w:tc>
          <w:tcPr>
            <w:tcW w:w="7966" w:type="dxa"/>
            <w:shd w:val="clear" w:color="auto" w:fill="DEEAF6" w:themeFill="accent1" w:themeFillTint="33"/>
          </w:tcPr>
          <w:p w:rsidR="00490203" w:rsidRPr="00815C68" w:rsidRDefault="00A644B1" w:rsidP="00A76F4A">
            <w:pPr>
              <w:autoSpaceDE w:val="0"/>
              <w:autoSpaceDN w:val="0"/>
              <w:adjustRightInd w:val="0"/>
              <w:ind w:right="12"/>
              <w:jc w:val="center"/>
              <w:cnfStyle w:val="000000100000" w:firstRow="0" w:lastRow="0" w:firstColumn="0" w:lastColumn="0" w:oddVBand="0" w:evenVBand="0" w:oddHBand="1" w:evenHBand="0" w:firstRowFirstColumn="0" w:firstRowLastColumn="0" w:lastRowFirstColumn="0" w:lastRowLastColumn="0"/>
              <w:rPr>
                <w:rFonts w:eastAsia="Calibri"/>
                <w:b/>
              </w:rPr>
            </w:pPr>
            <w:r w:rsidRPr="00815C68">
              <w:rPr>
                <w:rFonts w:eastAsia="Calibri"/>
                <w:b/>
              </w:rPr>
              <w:t>Phase d’exploitation</w:t>
            </w:r>
          </w:p>
        </w:tc>
      </w:tr>
      <w:tr w:rsidR="00242A77" w:rsidRPr="00815C68" w:rsidTr="002D6F4B">
        <w:trPr>
          <w:trHeight w:val="390"/>
          <w:jc w:val="center"/>
        </w:trPr>
        <w:tc>
          <w:tcPr>
            <w:cnfStyle w:val="001000000000" w:firstRow="0" w:lastRow="0" w:firstColumn="1" w:lastColumn="0" w:oddVBand="0" w:evenVBand="0" w:oddHBand="0" w:evenHBand="0" w:firstRowFirstColumn="0" w:firstRowLastColumn="0" w:lastRowFirstColumn="0" w:lastRowLastColumn="0"/>
            <w:tcW w:w="1948" w:type="dxa"/>
            <w:vMerge/>
            <w:shd w:val="clear" w:color="auto" w:fill="FFFFFF"/>
            <w:vAlign w:val="center"/>
          </w:tcPr>
          <w:p w:rsidR="00242A77" w:rsidRPr="00815C68" w:rsidRDefault="00242A77" w:rsidP="00A76F4A">
            <w:pPr>
              <w:ind w:right="12"/>
              <w:rPr>
                <w:rFonts w:eastAsia="Calibri"/>
                <w:color w:val="000000"/>
              </w:rPr>
            </w:pPr>
          </w:p>
        </w:tc>
        <w:tc>
          <w:tcPr>
            <w:tcW w:w="7966" w:type="dxa"/>
            <w:shd w:val="clear" w:color="auto" w:fill="FFFFFF"/>
          </w:tcPr>
          <w:p w:rsidR="00242A77" w:rsidRPr="00815C68" w:rsidRDefault="00242A77" w:rsidP="00A76F4A">
            <w:pPr>
              <w:numPr>
                <w:ilvl w:val="0"/>
                <w:numId w:val="59"/>
              </w:numPr>
              <w:ind w:right="12"/>
              <w:jc w:val="both"/>
              <w:cnfStyle w:val="000000000000" w:firstRow="0" w:lastRow="0" w:firstColumn="0" w:lastColumn="0" w:oddVBand="0" w:evenVBand="0" w:oddHBand="0" w:evenHBand="0" w:firstRowFirstColumn="0" w:firstRowLastColumn="0" w:lastRowFirstColumn="0" w:lastRowLastColumn="0"/>
              <w:rPr>
                <w:rFonts w:eastAsia="Calibri"/>
                <w:b/>
              </w:rPr>
            </w:pPr>
            <w:r w:rsidRPr="00815C68">
              <w:rPr>
                <w:rFonts w:eastAsia="Calibri"/>
                <w:b/>
              </w:rPr>
              <w:t xml:space="preserve">Opportunités d’emplois </w:t>
            </w:r>
          </w:p>
          <w:p w:rsidR="00242A77" w:rsidRPr="00815C68" w:rsidRDefault="00242A77" w:rsidP="00A76F4A">
            <w:pPr>
              <w:numPr>
                <w:ilvl w:val="0"/>
                <w:numId w:val="59"/>
              </w:numPr>
              <w:ind w:right="12"/>
              <w:jc w:val="both"/>
              <w:cnfStyle w:val="000000000000" w:firstRow="0" w:lastRow="0" w:firstColumn="0" w:lastColumn="0" w:oddVBand="0" w:evenVBand="0" w:oddHBand="0" w:evenHBand="0" w:firstRowFirstColumn="0" w:firstRowLastColumn="0" w:lastRowFirstColumn="0" w:lastRowLastColumn="0"/>
              <w:rPr>
                <w:rFonts w:eastAsia="Calibri"/>
                <w:b/>
              </w:rPr>
            </w:pPr>
            <w:r w:rsidRPr="00815C68">
              <w:rPr>
                <w:rFonts w:eastAsia="Calibri"/>
                <w:b/>
              </w:rPr>
              <w:t xml:space="preserve">Amélioration des conditions socio-économiques </w:t>
            </w:r>
          </w:p>
          <w:p w:rsidR="008522F8" w:rsidRPr="00815C68" w:rsidRDefault="002915D8" w:rsidP="00A76F4A">
            <w:pPr>
              <w:numPr>
                <w:ilvl w:val="0"/>
                <w:numId w:val="59"/>
              </w:numPr>
              <w:ind w:right="12"/>
              <w:jc w:val="both"/>
              <w:cnfStyle w:val="000000000000" w:firstRow="0" w:lastRow="0" w:firstColumn="0" w:lastColumn="0" w:oddVBand="0" w:evenVBand="0" w:oddHBand="0" w:evenHBand="0" w:firstRowFirstColumn="0" w:firstRowLastColumn="0" w:lastRowFirstColumn="0" w:lastRowLastColumn="0"/>
              <w:rPr>
                <w:rFonts w:eastAsia="Calibri"/>
                <w:b/>
              </w:rPr>
            </w:pPr>
            <w:r w:rsidRPr="00815C68">
              <w:rPr>
                <w:rFonts w:eastAsia="Calibri"/>
              </w:rPr>
              <w:t>L’</w:t>
            </w:r>
            <w:r w:rsidR="008522F8" w:rsidRPr="00815C68">
              <w:rPr>
                <w:rFonts w:eastAsia="Calibri"/>
              </w:rPr>
              <w:t>impulser un développement quantitatif et qualita</w:t>
            </w:r>
            <w:r w:rsidRPr="00815C68">
              <w:rPr>
                <w:rFonts w:eastAsia="Calibri"/>
              </w:rPr>
              <w:t>tif de la gestion des affaires ;</w:t>
            </w:r>
          </w:p>
          <w:p w:rsidR="00242A77" w:rsidRPr="00815C68" w:rsidRDefault="00242A77" w:rsidP="00A76F4A">
            <w:pPr>
              <w:numPr>
                <w:ilvl w:val="0"/>
                <w:numId w:val="59"/>
              </w:numPr>
              <w:ind w:right="12"/>
              <w:jc w:val="both"/>
              <w:cnfStyle w:val="000000000000" w:firstRow="0" w:lastRow="0" w:firstColumn="0" w:lastColumn="0" w:oddVBand="0" w:evenVBand="0" w:oddHBand="0" w:evenHBand="0" w:firstRowFirstColumn="0" w:firstRowLastColumn="0" w:lastRowFirstColumn="0" w:lastRowLastColumn="0"/>
              <w:rPr>
                <w:rFonts w:eastAsia="Calibri"/>
              </w:rPr>
            </w:pPr>
            <w:r w:rsidRPr="00815C68">
              <w:rPr>
                <w:rFonts w:eastAsia="Calibri"/>
              </w:rPr>
              <w:t>Intensification de la production et optimisation des rendements</w:t>
            </w:r>
          </w:p>
          <w:p w:rsidR="00AD3050" w:rsidRPr="00815C68" w:rsidRDefault="000E0C71" w:rsidP="00A76F4A">
            <w:pPr>
              <w:numPr>
                <w:ilvl w:val="0"/>
                <w:numId w:val="59"/>
              </w:numPr>
              <w:ind w:right="12"/>
              <w:jc w:val="both"/>
              <w:cnfStyle w:val="000000000000" w:firstRow="0" w:lastRow="0" w:firstColumn="0" w:lastColumn="0" w:oddVBand="0" w:evenVBand="0" w:oddHBand="0" w:evenHBand="0" w:firstRowFirstColumn="0" w:firstRowLastColumn="0" w:lastRowFirstColumn="0" w:lastRowLastColumn="0"/>
              <w:rPr>
                <w:rFonts w:eastAsia="Calibri"/>
              </w:rPr>
            </w:pPr>
            <w:r w:rsidRPr="00815C68">
              <w:rPr>
                <w:rFonts w:eastAsia="Calibri"/>
              </w:rPr>
              <w:t xml:space="preserve">Les </w:t>
            </w:r>
            <w:r w:rsidR="007A11EF" w:rsidRPr="00815C68">
              <w:rPr>
                <w:rFonts w:eastAsia="Calibri"/>
              </w:rPr>
              <w:t xml:space="preserve">marchés </w:t>
            </w:r>
            <w:r w:rsidR="00F25EC5" w:rsidRPr="00815C68">
              <w:rPr>
                <w:rFonts w:eastAsia="Calibri"/>
              </w:rPr>
              <w:t>locaux</w:t>
            </w:r>
            <w:r w:rsidRPr="00815C68">
              <w:rPr>
                <w:rFonts w:eastAsia="Calibri"/>
              </w:rPr>
              <w:t xml:space="preserve"> </w:t>
            </w:r>
            <w:r w:rsidR="00F25EC5" w:rsidRPr="00815C68">
              <w:rPr>
                <w:rFonts w:eastAsia="Calibri"/>
              </w:rPr>
              <w:t xml:space="preserve">permettront </w:t>
            </w:r>
            <w:r w:rsidRPr="00815C68">
              <w:rPr>
                <w:rFonts w:eastAsia="Calibri"/>
              </w:rPr>
              <w:t>la sécurisation de</w:t>
            </w:r>
            <w:r w:rsidR="00F25EC5" w:rsidRPr="00815C68">
              <w:rPr>
                <w:rFonts w:eastAsia="Calibri"/>
              </w:rPr>
              <w:t>s ventes</w:t>
            </w:r>
            <w:r w:rsidRPr="00815C68">
              <w:rPr>
                <w:rFonts w:eastAsia="Calibri"/>
              </w:rPr>
              <w:t xml:space="preserve"> </w:t>
            </w:r>
            <w:r w:rsidR="00F25EC5" w:rsidRPr="00815C68">
              <w:rPr>
                <w:rFonts w:eastAsia="Calibri"/>
              </w:rPr>
              <w:t>et l’augmentation des revenus des producteurs.</w:t>
            </w:r>
          </w:p>
          <w:p w:rsidR="00803F73" w:rsidRPr="00815C68" w:rsidRDefault="00573A8E" w:rsidP="00A76F4A">
            <w:pPr>
              <w:numPr>
                <w:ilvl w:val="0"/>
                <w:numId w:val="59"/>
              </w:numPr>
              <w:ind w:right="12"/>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815C68">
              <w:t xml:space="preserve">Les </w:t>
            </w:r>
            <w:r w:rsidR="002F7E66" w:rsidRPr="00815C68">
              <w:t>routes d’accès</w:t>
            </w:r>
            <w:r w:rsidRPr="00815C68">
              <w:t xml:space="preserve"> vont améliorer positivement la qualité et la gestion des productions. </w:t>
            </w:r>
            <w:r w:rsidRPr="00815C68">
              <w:rPr>
                <w:color w:val="000000"/>
                <w:lang w:eastAsia="en-US"/>
              </w:rPr>
              <w:t xml:space="preserve"> </w:t>
            </w:r>
          </w:p>
          <w:p w:rsidR="00803F73" w:rsidRPr="00815C68" w:rsidRDefault="00803F73" w:rsidP="00A76F4A">
            <w:pPr>
              <w:numPr>
                <w:ilvl w:val="0"/>
                <w:numId w:val="59"/>
              </w:numPr>
              <w:ind w:right="12"/>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815C68">
              <w:rPr>
                <w:b/>
              </w:rPr>
              <w:t>Le développement de l’élevage garce à la réduction des difficultés des éleveurs par rapport à la santé des animaux, l’amélioration de la qualité des services offerts aux transhumants notamment la sécurité alimentaire, des conditions d'accès aux infrastructures sociales, au développement de l'entreprenariat rural dans le domaine de l'élevage (embouche ovine et caprine &amp; avicole), à l'amélioration de la qualité nutritionnelle de la famille ;</w:t>
            </w:r>
          </w:p>
        </w:tc>
      </w:tr>
    </w:tbl>
    <w:p w:rsidR="00AD3050" w:rsidRDefault="00AD3050" w:rsidP="00A76F4A">
      <w:pPr>
        <w:pStyle w:val="PargrafodaLista"/>
        <w:spacing w:after="120" w:line="240" w:lineRule="auto"/>
        <w:ind w:left="1068" w:right="12"/>
        <w:outlineLvl w:val="1"/>
        <w:rPr>
          <w:rFonts w:ascii="Times New Roman" w:hAnsi="Times New Roman"/>
          <w:b/>
          <w:bCs/>
          <w:sz w:val="24"/>
          <w:szCs w:val="24"/>
        </w:rPr>
      </w:pPr>
    </w:p>
    <w:p w:rsidR="006465E3" w:rsidRPr="00D47C37" w:rsidRDefault="002D6F4B" w:rsidP="00A76F4A">
      <w:pPr>
        <w:spacing w:after="120"/>
        <w:ind w:left="360" w:right="12"/>
        <w:outlineLvl w:val="1"/>
        <w:rPr>
          <w:b/>
          <w:bCs/>
        </w:rPr>
      </w:pPr>
      <w:bookmarkStart w:id="292" w:name="_Toc69918696"/>
      <w:bookmarkStart w:id="293" w:name="_Toc75432303"/>
      <w:bookmarkStart w:id="294" w:name="_Toc55460155"/>
      <w:bookmarkStart w:id="295" w:name="_Toc55465548"/>
      <w:r>
        <w:rPr>
          <w:b/>
          <w:bCs/>
        </w:rPr>
        <w:t>7.2 IMPACTS</w:t>
      </w:r>
      <w:r w:rsidR="006465E3" w:rsidRPr="00D47C37">
        <w:rPr>
          <w:b/>
          <w:bCs/>
        </w:rPr>
        <w:t xml:space="preserve"> NEGATIFS DU PROJET</w:t>
      </w:r>
      <w:bookmarkEnd w:id="292"/>
      <w:bookmarkEnd w:id="293"/>
    </w:p>
    <w:p w:rsidR="00276190" w:rsidRPr="0097333C" w:rsidRDefault="008719DC" w:rsidP="00A76F4A">
      <w:pPr>
        <w:pStyle w:val="Cabealho6"/>
        <w:numPr>
          <w:ilvl w:val="5"/>
          <w:numId w:val="108"/>
        </w:numPr>
        <w:spacing w:line="240" w:lineRule="auto"/>
        <w:ind w:right="12"/>
        <w:rPr>
          <w:rFonts w:ascii="Times New Roman" w:hAnsi="Times New Roman"/>
          <w:b/>
          <w:i w:val="0"/>
          <w:iCs w:val="0"/>
          <w:color w:val="auto"/>
          <w:sz w:val="24"/>
          <w:szCs w:val="24"/>
        </w:rPr>
      </w:pPr>
      <w:r w:rsidRPr="0097333C">
        <w:rPr>
          <w:rFonts w:ascii="Times New Roman" w:hAnsi="Times New Roman"/>
          <w:b/>
          <w:i w:val="0"/>
          <w:iCs w:val="0"/>
          <w:color w:val="auto"/>
          <w:sz w:val="24"/>
          <w:szCs w:val="24"/>
        </w:rPr>
        <w:t>Soutien à la production agricole</w:t>
      </w:r>
      <w:r w:rsidR="001841D9">
        <w:rPr>
          <w:rFonts w:ascii="Times New Roman" w:hAnsi="Times New Roman"/>
          <w:b/>
          <w:i w:val="0"/>
          <w:iCs w:val="0"/>
          <w:color w:val="auto"/>
          <w:sz w:val="24"/>
          <w:szCs w:val="24"/>
        </w:rPr>
        <w:t xml:space="preserve"> </w:t>
      </w:r>
      <w:r w:rsidR="001841D9" w:rsidRPr="00052903">
        <w:rPr>
          <w:rFonts w:ascii="Times New Roman" w:hAnsi="Times New Roman"/>
          <w:b/>
          <w:i w:val="0"/>
          <w:iCs w:val="0"/>
          <w:color w:val="auto"/>
          <w:sz w:val="24"/>
          <w:szCs w:val="24"/>
        </w:rPr>
        <w:t>et à la réhabilitation</w:t>
      </w:r>
      <w:r w:rsidR="00717785" w:rsidRPr="00052903">
        <w:rPr>
          <w:rFonts w:ascii="Times New Roman" w:hAnsi="Times New Roman"/>
          <w:b/>
          <w:i w:val="0"/>
          <w:iCs w:val="0"/>
          <w:color w:val="auto"/>
          <w:sz w:val="24"/>
          <w:szCs w:val="24"/>
        </w:rPr>
        <w:t xml:space="preserve"> des rizières</w:t>
      </w:r>
    </w:p>
    <w:p w:rsidR="00FA4C85" w:rsidRDefault="00FA4C85" w:rsidP="00A76F4A">
      <w:pPr>
        <w:ind w:left="-142" w:right="12"/>
        <w:jc w:val="both"/>
      </w:pPr>
    </w:p>
    <w:p w:rsidR="00BC5E71" w:rsidRDefault="00BC5E71" w:rsidP="00A76F4A">
      <w:pPr>
        <w:ind w:right="12"/>
        <w:jc w:val="both"/>
      </w:pPr>
      <w:r>
        <w:t xml:space="preserve">Les </w:t>
      </w:r>
      <w:r w:rsidRPr="00A05698">
        <w:t>principa</w:t>
      </w:r>
      <w:r w:rsidR="000220B4">
        <w:t>les</w:t>
      </w:r>
      <w:r w:rsidRPr="00A05698">
        <w:t xml:space="preserve"> </w:t>
      </w:r>
      <w:r w:rsidR="000220B4">
        <w:t>activités</w:t>
      </w:r>
      <w:r w:rsidRPr="00A05698">
        <w:t xml:space="preserve"> </w:t>
      </w:r>
      <w:r w:rsidR="008916DE">
        <w:t xml:space="preserve">du projet </w:t>
      </w:r>
      <w:r w:rsidRPr="00A05698">
        <w:t>qui pourrai</w:t>
      </w:r>
      <w:r w:rsidR="000220B4">
        <w:t xml:space="preserve">ent se dérouler </w:t>
      </w:r>
      <w:r>
        <w:t xml:space="preserve">en phase </w:t>
      </w:r>
      <w:r w:rsidR="002C45C2">
        <w:t xml:space="preserve">de </w:t>
      </w:r>
      <w:r>
        <w:t>construction</w:t>
      </w:r>
      <w:r w:rsidR="002244F5">
        <w:t xml:space="preserve"> et d’exploitation </w:t>
      </w:r>
      <w:r w:rsidR="001D1372">
        <w:t xml:space="preserve">pourraient </w:t>
      </w:r>
      <w:r w:rsidR="008916DE">
        <w:t>impacter</w:t>
      </w:r>
      <w:r w:rsidR="001D1372">
        <w:t xml:space="preserve"> </w:t>
      </w:r>
      <w:r w:rsidR="002244F5">
        <w:t xml:space="preserve">négativement </w:t>
      </w:r>
      <w:r w:rsidRPr="00F32699">
        <w:t xml:space="preserve">sur le milieu physique, le milieu biologique et le milieu socio-économique. Il s’agira entre autres des impacts suivants : </w:t>
      </w:r>
    </w:p>
    <w:p w:rsidR="00076AF9" w:rsidRDefault="00076AF9" w:rsidP="00A76F4A">
      <w:pPr>
        <w:ind w:left="-284" w:right="12"/>
        <w:jc w:val="both"/>
      </w:pPr>
    </w:p>
    <w:p w:rsidR="009A0731" w:rsidRPr="00A64746" w:rsidRDefault="00172BBA" w:rsidP="00A76F4A">
      <w:pPr>
        <w:pStyle w:val="PargrafodaLista"/>
        <w:numPr>
          <w:ilvl w:val="0"/>
          <w:numId w:val="107"/>
        </w:numPr>
        <w:ind w:right="12"/>
      </w:pPr>
      <w:r w:rsidRPr="00A64746">
        <w:rPr>
          <w:rFonts w:ascii="Times New Roman" w:hAnsi="Times New Roman"/>
          <w:b/>
          <w:bCs/>
          <w:sz w:val="24"/>
          <w:szCs w:val="24"/>
          <w:lang w:eastAsia="en-US"/>
        </w:rPr>
        <w:t xml:space="preserve">Les impacts négatifs du projet en phase </w:t>
      </w:r>
      <w:r w:rsidR="001C0658" w:rsidRPr="00A64746">
        <w:rPr>
          <w:rFonts w:ascii="Times New Roman" w:hAnsi="Times New Roman"/>
          <w:b/>
          <w:bCs/>
          <w:sz w:val="24"/>
          <w:szCs w:val="24"/>
          <w:lang w:eastAsia="en-US"/>
        </w:rPr>
        <w:t>travail</w:t>
      </w:r>
    </w:p>
    <w:p w:rsidR="009A0731" w:rsidRPr="009A0731" w:rsidRDefault="009A0731" w:rsidP="00A76F4A">
      <w:pPr>
        <w:tabs>
          <w:tab w:val="left" w:pos="-720"/>
          <w:tab w:val="left" w:pos="708"/>
        </w:tabs>
        <w:autoSpaceDN w:val="0"/>
        <w:ind w:left="-284" w:right="12"/>
        <w:jc w:val="both"/>
        <w:rPr>
          <w:rFonts w:eastAsia="Times New Roman"/>
          <w:b/>
          <w:bCs/>
          <w:spacing w:val="-3"/>
          <w:lang w:val="fr-CA"/>
        </w:rPr>
      </w:pPr>
      <w:r w:rsidRPr="009A0731">
        <w:rPr>
          <w:rFonts w:eastAsia="Times New Roman"/>
          <w:b/>
          <w:bCs/>
          <w:spacing w:val="-3"/>
          <w:lang w:val="fr-CA"/>
        </w:rPr>
        <w:t>Impacts environnementaux</w:t>
      </w:r>
    </w:p>
    <w:p w:rsidR="00076AF9" w:rsidRDefault="00076AF9" w:rsidP="00A76F4A">
      <w:pPr>
        <w:pStyle w:val="PargrafodaLista"/>
        <w:ind w:left="1440" w:right="12"/>
      </w:pPr>
    </w:p>
    <w:p w:rsidR="007034FF" w:rsidRPr="00172BBA" w:rsidRDefault="00E67CBC" w:rsidP="00A76F4A">
      <w:pPr>
        <w:pStyle w:val="PargrafodaLista"/>
        <w:numPr>
          <w:ilvl w:val="0"/>
          <w:numId w:val="203"/>
        </w:numPr>
        <w:spacing w:after="120" w:line="240" w:lineRule="auto"/>
        <w:ind w:left="709" w:right="12"/>
        <w:contextualSpacing w:val="0"/>
        <w:jc w:val="both"/>
        <w:rPr>
          <w:rFonts w:ascii="Times New Roman" w:eastAsia="Times New Roman" w:hAnsi="Times New Roman"/>
          <w:b/>
          <w:sz w:val="24"/>
          <w:szCs w:val="24"/>
        </w:rPr>
      </w:pPr>
      <w:r w:rsidRPr="00172BBA">
        <w:rPr>
          <w:rFonts w:ascii="Times New Roman" w:eastAsia="Times New Roman" w:hAnsi="Times New Roman"/>
          <w:b/>
          <w:sz w:val="24"/>
          <w:szCs w:val="24"/>
        </w:rPr>
        <w:lastRenderedPageBreak/>
        <w:t>Qualité</w:t>
      </w:r>
      <w:r w:rsidR="007034FF" w:rsidRPr="00172BBA">
        <w:rPr>
          <w:rFonts w:ascii="Times New Roman" w:eastAsia="Times New Roman" w:hAnsi="Times New Roman"/>
          <w:b/>
          <w:sz w:val="24"/>
          <w:szCs w:val="24"/>
        </w:rPr>
        <w:t xml:space="preserve"> de l’air</w:t>
      </w:r>
    </w:p>
    <w:p w:rsidR="0038661B" w:rsidRPr="00EA2370" w:rsidRDefault="00EB7BA8" w:rsidP="00A76F4A">
      <w:pPr>
        <w:ind w:right="12"/>
        <w:jc w:val="both"/>
      </w:pPr>
      <w:r>
        <w:t>Lors d</w:t>
      </w:r>
      <w:r w:rsidR="004C6869">
        <w:t>es activités de souti</w:t>
      </w:r>
      <w:r w:rsidR="004C6869" w:rsidRPr="00710A28">
        <w:t xml:space="preserve">en à la production agricole et à la réhabilitation </w:t>
      </w:r>
      <w:r>
        <w:t>des rizières</w:t>
      </w:r>
      <w:r w:rsidR="0000764D">
        <w:t xml:space="preserve">, </w:t>
      </w:r>
      <w:r w:rsidR="0000764D" w:rsidRPr="00EA2370">
        <w:t>d</w:t>
      </w:r>
      <w:r w:rsidR="00717785" w:rsidRPr="00EA2370">
        <w:t>es</w:t>
      </w:r>
      <w:r w:rsidR="007034FF" w:rsidRPr="00EA2370">
        <w:t xml:space="preserve"> émissions de poussières de natures diverses dans l’atmosphère pourraient survenir </w:t>
      </w:r>
      <w:r w:rsidR="003E59EC" w:rsidRPr="00EA2370">
        <w:t>dû</w:t>
      </w:r>
      <w:r w:rsidR="007034FF" w:rsidRPr="00EA2370">
        <w:t xml:space="preserve"> </w:t>
      </w:r>
      <w:r w:rsidR="003E59EC" w:rsidRPr="00EA2370">
        <w:t xml:space="preserve">aux </w:t>
      </w:r>
      <w:r w:rsidR="007034FF" w:rsidRPr="00EA2370">
        <w:t>transport</w:t>
      </w:r>
      <w:r w:rsidR="003E59EC" w:rsidRPr="00EA2370">
        <w:t>s</w:t>
      </w:r>
      <w:r w:rsidR="007034FF" w:rsidRPr="00EA2370">
        <w:t xml:space="preserve"> des matériau</w:t>
      </w:r>
      <w:r w:rsidR="00717785" w:rsidRPr="00EA2370">
        <w:t>x</w:t>
      </w:r>
      <w:r w:rsidR="004702EB" w:rsidRPr="00EA2370">
        <w:t>.</w:t>
      </w:r>
    </w:p>
    <w:p w:rsidR="007034FF" w:rsidRDefault="007034FF" w:rsidP="00A76F4A">
      <w:pPr>
        <w:ind w:right="12"/>
        <w:jc w:val="both"/>
      </w:pPr>
      <w:r w:rsidRPr="00EA2370">
        <w:t>Ainsi, la qualité de l’air sera localement affectée par la poussière issue de</w:t>
      </w:r>
      <w:r w:rsidR="001473D7" w:rsidRPr="00EA2370">
        <w:t xml:space="preserve"> ces</w:t>
      </w:r>
      <w:r w:rsidRPr="00EA2370">
        <w:t xml:space="preserve"> activités, ce qui pourrait affecter </w:t>
      </w:r>
      <w:r w:rsidR="008916DE" w:rsidRPr="00EA2370">
        <w:t>la santé</w:t>
      </w:r>
      <w:r w:rsidR="001473D7" w:rsidRPr="00EA2370">
        <w:t xml:space="preserve"> des</w:t>
      </w:r>
      <w:r w:rsidRPr="00EA2370">
        <w:t xml:space="preserve"> populations (maladies respiratoires) se trouvant sous l’influence des vents dominants. L’émission de poussières sera la principale source de la pollution atmosphérique lors de la phase de construction. </w:t>
      </w:r>
    </w:p>
    <w:p w:rsidR="002D6F4B" w:rsidRPr="00EA2370" w:rsidRDefault="002D6F4B" w:rsidP="00A76F4A">
      <w:pPr>
        <w:ind w:right="12"/>
        <w:jc w:val="both"/>
      </w:pPr>
    </w:p>
    <w:p w:rsidR="00A6437B" w:rsidRPr="00076AF9" w:rsidRDefault="00E67CBC" w:rsidP="00A76F4A">
      <w:pPr>
        <w:pStyle w:val="PargrafodaLista"/>
        <w:numPr>
          <w:ilvl w:val="0"/>
          <w:numId w:val="203"/>
        </w:numPr>
        <w:spacing w:after="120" w:line="240" w:lineRule="auto"/>
        <w:ind w:left="709" w:right="12"/>
        <w:contextualSpacing w:val="0"/>
        <w:jc w:val="both"/>
        <w:rPr>
          <w:rFonts w:ascii="Times New Roman" w:eastAsia="Times New Roman" w:hAnsi="Times New Roman"/>
          <w:b/>
          <w:sz w:val="24"/>
          <w:szCs w:val="24"/>
        </w:rPr>
      </w:pPr>
      <w:r w:rsidRPr="00E314BC">
        <w:rPr>
          <w:rFonts w:ascii="Times New Roman" w:eastAsia="Times New Roman" w:hAnsi="Times New Roman"/>
          <w:b/>
          <w:sz w:val="24"/>
          <w:szCs w:val="24"/>
        </w:rPr>
        <w:t>Eaux</w:t>
      </w:r>
      <w:r w:rsidR="00A6437B" w:rsidRPr="00E314BC">
        <w:rPr>
          <w:rFonts w:ascii="Times New Roman" w:eastAsia="Times New Roman" w:hAnsi="Times New Roman"/>
          <w:b/>
          <w:sz w:val="24"/>
          <w:szCs w:val="24"/>
        </w:rPr>
        <w:t xml:space="preserve"> de surface et souterraine</w:t>
      </w:r>
      <w:r w:rsidR="00A6437B" w:rsidRPr="00076AF9">
        <w:rPr>
          <w:rFonts w:ascii="Times New Roman" w:eastAsia="Times New Roman" w:hAnsi="Times New Roman"/>
          <w:b/>
          <w:sz w:val="24"/>
          <w:szCs w:val="24"/>
        </w:rPr>
        <w:t xml:space="preserve"> </w:t>
      </w:r>
    </w:p>
    <w:p w:rsidR="00A6437B" w:rsidRPr="00EA2370" w:rsidRDefault="00A6437B" w:rsidP="00A76F4A">
      <w:pPr>
        <w:ind w:right="12"/>
        <w:jc w:val="both"/>
      </w:pPr>
      <w:r w:rsidRPr="00EA2370">
        <w:t>Les impacts attendus dans ce secteur sont souvent sous forme de pollution par des hydrocarbures</w:t>
      </w:r>
      <w:r w:rsidR="004744B9" w:rsidRPr="00EA2370">
        <w:t xml:space="preserve"> </w:t>
      </w:r>
      <w:r w:rsidRPr="00EA2370">
        <w:t xml:space="preserve">pouvant provenir des filtres à huile, des huiles usagées mais aussi (des acides) provenant des batteries mortes et enfin des (solvants) pouvant provenir des peintures et autres produits dérivés. </w:t>
      </w:r>
    </w:p>
    <w:p w:rsidR="00A6437B" w:rsidRPr="00EA2370" w:rsidRDefault="00A6437B" w:rsidP="00A76F4A">
      <w:pPr>
        <w:ind w:right="12"/>
        <w:jc w:val="both"/>
      </w:pPr>
      <w:r w:rsidRPr="00EA2370">
        <w:t>La plupart du temps, les rejets de déchets solides et liquides sont localisés sur les bases techniques et les bases vie</w:t>
      </w:r>
      <w:r w:rsidR="00B83214" w:rsidRPr="00EA2370">
        <w:t>s</w:t>
      </w:r>
      <w:r w:rsidRPr="00EA2370">
        <w:t xml:space="preserve"> des entreprises en charge des travaux. Le fonctionnement de la base-vie pourrait nécessiter potentiellement un prélèvement d’eau pouvant affecter localement la disponibilité en eau des populations</w:t>
      </w:r>
      <w:r w:rsidRPr="00377C32">
        <w:rPr>
          <w:rFonts w:eastAsia="Calibri"/>
        </w:rPr>
        <w:t xml:space="preserve"> locales.  Il faudra</w:t>
      </w:r>
      <w:r>
        <w:rPr>
          <w:rFonts w:eastAsia="Calibri"/>
        </w:rPr>
        <w:t xml:space="preserve"> veiller à ne pas porter </w:t>
      </w:r>
      <w:r w:rsidRPr="00377C32">
        <w:rPr>
          <w:rFonts w:eastAsia="Calibri"/>
        </w:rPr>
        <w:t xml:space="preserve">préjudice au </w:t>
      </w:r>
      <w:r w:rsidRPr="00EA2370">
        <w:t>ravitaillement en eau potable des populations et ne pas dégrader la qualité des eaux de surface ou des puits/forages.</w:t>
      </w:r>
    </w:p>
    <w:p w:rsidR="004D4561" w:rsidRPr="00EA2370" w:rsidRDefault="004D4561" w:rsidP="00A76F4A">
      <w:pPr>
        <w:ind w:right="12"/>
        <w:jc w:val="both"/>
      </w:pPr>
      <w:r w:rsidRPr="00EA2370">
        <w:t>Risque de la dégradation de la qualité des eaux superficielles et souterraines due à l’érosion du sol, après les prélèvements de matériaux de remblais</w:t>
      </w:r>
      <w:r w:rsidR="009229C9" w:rsidRPr="00EA2370">
        <w:t xml:space="preserve"> pour les activités de ré</w:t>
      </w:r>
      <w:r w:rsidR="00AC4499" w:rsidRPr="00EA2370">
        <w:t>habilitation des rizières</w:t>
      </w:r>
      <w:r w:rsidRPr="00EA2370">
        <w:t>, avec l’infiltration de déchets liquides vers les nappes.</w:t>
      </w:r>
      <w:r w:rsidR="009229C9" w:rsidRPr="00EA2370">
        <w:t xml:space="preserve"> </w:t>
      </w:r>
    </w:p>
    <w:p w:rsidR="009A0731" w:rsidRDefault="009A0731" w:rsidP="00A76F4A">
      <w:pPr>
        <w:tabs>
          <w:tab w:val="left" w:pos="-720"/>
          <w:tab w:val="left" w:pos="708"/>
        </w:tabs>
        <w:autoSpaceDN w:val="0"/>
        <w:ind w:left="-284" w:right="12"/>
        <w:jc w:val="both"/>
        <w:rPr>
          <w:rFonts w:eastAsia="Times New Roman"/>
          <w:spacing w:val="-3"/>
          <w:lang w:val="fr-CA"/>
        </w:rPr>
      </w:pPr>
    </w:p>
    <w:p w:rsidR="009A0731" w:rsidRPr="009A0731" w:rsidRDefault="009A0731" w:rsidP="002D6F4B">
      <w:pPr>
        <w:tabs>
          <w:tab w:val="left" w:pos="-720"/>
          <w:tab w:val="left" w:pos="708"/>
        </w:tabs>
        <w:autoSpaceDN w:val="0"/>
        <w:ind w:right="12"/>
        <w:jc w:val="both"/>
        <w:rPr>
          <w:rFonts w:eastAsia="Times New Roman"/>
          <w:b/>
          <w:bCs/>
          <w:spacing w:val="-3"/>
          <w:lang w:val="fr-CA"/>
        </w:rPr>
      </w:pPr>
      <w:r w:rsidRPr="009A0731">
        <w:rPr>
          <w:rFonts w:eastAsia="Times New Roman"/>
          <w:b/>
          <w:bCs/>
          <w:spacing w:val="-3"/>
          <w:lang w:val="fr-CA"/>
        </w:rPr>
        <w:t>Impacts sociaux</w:t>
      </w:r>
    </w:p>
    <w:p w:rsidR="00A6437B" w:rsidRDefault="00A6437B" w:rsidP="00A76F4A">
      <w:pPr>
        <w:ind w:right="12"/>
        <w:jc w:val="both"/>
      </w:pPr>
    </w:p>
    <w:p w:rsidR="00750A06" w:rsidRPr="00D01B35" w:rsidRDefault="00E67CBC"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Choix</w:t>
      </w:r>
      <w:r w:rsidR="00750A06" w:rsidRPr="00D01B35">
        <w:rPr>
          <w:rFonts w:ascii="Times New Roman" w:hAnsi="Times New Roman"/>
          <w:b/>
          <w:sz w:val="24"/>
          <w:szCs w:val="24"/>
        </w:rPr>
        <w:t xml:space="preserve"> des sites </w:t>
      </w:r>
    </w:p>
    <w:p w:rsidR="00750A06" w:rsidRDefault="00750A06" w:rsidP="00A76F4A">
      <w:pPr>
        <w:ind w:right="12"/>
        <w:jc w:val="both"/>
      </w:pPr>
      <w:r w:rsidRPr="00710A28">
        <w:t xml:space="preserve">Le choix des sites </w:t>
      </w:r>
      <w:r w:rsidR="00710A28">
        <w:t>p</w:t>
      </w:r>
      <w:r w:rsidR="00710A28" w:rsidRPr="00710A28">
        <w:t>ou</w:t>
      </w:r>
      <w:r w:rsidR="00710A28">
        <w:t>r les activités de souti</w:t>
      </w:r>
      <w:r w:rsidR="00710A28" w:rsidRPr="00710A28">
        <w:t>en à la production agricole et à la réhabilitation et à l’exploitation des rizières</w:t>
      </w:r>
      <w:r w:rsidR="00710A28">
        <w:t xml:space="preserve"> </w:t>
      </w:r>
      <w:r w:rsidRPr="00943655">
        <w:t xml:space="preserve">est une opération sensible au plan social. En effet, si le choix n’est pas fait sur une base consensuelle, il peut être source de conflits sociaux liés à des mouvements de revendication au sein de la communauté, ce qui peut </w:t>
      </w:r>
      <w:r w:rsidR="00710A28">
        <w:t>impacter négativement sur le déroulement du projet</w:t>
      </w:r>
      <w:r w:rsidRPr="00943655">
        <w:t xml:space="preserve"> </w:t>
      </w:r>
      <w:r w:rsidR="00710A28">
        <w:t>PUSA</w:t>
      </w:r>
      <w:r>
        <w:t xml:space="preserve"> </w:t>
      </w:r>
      <w:r w:rsidRPr="00943655">
        <w:t xml:space="preserve">notamment du point de vue de son acceptabilité sociale. </w:t>
      </w:r>
    </w:p>
    <w:p w:rsidR="00750A06" w:rsidRDefault="00750A06" w:rsidP="00A76F4A">
      <w:pPr>
        <w:ind w:left="-142" w:right="12"/>
        <w:jc w:val="both"/>
      </w:pPr>
    </w:p>
    <w:p w:rsidR="00750A06" w:rsidRPr="00BC6FD4" w:rsidRDefault="00E67CBC"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9A5894">
        <w:rPr>
          <w:rFonts w:ascii="Times New Roman" w:hAnsi="Times New Roman"/>
          <w:b/>
          <w:sz w:val="24"/>
          <w:szCs w:val="24"/>
        </w:rPr>
        <w:t>Risques</w:t>
      </w:r>
      <w:r w:rsidR="00750A06" w:rsidRPr="009A5894">
        <w:rPr>
          <w:rFonts w:ascii="Times New Roman" w:hAnsi="Times New Roman"/>
          <w:b/>
          <w:sz w:val="24"/>
          <w:szCs w:val="24"/>
        </w:rPr>
        <w:t xml:space="preserve"> de perte de terres </w:t>
      </w:r>
    </w:p>
    <w:p w:rsidR="00750A06" w:rsidRDefault="00750A06" w:rsidP="00A76F4A">
      <w:pPr>
        <w:ind w:right="12"/>
        <w:jc w:val="both"/>
      </w:pPr>
      <w:r w:rsidRPr="009A5894">
        <w:t xml:space="preserve">La libération des emprises nécessaires pour </w:t>
      </w:r>
      <w:r w:rsidR="00710A28" w:rsidRPr="00897FB6">
        <w:t>la réhabilitation et à l’exploitation des rizières</w:t>
      </w:r>
      <w:r>
        <w:t xml:space="preserve"> </w:t>
      </w:r>
      <w:r w:rsidR="00710A28">
        <w:t>engendrera</w:t>
      </w:r>
      <w:r>
        <w:t xml:space="preserve"> des risques de perte de </w:t>
      </w:r>
      <w:r w:rsidRPr="009A5894">
        <w:t>terre</w:t>
      </w:r>
      <w:r>
        <w:t>s</w:t>
      </w:r>
      <w:r w:rsidRPr="009A5894">
        <w:t xml:space="preserve"> </w:t>
      </w:r>
      <w:r>
        <w:t>au niveau</w:t>
      </w:r>
      <w:r w:rsidR="00710A28">
        <w:t xml:space="preserve"> des villages concerné</w:t>
      </w:r>
      <w:r>
        <w:t>s</w:t>
      </w:r>
      <w:r w:rsidR="00710A28">
        <w:t xml:space="preserve"> ou des agriculteurs</w:t>
      </w:r>
      <w:r>
        <w:t>.</w:t>
      </w:r>
    </w:p>
    <w:p w:rsidR="00750A06" w:rsidRPr="009A5894" w:rsidRDefault="00750A06" w:rsidP="00A76F4A">
      <w:pPr>
        <w:tabs>
          <w:tab w:val="left" w:pos="2160"/>
          <w:tab w:val="left" w:pos="8185"/>
        </w:tabs>
        <w:ind w:left="-142" w:right="12"/>
      </w:pPr>
      <w:r>
        <w:tab/>
      </w:r>
    </w:p>
    <w:p w:rsidR="00750A06" w:rsidRPr="00D01B35" w:rsidRDefault="00E67CBC"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Risques</w:t>
      </w:r>
      <w:r w:rsidR="00750A06" w:rsidRPr="00D01B35">
        <w:rPr>
          <w:rFonts w:ascii="Times New Roman" w:hAnsi="Times New Roman"/>
          <w:b/>
          <w:sz w:val="24"/>
          <w:szCs w:val="24"/>
        </w:rPr>
        <w:t xml:space="preserve"> de propagation des IST/VIH/SIDA et de la COVID 19</w:t>
      </w:r>
    </w:p>
    <w:p w:rsidR="00750A06" w:rsidRDefault="00750A06" w:rsidP="00A76F4A">
      <w:pPr>
        <w:ind w:right="12"/>
        <w:jc w:val="both"/>
      </w:pPr>
      <w:r>
        <w:t>Avec la prés</w:t>
      </w:r>
      <w:r w:rsidR="00C65B46">
        <w:t xml:space="preserve">ence des jeunes ouvriers pour les activités de soutien à </w:t>
      </w:r>
      <w:r w:rsidR="00C65B46" w:rsidRPr="00897FB6">
        <w:t>la production agricole</w:t>
      </w:r>
      <w:r w:rsidR="00C65B46">
        <w:t xml:space="preserve"> et de</w:t>
      </w:r>
      <w:r w:rsidR="00C65B46" w:rsidRPr="00897FB6">
        <w:t xml:space="preserve"> réhabilitation</w:t>
      </w:r>
      <w:r w:rsidR="00C65B46">
        <w:t xml:space="preserve"> </w:t>
      </w:r>
      <w:r w:rsidR="00C65B46" w:rsidRPr="00897FB6">
        <w:t>des rizières</w:t>
      </w:r>
      <w:r>
        <w:t xml:space="preserve">, le risque de propagation des maladies transmissibles </w:t>
      </w:r>
      <w:r w:rsidRPr="00EA2370">
        <w:t xml:space="preserve">IST/VIH/SIDA </w:t>
      </w:r>
      <w:r w:rsidRPr="00EE5E8B">
        <w:t>pourrait</w:t>
      </w:r>
      <w:r w:rsidRPr="00EA2370">
        <w:t xml:space="preserve"> </w:t>
      </w:r>
      <w:r w:rsidRPr="007472AC">
        <w:t>être</w:t>
      </w:r>
      <w:r w:rsidRPr="00EA2370">
        <w:t xml:space="preserve"> </w:t>
      </w:r>
      <w:r>
        <w:t>noter.</w:t>
      </w:r>
      <w:r w:rsidRPr="009A5894">
        <w:t xml:space="preserve"> </w:t>
      </w:r>
    </w:p>
    <w:p w:rsidR="00F76F24" w:rsidRDefault="00F76F24" w:rsidP="00A76F4A">
      <w:pPr>
        <w:ind w:left="-284" w:right="12"/>
        <w:jc w:val="both"/>
      </w:pPr>
    </w:p>
    <w:p w:rsidR="00750A06" w:rsidRDefault="00750A06" w:rsidP="00A76F4A">
      <w:pPr>
        <w:ind w:right="12"/>
        <w:jc w:val="both"/>
      </w:pPr>
      <w:r>
        <w:t>Vu la situation de l’évolution de la propagation de la pandémie de la COVID 19, avec les regroupement</w:t>
      </w:r>
      <w:r w:rsidR="00C65B46">
        <w:t>s très des ouvriers au niveau des chantiers</w:t>
      </w:r>
      <w:r>
        <w:t xml:space="preserve"> et des bases vies, ce risque de propagation de la COVID 19 pourrait évoluer dans les zones d’intervention du projet.</w:t>
      </w:r>
      <w:r w:rsidRPr="003E640A">
        <w:t xml:space="preserve"> </w:t>
      </w:r>
    </w:p>
    <w:p w:rsidR="003400A4" w:rsidRDefault="003400A4" w:rsidP="00A76F4A">
      <w:pPr>
        <w:ind w:left="-142" w:right="12"/>
      </w:pPr>
    </w:p>
    <w:p w:rsidR="00750A06" w:rsidRPr="00D01B35" w:rsidRDefault="00E67CBC"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Violence</w:t>
      </w:r>
      <w:r w:rsidR="00750A06" w:rsidRPr="00D01B35">
        <w:rPr>
          <w:rFonts w:ascii="Times New Roman" w:hAnsi="Times New Roman"/>
          <w:b/>
          <w:sz w:val="24"/>
          <w:szCs w:val="24"/>
        </w:rPr>
        <w:t xml:space="preserve"> basée sur le Genre, abus et exploitation sexuelle </w:t>
      </w:r>
    </w:p>
    <w:p w:rsidR="00750A06" w:rsidRDefault="00C65B46" w:rsidP="00A76F4A">
      <w:pPr>
        <w:ind w:right="12"/>
        <w:jc w:val="both"/>
      </w:pPr>
      <w:r w:rsidRPr="00EA2370">
        <w:lastRenderedPageBreak/>
        <w:t xml:space="preserve">L’afflux des </w:t>
      </w:r>
      <w:r w:rsidR="0033462A" w:rsidRPr="00EA2370">
        <w:t>personnes</w:t>
      </w:r>
      <w:r w:rsidRPr="00EA2370">
        <w:t xml:space="preserve"> du projet dan</w:t>
      </w:r>
      <w:r w:rsidR="0033462A" w:rsidRPr="00EA2370">
        <w:t>s les zones concernées pendant</w:t>
      </w:r>
      <w:r w:rsidR="00750A06" w:rsidRPr="00EA2370">
        <w:t xml:space="preserve"> </w:t>
      </w:r>
      <w:r w:rsidR="0033462A" w:rsidRPr="00EA2370">
        <w:t xml:space="preserve">la mise en œuvre des activités de </w:t>
      </w:r>
      <w:r w:rsidR="0033462A">
        <w:t xml:space="preserve">soutien à </w:t>
      </w:r>
      <w:r w:rsidR="0033462A" w:rsidRPr="00897FB6">
        <w:t>la production agricole</w:t>
      </w:r>
      <w:r w:rsidR="0033462A">
        <w:t xml:space="preserve"> et de</w:t>
      </w:r>
      <w:r w:rsidR="0033462A" w:rsidRPr="00897FB6">
        <w:t xml:space="preserve"> réhabilitation</w:t>
      </w:r>
      <w:r w:rsidR="0033462A">
        <w:t xml:space="preserve"> </w:t>
      </w:r>
      <w:r w:rsidR="0033462A" w:rsidRPr="00897FB6">
        <w:t>des rizières</w:t>
      </w:r>
      <w:r w:rsidR="00750A06" w:rsidRPr="00EA2370">
        <w:t>, couplé à l’intensité́ de la circulation des femmes de tout âge et pour différentes raisons peut entrainer des violences basées sur le genre de différentes</w:t>
      </w:r>
      <w:r w:rsidR="0033462A" w:rsidRPr="00EA2370">
        <w:t xml:space="preserve"> sortes au niveau de la population locale</w:t>
      </w:r>
      <w:r w:rsidR="00750A06" w:rsidRPr="00EA2370">
        <w:t xml:space="preserve">. </w:t>
      </w:r>
    </w:p>
    <w:p w:rsidR="00750A06" w:rsidRPr="00691410" w:rsidRDefault="00750A06" w:rsidP="00A76F4A">
      <w:pPr>
        <w:ind w:left="-142" w:right="12"/>
        <w:rPr>
          <w:rFonts w:eastAsia="Calibri"/>
        </w:rPr>
      </w:pPr>
    </w:p>
    <w:p w:rsidR="00BD75CE" w:rsidRDefault="00750A06" w:rsidP="00A76F4A">
      <w:pPr>
        <w:pStyle w:val="PargrafodaLista"/>
        <w:numPr>
          <w:ilvl w:val="0"/>
          <w:numId w:val="107"/>
        </w:numPr>
        <w:ind w:right="12"/>
        <w:rPr>
          <w:rFonts w:ascii="Times New Roman" w:hAnsi="Times New Roman"/>
          <w:b/>
          <w:bCs/>
          <w:sz w:val="24"/>
          <w:szCs w:val="24"/>
          <w:lang w:eastAsia="en-US"/>
        </w:rPr>
      </w:pPr>
      <w:bookmarkStart w:id="296" w:name="_Toc49861525"/>
      <w:bookmarkStart w:id="297" w:name="_Toc53716666"/>
      <w:bookmarkStart w:id="298" w:name="_Toc53716846"/>
      <w:r w:rsidRPr="00374685">
        <w:rPr>
          <w:rFonts w:ascii="Times New Roman" w:hAnsi="Times New Roman"/>
          <w:b/>
          <w:bCs/>
          <w:sz w:val="24"/>
          <w:szCs w:val="24"/>
          <w:lang w:eastAsia="en-US"/>
        </w:rPr>
        <w:t>Les impacts négatifs du projet en phase d’exploitation</w:t>
      </w:r>
      <w:bookmarkEnd w:id="296"/>
      <w:bookmarkEnd w:id="297"/>
      <w:bookmarkEnd w:id="298"/>
    </w:p>
    <w:p w:rsidR="00BD75CE" w:rsidRDefault="00BD75CE" w:rsidP="003400A4">
      <w:pPr>
        <w:tabs>
          <w:tab w:val="left" w:pos="-720"/>
          <w:tab w:val="left" w:pos="708"/>
        </w:tabs>
        <w:autoSpaceDN w:val="0"/>
        <w:ind w:right="12"/>
        <w:jc w:val="both"/>
        <w:rPr>
          <w:rFonts w:eastAsia="Times New Roman"/>
          <w:b/>
          <w:bCs/>
          <w:spacing w:val="-3"/>
          <w:lang w:val="fr-CA"/>
        </w:rPr>
      </w:pPr>
      <w:r w:rsidRPr="00BD75CE">
        <w:rPr>
          <w:rFonts w:eastAsia="Times New Roman"/>
          <w:b/>
          <w:bCs/>
          <w:spacing w:val="-3"/>
          <w:lang w:val="fr-CA"/>
        </w:rPr>
        <w:t>Impacts environnementaux</w:t>
      </w:r>
    </w:p>
    <w:p w:rsidR="00BD75CE" w:rsidRPr="00BD75CE" w:rsidRDefault="00BD75CE" w:rsidP="00A76F4A">
      <w:pPr>
        <w:tabs>
          <w:tab w:val="left" w:pos="-720"/>
          <w:tab w:val="left" w:pos="708"/>
        </w:tabs>
        <w:autoSpaceDN w:val="0"/>
        <w:ind w:left="-284" w:right="12"/>
        <w:jc w:val="both"/>
        <w:rPr>
          <w:rFonts w:eastAsia="Calibri"/>
          <w:b/>
          <w:bCs/>
          <w:lang w:eastAsia="en-US"/>
        </w:rPr>
      </w:pPr>
    </w:p>
    <w:p w:rsidR="00750A06" w:rsidRPr="00BD75CE" w:rsidRDefault="00E67CBC"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BD75CE">
        <w:rPr>
          <w:rFonts w:ascii="Times New Roman" w:hAnsi="Times New Roman"/>
          <w:b/>
          <w:sz w:val="24"/>
          <w:szCs w:val="24"/>
        </w:rPr>
        <w:t>Changements</w:t>
      </w:r>
      <w:r w:rsidR="00750A06" w:rsidRPr="00BD75CE">
        <w:rPr>
          <w:rFonts w:ascii="Times New Roman" w:hAnsi="Times New Roman"/>
          <w:b/>
          <w:sz w:val="24"/>
          <w:szCs w:val="24"/>
        </w:rPr>
        <w:t xml:space="preserve"> climatiques </w:t>
      </w:r>
    </w:p>
    <w:p w:rsidR="00BD75CE" w:rsidRPr="00BD75CE" w:rsidRDefault="00BD75CE" w:rsidP="00A76F4A">
      <w:pPr>
        <w:ind w:right="12"/>
        <w:jc w:val="both"/>
      </w:pPr>
      <w:r>
        <w:t>L</w:t>
      </w:r>
      <w:r w:rsidRPr="00BD75CE">
        <w:t>'utilisation excessive d'engrais synthétique</w:t>
      </w:r>
      <w:r>
        <w:t xml:space="preserve"> </w:t>
      </w:r>
      <w:r w:rsidRPr="00BD75CE">
        <w:t>favorise la génération de gaz d'azote qui vont passer dans l'atmosphère et contribuer à l'effet de serre vert. Les autres pratiques agricoles qui entraînent des émissions élevées de gaz à effet de serre sont l'élevage</w:t>
      </w:r>
      <w:r>
        <w:t xml:space="preserve"> (</w:t>
      </w:r>
      <w:r w:rsidRPr="00BD75CE">
        <w:t>émissions de méthane</w:t>
      </w:r>
      <w:r>
        <w:t>)</w:t>
      </w:r>
      <w:r w:rsidRPr="00BD75CE">
        <w:t>, les pratiques agricoles par le biais de la culture sur brûlis</w:t>
      </w:r>
      <w:r>
        <w:t>, l’</w:t>
      </w:r>
      <w:r w:rsidRPr="00BD75CE">
        <w:t>agriculture mécanisée avec utilisation de machines</w:t>
      </w:r>
      <w:r w:rsidR="00E67CBC">
        <w:t>, l’</w:t>
      </w:r>
      <w:r w:rsidR="009E0E5D" w:rsidRPr="009E0E5D">
        <w:t>abattage des arbres</w:t>
      </w:r>
      <w:r w:rsidRPr="00BD75CE">
        <w:t xml:space="preserve"> </w:t>
      </w:r>
      <w:r>
        <w:t>(</w:t>
      </w:r>
      <w:r w:rsidR="00E67CBC">
        <w:t>émissions</w:t>
      </w:r>
      <w:r>
        <w:t xml:space="preserve"> de </w:t>
      </w:r>
      <w:r w:rsidRPr="00BD75CE">
        <w:t>dioxyde de carbone</w:t>
      </w:r>
      <w:r>
        <w:t xml:space="preserve">), </w:t>
      </w:r>
      <w:r w:rsidRPr="00BD75CE">
        <w:t xml:space="preserve">la culture du riz humide </w:t>
      </w:r>
      <w:r>
        <w:t>(</w:t>
      </w:r>
      <w:r w:rsidRPr="00BD75CE">
        <w:t>émissions de méthane</w:t>
      </w:r>
      <w:r>
        <w:t>)</w:t>
      </w:r>
      <w:r w:rsidRPr="00BD75CE">
        <w:t>. Ces pratiques contribuent aux émissions de gaz à effet de serre qui déclenchent le changement climatique</w:t>
      </w:r>
      <w:r>
        <w:t xml:space="preserve"> au niveau global.</w:t>
      </w:r>
    </w:p>
    <w:p w:rsidR="00BD75CE" w:rsidRDefault="00BD75CE" w:rsidP="00A76F4A">
      <w:pPr>
        <w:ind w:right="12"/>
        <w:jc w:val="both"/>
      </w:pPr>
    </w:p>
    <w:p w:rsidR="00750A06" w:rsidRDefault="00750A06" w:rsidP="00A76F4A">
      <w:pPr>
        <w:ind w:right="12"/>
        <w:jc w:val="both"/>
      </w:pPr>
      <w:r w:rsidRPr="00395124">
        <w:t>Les changements climatiques prévus (hausse des températures extrêmes, augmentation des déficits pluviométriques et de la violence des précipitations) ont potentiellement des conséquences désastreuses pour le pays, reposant aussi sur l’agriculture pluviale. Les effets négatifs les plus attendus sont : la baisse et la forte</w:t>
      </w:r>
      <w:r w:rsidRPr="004E12EF">
        <w:t xml:space="preserve"> variabilité de la pluviométrie, la hausse des températures seront à l’origine de sécheresses, de famines, d’inondations, de maladies d’origine hydrique pouvant affecter gravement la vie et la santé des couches les plus démunies et les franges très vulnérables de la population. </w:t>
      </w:r>
    </w:p>
    <w:p w:rsidR="00750A06" w:rsidRDefault="00750A06" w:rsidP="00A76F4A">
      <w:pPr>
        <w:ind w:left="-284" w:right="12"/>
        <w:jc w:val="both"/>
      </w:pPr>
    </w:p>
    <w:p w:rsidR="00750A06" w:rsidRPr="00160344" w:rsidRDefault="00750A06" w:rsidP="00A76F4A">
      <w:pPr>
        <w:ind w:right="12"/>
        <w:jc w:val="both"/>
      </w:pPr>
      <w:r>
        <w:t xml:space="preserve">De plus, ces </w:t>
      </w:r>
      <w:r w:rsidRPr="00395124">
        <w:t>effets négatifs les plus attendus</w:t>
      </w:r>
      <w:r>
        <w:t xml:space="preserve"> dans le secteur de l’agriculture sont : </w:t>
      </w:r>
      <w:r w:rsidRPr="00160344">
        <w:t>perturbation du calendrier agricole, baisse des rendements agricoles, risque de disparition d’espèces moins résilientes aux conditions climatiques, déficit en eau pour les cultures</w:t>
      </w:r>
      <w:r w:rsidR="00BD75CE">
        <w:t xml:space="preserve"> et</w:t>
      </w:r>
      <w:r w:rsidRPr="00160344">
        <w:t xml:space="preserve"> </w:t>
      </w:r>
      <w:r w:rsidR="00BD75CE">
        <w:t>i</w:t>
      </w:r>
      <w:r w:rsidRPr="00160344">
        <w:t>nsécurité alimentaire</w:t>
      </w:r>
      <w:r w:rsidR="00271636">
        <w:t>.</w:t>
      </w:r>
    </w:p>
    <w:p w:rsidR="00750A06" w:rsidRPr="0041085A" w:rsidRDefault="00750A06" w:rsidP="00A76F4A">
      <w:pPr>
        <w:ind w:left="-142" w:right="12"/>
        <w:jc w:val="both"/>
      </w:pPr>
    </w:p>
    <w:p w:rsidR="00750A06" w:rsidRPr="00BD75CE" w:rsidRDefault="00E67CBC"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47C37">
        <w:rPr>
          <w:rFonts w:ascii="Times New Roman" w:eastAsiaTheme="minorHAnsi" w:hAnsi="Times New Roman"/>
          <w:b/>
          <w:sz w:val="24"/>
          <w:szCs w:val="24"/>
        </w:rPr>
        <w:t>Dégradation</w:t>
      </w:r>
      <w:r w:rsidR="00BD75CE" w:rsidRPr="00D47C37">
        <w:rPr>
          <w:rFonts w:ascii="Times New Roman" w:eastAsiaTheme="minorHAnsi" w:hAnsi="Times New Roman"/>
          <w:b/>
          <w:sz w:val="24"/>
          <w:szCs w:val="24"/>
        </w:rPr>
        <w:t xml:space="preserve"> des terres et de la fertilité des sols</w:t>
      </w:r>
    </w:p>
    <w:p w:rsidR="00750A06" w:rsidRPr="0016371A" w:rsidRDefault="00750A06" w:rsidP="00A76F4A">
      <w:pPr>
        <w:ind w:right="12"/>
        <w:jc w:val="both"/>
      </w:pPr>
      <w:r w:rsidRPr="00FC3805">
        <w:t>L’e</w:t>
      </w:r>
      <w:r w:rsidR="0038366C">
        <w:t>xploitation des champs d’anacardiers ou des terres agricoles vont entrainer</w:t>
      </w:r>
      <w:r>
        <w:t xml:space="preserve"> une augmentation</w:t>
      </w:r>
      <w:r w:rsidR="0038366C">
        <w:t xml:space="preserve"> ou</w:t>
      </w:r>
      <w:r>
        <w:t xml:space="preserve"> </w:t>
      </w:r>
      <w:r w:rsidRPr="0016371A">
        <w:t xml:space="preserve">une intensification culturale et entraîner éventuellement l’utilisation des pestes et pesticides contre les nuisibles et des engrais pour l’augmentation des rendements. </w:t>
      </w:r>
    </w:p>
    <w:p w:rsidR="00750A06" w:rsidRPr="0016371A" w:rsidRDefault="00750A06" w:rsidP="00A76F4A">
      <w:pPr>
        <w:ind w:right="12"/>
        <w:jc w:val="both"/>
      </w:pPr>
      <w:r w:rsidRPr="0016371A">
        <w:t xml:space="preserve">Cette situation pourrait avoir comme conséquences des impacts négatifs sur la santé humaine et animale et conduire à la dégradation des terres et la fertilité des sols. </w:t>
      </w:r>
    </w:p>
    <w:p w:rsidR="00750A06" w:rsidRPr="0016371A" w:rsidRDefault="00750A06" w:rsidP="00A76F4A">
      <w:pPr>
        <w:ind w:right="12"/>
        <w:jc w:val="both"/>
      </w:pPr>
      <w:r w:rsidRPr="0016371A">
        <w:t>Ces pratiques auront des effets néfastes sur le développement de l’agriculture en général et la préservation des ressources naturelles.</w:t>
      </w:r>
    </w:p>
    <w:p w:rsidR="00750A06" w:rsidRDefault="00750A06" w:rsidP="00A76F4A">
      <w:pPr>
        <w:ind w:left="-284" w:right="12"/>
        <w:jc w:val="both"/>
      </w:pPr>
    </w:p>
    <w:p w:rsidR="004B1813" w:rsidRPr="00374685" w:rsidRDefault="00E67CBC"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374685">
        <w:rPr>
          <w:rFonts w:ascii="Times New Roman" w:hAnsi="Times New Roman"/>
          <w:b/>
          <w:sz w:val="24"/>
          <w:szCs w:val="24"/>
        </w:rPr>
        <w:t>Pollution</w:t>
      </w:r>
      <w:r w:rsidR="004B1813" w:rsidRPr="00374685">
        <w:rPr>
          <w:rFonts w:ascii="Times New Roman" w:hAnsi="Times New Roman"/>
          <w:b/>
          <w:sz w:val="24"/>
          <w:szCs w:val="24"/>
        </w:rPr>
        <w:t xml:space="preserve"> des eaux </w:t>
      </w:r>
      <w:r w:rsidR="00BD75CE">
        <w:rPr>
          <w:rFonts w:ascii="Times New Roman" w:hAnsi="Times New Roman"/>
          <w:b/>
          <w:sz w:val="24"/>
          <w:szCs w:val="24"/>
        </w:rPr>
        <w:t>et sols</w:t>
      </w:r>
      <w:r w:rsidR="004B1813" w:rsidRPr="00374685">
        <w:rPr>
          <w:rFonts w:ascii="Times New Roman" w:hAnsi="Times New Roman"/>
          <w:b/>
          <w:sz w:val="24"/>
          <w:szCs w:val="24"/>
        </w:rPr>
        <w:t xml:space="preserve"> </w:t>
      </w:r>
    </w:p>
    <w:p w:rsidR="004B1813" w:rsidRDefault="00BD75CE" w:rsidP="00A76F4A">
      <w:pPr>
        <w:ind w:right="12"/>
        <w:jc w:val="both"/>
      </w:pPr>
      <w:r>
        <w:t xml:space="preserve">L'utilisation de produits agrochimiques contribuera à l'eutrophisation des sols et des eaux (de surface et souterraines) et à leur contamination par des polluants dangereux. </w:t>
      </w:r>
      <w:r w:rsidR="004B1813" w:rsidRPr="000F74C0">
        <w:t>Dans le cadre de l’inten</w:t>
      </w:r>
      <w:r w:rsidR="004B1813">
        <w:t>sification des cultures,</w:t>
      </w:r>
      <w:r w:rsidR="004B1813" w:rsidRPr="000F74C0">
        <w:t xml:space="preserve"> pour lutter contre la prolifér</w:t>
      </w:r>
      <w:r w:rsidR="004B1813">
        <w:t>ation des parasites dans les champs, les agriculteurs favorisent</w:t>
      </w:r>
      <w:r w:rsidR="004B1813" w:rsidRPr="000F74C0">
        <w:t xml:space="preserve"> l’utilisation </w:t>
      </w:r>
      <w:r w:rsidR="004B1813">
        <w:t xml:space="preserve">de pesticide et </w:t>
      </w:r>
      <w:r w:rsidR="004B1813" w:rsidRPr="000F74C0">
        <w:t xml:space="preserve">d’engrais minéraux. Ces </w:t>
      </w:r>
      <w:r w:rsidR="004B1813">
        <w:t>pesticides et d’</w:t>
      </w:r>
      <w:r w:rsidR="004B1813" w:rsidRPr="000F74C0">
        <w:t xml:space="preserve">engrais font partie des principales sources libérant de l’azote </w:t>
      </w:r>
      <w:r w:rsidR="004B1813">
        <w:t>et du phosphore dans la nature</w:t>
      </w:r>
      <w:r w:rsidR="004B1813" w:rsidRPr="000F74C0">
        <w:t xml:space="preserve"> </w:t>
      </w:r>
      <w:r w:rsidR="004B1813">
        <w:t>ainsi, c</w:t>
      </w:r>
      <w:r w:rsidR="004B1813" w:rsidRPr="000F74C0">
        <w:t>es éléments ch</w:t>
      </w:r>
      <w:r w:rsidR="004B1813">
        <w:t>imiques pourraient</w:t>
      </w:r>
      <w:r w:rsidR="004B1813" w:rsidRPr="000F74C0">
        <w:t xml:space="preserve"> être lessivés par les eaux de drainage et de ruissellement.  Lorsqu’ils parviennent en grande quantité dans un cours d’eau, ils y provoquent généralement une prolifération d’algues et d’autres plantes aquatiques, donnant </w:t>
      </w:r>
      <w:r w:rsidR="004B1813" w:rsidRPr="000F74C0">
        <w:lastRenderedPageBreak/>
        <w:t>lieu ainsi à une eutrophisation avec une perte de productivité du milieu aquatique et la disparition progressive des potentialités piscicoles.</w:t>
      </w:r>
    </w:p>
    <w:p w:rsidR="00BD75CE" w:rsidRDefault="00BD75CE" w:rsidP="00A76F4A">
      <w:pPr>
        <w:ind w:left="-284" w:right="12"/>
        <w:jc w:val="both"/>
      </w:pPr>
    </w:p>
    <w:p w:rsidR="00BD75CE" w:rsidRDefault="00BD75CE" w:rsidP="003400A4">
      <w:pPr>
        <w:tabs>
          <w:tab w:val="left" w:pos="-720"/>
          <w:tab w:val="left" w:pos="708"/>
        </w:tabs>
        <w:autoSpaceDN w:val="0"/>
        <w:ind w:right="12"/>
        <w:jc w:val="both"/>
        <w:rPr>
          <w:rFonts w:eastAsia="Times New Roman"/>
          <w:b/>
          <w:bCs/>
          <w:spacing w:val="-3"/>
          <w:lang w:val="fr-CA"/>
        </w:rPr>
      </w:pPr>
      <w:r w:rsidRPr="009A0731">
        <w:rPr>
          <w:rFonts w:eastAsia="Times New Roman"/>
          <w:b/>
          <w:bCs/>
          <w:spacing w:val="-3"/>
          <w:lang w:val="fr-CA"/>
        </w:rPr>
        <w:t>Impacts sociaux</w:t>
      </w:r>
    </w:p>
    <w:p w:rsidR="00BD75CE" w:rsidRPr="00D01B35" w:rsidRDefault="00E67CBC"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L’augmentation</w:t>
      </w:r>
      <w:r w:rsidR="00BD75CE" w:rsidRPr="00D01B35">
        <w:rPr>
          <w:rFonts w:ascii="Times New Roman" w:hAnsi="Times New Roman"/>
          <w:b/>
          <w:sz w:val="24"/>
          <w:szCs w:val="24"/>
        </w:rPr>
        <w:t xml:space="preserve"> des terres agricoles</w:t>
      </w:r>
    </w:p>
    <w:p w:rsidR="00BD75CE" w:rsidRDefault="00BD75CE" w:rsidP="00A76F4A">
      <w:pPr>
        <w:ind w:right="12"/>
        <w:jc w:val="both"/>
      </w:pPr>
      <w:r>
        <w:t xml:space="preserve">L’augmentation des </w:t>
      </w:r>
      <w:r w:rsidRPr="00FC3805">
        <w:t>exploitation</w:t>
      </w:r>
      <w:r>
        <w:t>s</w:t>
      </w:r>
      <w:r w:rsidRPr="00FC3805">
        <w:t xml:space="preserve"> </w:t>
      </w:r>
      <w:r>
        <w:t xml:space="preserve">entrainera une augmentation des revenus chez les agriculteurs céréaliers et d’anacardier. Ainsi, certains agriculteurs chercheront à augmenter leur terre de récolte pour plus de profil, ce qui </w:t>
      </w:r>
      <w:r w:rsidRPr="00445670">
        <w:t>pourrait entraîner l’obstruction des couloirs de transhumance du bétail ou bien empiéter sur les espaces pastoraux ou bien empiéter sur espaces forestiers</w:t>
      </w:r>
      <w:r>
        <w:t>.</w:t>
      </w:r>
      <w:r w:rsidRPr="00445670">
        <w:t xml:space="preserve"> </w:t>
      </w:r>
    </w:p>
    <w:p w:rsidR="00BD75CE" w:rsidRPr="00445670" w:rsidRDefault="00BD75CE" w:rsidP="00A76F4A">
      <w:pPr>
        <w:ind w:right="12"/>
        <w:jc w:val="both"/>
      </w:pPr>
    </w:p>
    <w:p w:rsidR="00BD75CE" w:rsidRPr="00445670" w:rsidRDefault="00BD75CE" w:rsidP="00A76F4A">
      <w:pPr>
        <w:ind w:right="12"/>
        <w:jc w:val="both"/>
      </w:pPr>
      <w:r w:rsidRPr="00445670">
        <w:t>Cette expansion des cultures va impacter négativement le développement de l’élevage et à la préservation des ressources forestiers et de plus, pourrait être à l’origine de conflits entre les producteurs et les éleveurs</w:t>
      </w:r>
      <w:r>
        <w:t xml:space="preserve"> ainsi qu’entre les producteurs et les services de protection des faunes et forets</w:t>
      </w:r>
      <w:r w:rsidRPr="00445670">
        <w:t>.</w:t>
      </w:r>
    </w:p>
    <w:p w:rsidR="00BD75CE" w:rsidRPr="00BD75CE" w:rsidRDefault="00BD75CE" w:rsidP="00A76F4A">
      <w:pPr>
        <w:tabs>
          <w:tab w:val="left" w:pos="-720"/>
          <w:tab w:val="left" w:pos="708"/>
        </w:tabs>
        <w:autoSpaceDN w:val="0"/>
        <w:ind w:left="-284" w:right="12"/>
        <w:jc w:val="both"/>
        <w:rPr>
          <w:rFonts w:eastAsia="Times New Roman"/>
          <w:b/>
          <w:bCs/>
          <w:spacing w:val="-3"/>
        </w:rPr>
      </w:pPr>
    </w:p>
    <w:p w:rsidR="004B0612" w:rsidRPr="00D01B35" w:rsidRDefault="00E67CBC"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Les</w:t>
      </w:r>
      <w:r w:rsidR="004B0612" w:rsidRPr="00D01B35">
        <w:rPr>
          <w:rFonts w:ascii="Times New Roman" w:hAnsi="Times New Roman"/>
          <w:b/>
          <w:sz w:val="24"/>
          <w:szCs w:val="24"/>
        </w:rPr>
        <w:t xml:space="preserve"> risques sanitaires </w:t>
      </w:r>
    </w:p>
    <w:p w:rsidR="004B0612" w:rsidRDefault="00636C7C" w:rsidP="00A76F4A">
      <w:pPr>
        <w:ind w:right="12"/>
        <w:jc w:val="both"/>
      </w:pPr>
      <w:r w:rsidRPr="00FC3805">
        <w:t>L’e</w:t>
      </w:r>
      <w:r>
        <w:t xml:space="preserve">xploitation des champs d’anacardiers ou des terres agricoles </w:t>
      </w:r>
      <w:r w:rsidR="004B0612" w:rsidRPr="00FC3805">
        <w:t>v</w:t>
      </w:r>
      <w:r w:rsidR="002D73CA">
        <w:t>ont</w:t>
      </w:r>
      <w:r w:rsidR="004B0612" w:rsidRPr="00FC3805">
        <w:t xml:space="preserve"> entrainer une revalorisation des </w:t>
      </w:r>
      <w:r w:rsidR="004B0612">
        <w:t>communes</w:t>
      </w:r>
      <w:r w:rsidR="004B0612" w:rsidRPr="00FC3805">
        <w:t xml:space="preserve"> qui deviendront de nouveaux centres d’intérêt pour les populations du département, les acteurs des filières, les travailleurs, des prestataires de services, etc. </w:t>
      </w:r>
    </w:p>
    <w:p w:rsidR="00123DBC" w:rsidRPr="00FC3805" w:rsidRDefault="00123DBC" w:rsidP="00A76F4A">
      <w:pPr>
        <w:ind w:right="12"/>
        <w:jc w:val="both"/>
      </w:pPr>
    </w:p>
    <w:p w:rsidR="00F24D9E" w:rsidRDefault="004B0612" w:rsidP="00A76F4A">
      <w:pPr>
        <w:ind w:right="12"/>
        <w:jc w:val="both"/>
      </w:pPr>
      <w:r w:rsidRPr="00FC3805">
        <w:t xml:space="preserve">Ainsi, </w:t>
      </w:r>
      <w:r w:rsidR="00F03A2E">
        <w:t>ces nouveaux centres d’</w:t>
      </w:r>
      <w:r w:rsidR="002C4B4D">
        <w:t>intérêt</w:t>
      </w:r>
      <w:r w:rsidRPr="00FC3805">
        <w:t xml:space="preserve"> ser</w:t>
      </w:r>
      <w:r w:rsidR="002C4B4D">
        <w:t>ont</w:t>
      </w:r>
      <w:r w:rsidRPr="00FC3805">
        <w:t xml:space="preserve"> </w:t>
      </w:r>
      <w:r w:rsidR="00883643">
        <w:t>des</w:t>
      </w:r>
      <w:r w:rsidRPr="00FC3805">
        <w:t xml:space="preserve"> point</w:t>
      </w:r>
      <w:r w:rsidR="00883643">
        <w:t>s</w:t>
      </w:r>
      <w:r w:rsidRPr="00FC3805">
        <w:t xml:space="preserve"> de rencontre </w:t>
      </w:r>
      <w:r w:rsidR="00123DBC">
        <w:t xml:space="preserve">avec </w:t>
      </w:r>
      <w:r w:rsidR="00123DBC" w:rsidRPr="00FC3805">
        <w:t>des</w:t>
      </w:r>
      <w:r w:rsidRPr="00FC3805">
        <w:t xml:space="preserve"> personnes étrangères. A terme, ce changement de la démographie et le brassage entre étrangers et autochtones qui en découlera, pourraient accroitre la </w:t>
      </w:r>
      <w:r>
        <w:t xml:space="preserve">propagation du COVID 19. </w:t>
      </w:r>
    </w:p>
    <w:p w:rsidR="00F24D9E" w:rsidRDefault="00F24D9E" w:rsidP="00A76F4A">
      <w:pPr>
        <w:ind w:right="12"/>
        <w:jc w:val="both"/>
      </w:pPr>
    </w:p>
    <w:p w:rsidR="004B0612" w:rsidRDefault="004B0612" w:rsidP="00A76F4A">
      <w:pPr>
        <w:ind w:right="12"/>
        <w:jc w:val="both"/>
      </w:pPr>
      <w:r>
        <w:t>De plus</w:t>
      </w:r>
      <w:r w:rsidRPr="00FC3805">
        <w:t xml:space="preserve">, cet afflux de personnes, combiné au contexte de pauvreté qui règne dans certaines localités, peut favoriser l’exposition des jeunes aux infections sexuellement transmissibles dont le </w:t>
      </w:r>
      <w:r w:rsidRPr="00EA2370">
        <w:t>VIH/SIDA</w:t>
      </w:r>
      <w:r w:rsidR="0048393E">
        <w:t xml:space="preserve"> et un </w:t>
      </w:r>
      <w:r w:rsidR="0048393E" w:rsidRPr="00EA2370">
        <w:t>risque d’augmentation de VBG et en particulier d'EAS/HS</w:t>
      </w:r>
      <w:r w:rsidR="00AC7C3A" w:rsidRPr="00EA2370">
        <w:t>,</w:t>
      </w:r>
    </w:p>
    <w:p w:rsidR="00276190" w:rsidRPr="00A05698" w:rsidRDefault="00276190" w:rsidP="00A76F4A">
      <w:pPr>
        <w:ind w:right="12"/>
        <w:jc w:val="both"/>
        <w:rPr>
          <w:color w:val="000000" w:themeColor="text1"/>
          <w:lang w:val="fr-CA"/>
        </w:rPr>
      </w:pPr>
    </w:p>
    <w:p w:rsidR="00E67CBC" w:rsidRPr="003400A4" w:rsidRDefault="00276190" w:rsidP="003400A4">
      <w:pPr>
        <w:ind w:right="12"/>
        <w:jc w:val="center"/>
        <w:rPr>
          <w:rFonts w:eastAsia="Times New Roman"/>
          <w:b/>
          <w:sz w:val="20"/>
          <w:szCs w:val="20"/>
        </w:rPr>
      </w:pPr>
      <w:bookmarkStart w:id="299" w:name="_Toc433039776"/>
      <w:bookmarkStart w:id="300" w:name="_Toc4073096"/>
      <w:bookmarkStart w:id="301" w:name="_Toc75503450"/>
      <w:r w:rsidRPr="003400A4">
        <w:rPr>
          <w:b/>
          <w:sz w:val="20"/>
          <w:szCs w:val="20"/>
        </w:rPr>
        <w:t xml:space="preserve">Tableau </w:t>
      </w:r>
      <w:r w:rsidRPr="003400A4">
        <w:rPr>
          <w:b/>
          <w:sz w:val="20"/>
          <w:szCs w:val="20"/>
        </w:rPr>
        <w:fldChar w:fldCharType="begin"/>
      </w:r>
      <w:r w:rsidRPr="003400A4">
        <w:rPr>
          <w:b/>
          <w:sz w:val="20"/>
          <w:szCs w:val="20"/>
        </w:rPr>
        <w:instrText xml:space="preserve"> </w:instrText>
      </w:r>
      <w:r w:rsidR="006C5620" w:rsidRPr="003400A4">
        <w:rPr>
          <w:b/>
          <w:sz w:val="20"/>
          <w:szCs w:val="20"/>
        </w:rPr>
        <w:instrText>SEQ</w:instrText>
      </w:r>
      <w:r w:rsidRPr="003400A4">
        <w:rPr>
          <w:b/>
          <w:sz w:val="20"/>
          <w:szCs w:val="20"/>
        </w:rPr>
        <w:instrText xml:space="preserve"> Tableau \* ARABIC </w:instrText>
      </w:r>
      <w:r w:rsidRPr="003400A4">
        <w:rPr>
          <w:b/>
          <w:sz w:val="20"/>
          <w:szCs w:val="20"/>
        </w:rPr>
        <w:fldChar w:fldCharType="separate"/>
      </w:r>
      <w:r w:rsidR="000C372B" w:rsidRPr="003400A4">
        <w:rPr>
          <w:b/>
          <w:noProof/>
          <w:sz w:val="20"/>
          <w:szCs w:val="20"/>
        </w:rPr>
        <w:t>16</w:t>
      </w:r>
      <w:r w:rsidRPr="003400A4">
        <w:rPr>
          <w:b/>
          <w:sz w:val="20"/>
          <w:szCs w:val="20"/>
        </w:rPr>
        <w:fldChar w:fldCharType="end"/>
      </w:r>
      <w:r w:rsidRPr="003400A4">
        <w:rPr>
          <w:b/>
          <w:sz w:val="20"/>
          <w:szCs w:val="20"/>
        </w:rPr>
        <w:t xml:space="preserve">: </w:t>
      </w:r>
      <w:r w:rsidR="00E67CBC" w:rsidRPr="003400A4">
        <w:rPr>
          <w:b/>
          <w:sz w:val="20"/>
          <w:szCs w:val="20"/>
        </w:rPr>
        <w:t>Synthèse d</w:t>
      </w:r>
      <w:r w:rsidRPr="003400A4">
        <w:rPr>
          <w:b/>
          <w:sz w:val="20"/>
          <w:szCs w:val="20"/>
        </w:rPr>
        <w:t xml:space="preserve">es impacts négatifs </w:t>
      </w:r>
      <w:bookmarkEnd w:id="299"/>
      <w:bookmarkEnd w:id="300"/>
      <w:r w:rsidR="00E67CBC" w:rsidRPr="003400A4">
        <w:rPr>
          <w:rFonts w:eastAsia="Times New Roman"/>
          <w:b/>
          <w:sz w:val="20"/>
          <w:szCs w:val="20"/>
        </w:rPr>
        <w:t>par</w:t>
      </w:r>
      <w:r w:rsidR="000B667E" w:rsidRPr="003400A4">
        <w:rPr>
          <w:rFonts w:eastAsia="Times New Roman"/>
          <w:b/>
          <w:sz w:val="20"/>
          <w:szCs w:val="20"/>
        </w:rPr>
        <w:t xml:space="preserve"> rapport au s</w:t>
      </w:r>
      <w:r w:rsidR="00E67CBC" w:rsidRPr="003400A4">
        <w:rPr>
          <w:rFonts w:eastAsia="Times New Roman"/>
          <w:b/>
          <w:sz w:val="20"/>
          <w:szCs w:val="20"/>
        </w:rPr>
        <w:t>outien à la production agricole et à la réhabilitation des rizières</w:t>
      </w:r>
      <w:bookmarkEnd w:id="301"/>
    </w:p>
    <w:p w:rsidR="00276190" w:rsidRPr="00A05698" w:rsidRDefault="00276190" w:rsidP="00A76F4A">
      <w:pPr>
        <w:pStyle w:val="Primeiroavanodecorpodetexto2"/>
        <w:spacing w:after="0" w:line="240" w:lineRule="auto"/>
        <w:ind w:right="12"/>
        <w:jc w:val="center"/>
        <w:rPr>
          <w:rFonts w:ascii="Times New Roman" w:hAnsi="Times New Roman"/>
          <w:b/>
        </w:rPr>
      </w:pPr>
    </w:p>
    <w:tbl>
      <w:tblPr>
        <w:tblStyle w:val="TableauGrille1Clair-Accentuation61"/>
        <w:tblW w:w="9803" w:type="dxa"/>
        <w:jc w:val="center"/>
        <w:tblLook w:val="04A0" w:firstRow="1" w:lastRow="0" w:firstColumn="1" w:lastColumn="0" w:noHBand="0" w:noVBand="1"/>
      </w:tblPr>
      <w:tblGrid>
        <w:gridCol w:w="1629"/>
        <w:gridCol w:w="8174"/>
      </w:tblGrid>
      <w:tr w:rsidR="00276190" w:rsidRPr="003400A4" w:rsidTr="00F923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2" w:type="dxa"/>
            <w:shd w:val="clear" w:color="auto" w:fill="E2EFD9" w:themeFill="accent6" w:themeFillTint="33"/>
            <w:vAlign w:val="center"/>
          </w:tcPr>
          <w:p w:rsidR="00276190" w:rsidRPr="003400A4" w:rsidRDefault="00276190" w:rsidP="00A76F4A">
            <w:pPr>
              <w:autoSpaceDE w:val="0"/>
              <w:autoSpaceDN w:val="0"/>
              <w:adjustRightInd w:val="0"/>
              <w:ind w:right="12"/>
              <w:jc w:val="center"/>
              <w:rPr>
                <w:color w:val="000000" w:themeColor="text1"/>
              </w:rPr>
            </w:pPr>
            <w:r w:rsidRPr="003400A4">
              <w:rPr>
                <w:color w:val="000000" w:themeColor="text1"/>
              </w:rPr>
              <w:t>Activités</w:t>
            </w:r>
          </w:p>
        </w:tc>
        <w:tc>
          <w:tcPr>
            <w:tcW w:w="8291" w:type="dxa"/>
            <w:shd w:val="clear" w:color="auto" w:fill="E2EFD9" w:themeFill="accent6" w:themeFillTint="33"/>
          </w:tcPr>
          <w:p w:rsidR="00276190" w:rsidRPr="003400A4" w:rsidRDefault="00276190" w:rsidP="00A76F4A">
            <w:pPr>
              <w:autoSpaceDE w:val="0"/>
              <w:autoSpaceDN w:val="0"/>
              <w:adjustRightInd w:val="0"/>
              <w:ind w:right="12"/>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400A4">
              <w:rPr>
                <w:color w:val="000000" w:themeColor="text1"/>
              </w:rPr>
              <w:t>Impacts négatifs</w:t>
            </w:r>
            <w:r w:rsidR="002155D9" w:rsidRPr="003400A4">
              <w:rPr>
                <w:color w:val="000000" w:themeColor="text1"/>
              </w:rPr>
              <w:t xml:space="preserve"> globaux</w:t>
            </w:r>
          </w:p>
        </w:tc>
      </w:tr>
      <w:tr w:rsidR="00003D2A" w:rsidRPr="003400A4" w:rsidTr="00F92390">
        <w:trPr>
          <w:jc w:val="center"/>
        </w:trPr>
        <w:tc>
          <w:tcPr>
            <w:cnfStyle w:val="001000000000" w:firstRow="0" w:lastRow="0" w:firstColumn="1" w:lastColumn="0" w:oddVBand="0" w:evenVBand="0" w:oddHBand="0" w:evenHBand="0" w:firstRowFirstColumn="0" w:firstRowLastColumn="0" w:lastRowFirstColumn="0" w:lastRowLastColumn="0"/>
            <w:tcW w:w="1512" w:type="dxa"/>
            <w:vMerge w:val="restart"/>
            <w:shd w:val="clear" w:color="auto" w:fill="E2EFD9" w:themeFill="accent6" w:themeFillTint="33"/>
            <w:vAlign w:val="center"/>
          </w:tcPr>
          <w:p w:rsidR="007B51B5" w:rsidRPr="003400A4" w:rsidRDefault="007B51B5" w:rsidP="00A76F4A">
            <w:pPr>
              <w:spacing w:before="60" w:after="60"/>
              <w:ind w:right="12"/>
              <w:jc w:val="center"/>
            </w:pPr>
          </w:p>
          <w:p w:rsidR="007B51B5" w:rsidRPr="003400A4" w:rsidRDefault="007B51B5" w:rsidP="00A76F4A">
            <w:pPr>
              <w:spacing w:before="60" w:after="60"/>
              <w:ind w:right="12"/>
              <w:jc w:val="center"/>
            </w:pPr>
          </w:p>
          <w:p w:rsidR="007B51B5" w:rsidRPr="003400A4" w:rsidRDefault="007B51B5" w:rsidP="00A76F4A">
            <w:pPr>
              <w:spacing w:before="60" w:after="60"/>
              <w:ind w:right="12"/>
              <w:jc w:val="center"/>
            </w:pPr>
          </w:p>
          <w:p w:rsidR="007B51B5" w:rsidRPr="003400A4" w:rsidRDefault="007B51B5" w:rsidP="00A76F4A">
            <w:pPr>
              <w:spacing w:before="60" w:after="60"/>
              <w:ind w:right="12"/>
              <w:jc w:val="center"/>
            </w:pPr>
          </w:p>
          <w:p w:rsidR="007B51B5" w:rsidRPr="003400A4" w:rsidRDefault="007B51B5" w:rsidP="00A76F4A">
            <w:pPr>
              <w:spacing w:before="60" w:after="60"/>
              <w:ind w:right="12"/>
              <w:jc w:val="center"/>
            </w:pPr>
          </w:p>
          <w:p w:rsidR="007B51B5" w:rsidRPr="003400A4" w:rsidRDefault="007B51B5" w:rsidP="00A76F4A">
            <w:pPr>
              <w:spacing w:before="60" w:after="60"/>
              <w:ind w:right="12"/>
              <w:jc w:val="center"/>
            </w:pPr>
          </w:p>
          <w:p w:rsidR="007B51B5" w:rsidRPr="003400A4" w:rsidRDefault="007B51B5" w:rsidP="00A76F4A">
            <w:pPr>
              <w:spacing w:before="60" w:after="60"/>
              <w:ind w:right="12"/>
              <w:jc w:val="center"/>
            </w:pPr>
          </w:p>
          <w:p w:rsidR="007B51B5" w:rsidRPr="003400A4" w:rsidRDefault="007B51B5" w:rsidP="00A76F4A">
            <w:pPr>
              <w:spacing w:before="60" w:after="60"/>
              <w:ind w:right="12"/>
              <w:jc w:val="center"/>
            </w:pPr>
          </w:p>
          <w:p w:rsidR="007B51B5" w:rsidRPr="003400A4" w:rsidRDefault="007B51B5" w:rsidP="00A76F4A">
            <w:pPr>
              <w:spacing w:before="60" w:after="60"/>
              <w:ind w:right="12"/>
              <w:jc w:val="center"/>
            </w:pPr>
          </w:p>
          <w:p w:rsidR="00003D2A" w:rsidRPr="003400A4" w:rsidRDefault="00003D2A" w:rsidP="00A76F4A">
            <w:pPr>
              <w:spacing w:before="60" w:after="60"/>
              <w:ind w:right="12"/>
              <w:jc w:val="center"/>
            </w:pPr>
            <w:r w:rsidRPr="003400A4">
              <w:t>Soutien à la production agricole</w:t>
            </w:r>
            <w:r w:rsidR="007B51B5" w:rsidRPr="003400A4">
              <w:t xml:space="preserve"> et à la </w:t>
            </w:r>
            <w:r w:rsidR="007B51B5" w:rsidRPr="003400A4">
              <w:lastRenderedPageBreak/>
              <w:t>réhabilitation et à l’exploitation des rizières</w:t>
            </w:r>
          </w:p>
          <w:p w:rsidR="00003D2A" w:rsidRPr="003400A4" w:rsidRDefault="00003D2A" w:rsidP="00A76F4A">
            <w:pPr>
              <w:pStyle w:val="PargrafodaLista"/>
              <w:spacing w:line="240" w:lineRule="auto"/>
              <w:ind w:right="12"/>
              <w:jc w:val="center"/>
              <w:rPr>
                <w:rFonts w:ascii="Times New Roman" w:eastAsiaTheme="minorHAnsi" w:hAnsi="Times New Roman"/>
                <w:sz w:val="24"/>
                <w:szCs w:val="24"/>
              </w:rPr>
            </w:pPr>
          </w:p>
        </w:tc>
        <w:tc>
          <w:tcPr>
            <w:tcW w:w="8291" w:type="dxa"/>
            <w:shd w:val="clear" w:color="auto" w:fill="E2EFD9" w:themeFill="accent6" w:themeFillTint="33"/>
          </w:tcPr>
          <w:p w:rsidR="00003D2A" w:rsidRPr="003400A4" w:rsidRDefault="00003D2A" w:rsidP="00A76F4A">
            <w:pPr>
              <w:autoSpaceDE w:val="0"/>
              <w:autoSpaceDN w:val="0"/>
              <w:adjustRightInd w:val="0"/>
              <w:ind w:right="12"/>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3400A4">
              <w:rPr>
                <w:b/>
                <w:color w:val="000000" w:themeColor="text1"/>
              </w:rPr>
              <w:lastRenderedPageBreak/>
              <w:t>En phase de</w:t>
            </w:r>
            <w:r w:rsidR="000B667E" w:rsidRPr="003400A4">
              <w:rPr>
                <w:b/>
                <w:color w:val="000000" w:themeColor="text1"/>
              </w:rPr>
              <w:t>s</w:t>
            </w:r>
            <w:r w:rsidRPr="003400A4">
              <w:rPr>
                <w:b/>
                <w:color w:val="000000" w:themeColor="text1"/>
              </w:rPr>
              <w:t xml:space="preserve"> </w:t>
            </w:r>
            <w:r w:rsidR="00E757A4" w:rsidRPr="003400A4">
              <w:rPr>
                <w:b/>
                <w:color w:val="000000" w:themeColor="text1"/>
              </w:rPr>
              <w:t>travaux</w:t>
            </w:r>
            <w:r w:rsidRPr="003400A4">
              <w:rPr>
                <w:b/>
                <w:color w:val="000000" w:themeColor="text1"/>
              </w:rPr>
              <w:t xml:space="preserve"> du projet</w:t>
            </w:r>
          </w:p>
        </w:tc>
      </w:tr>
      <w:tr w:rsidR="00003D2A" w:rsidRPr="003400A4" w:rsidTr="00F92390">
        <w:trPr>
          <w:jc w:val="center"/>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E2EFD9" w:themeFill="accent6" w:themeFillTint="33"/>
            <w:vAlign w:val="center"/>
          </w:tcPr>
          <w:p w:rsidR="00003D2A" w:rsidRPr="003400A4" w:rsidRDefault="00003D2A" w:rsidP="00A76F4A">
            <w:pPr>
              <w:pStyle w:val="PargrafodaLista"/>
              <w:spacing w:line="240" w:lineRule="auto"/>
              <w:ind w:right="12"/>
              <w:jc w:val="center"/>
              <w:rPr>
                <w:rFonts w:ascii="Times New Roman" w:hAnsi="Times New Roman"/>
                <w:color w:val="000000" w:themeColor="text1"/>
                <w:sz w:val="24"/>
                <w:szCs w:val="24"/>
              </w:rPr>
            </w:pPr>
          </w:p>
        </w:tc>
        <w:tc>
          <w:tcPr>
            <w:tcW w:w="8291" w:type="dxa"/>
            <w:shd w:val="clear" w:color="auto" w:fill="auto"/>
          </w:tcPr>
          <w:p w:rsidR="00A0660C" w:rsidRPr="003400A4" w:rsidRDefault="00003D2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 xml:space="preserve">Risque de mauvais ciblages des acteurs concernés par ce projet </w:t>
            </w:r>
            <w:r w:rsidR="00A0660C" w:rsidRPr="003400A4">
              <w:rPr>
                <w:rFonts w:ascii="Times New Roman" w:hAnsi="Times New Roman"/>
                <w:color w:val="000000" w:themeColor="text1"/>
                <w:sz w:val="24"/>
                <w:szCs w:val="24"/>
                <w:lang w:val="fr-CA"/>
              </w:rPr>
              <w:t xml:space="preserve">(surtout par rapport aux </w:t>
            </w:r>
            <w:r w:rsidR="00A57DCB" w:rsidRPr="003400A4">
              <w:rPr>
                <w:rFonts w:ascii="Times New Roman" w:hAnsi="Times New Roman"/>
                <w:color w:val="000000" w:themeColor="text1"/>
                <w:sz w:val="24"/>
                <w:szCs w:val="24"/>
                <w:lang w:val="fr-CA"/>
              </w:rPr>
              <w:t>activités des</w:t>
            </w:r>
            <w:r w:rsidR="00A0660C" w:rsidRPr="003400A4">
              <w:rPr>
                <w:rFonts w:ascii="Times New Roman" w:hAnsi="Times New Roman"/>
                <w:color w:val="000000" w:themeColor="text1"/>
                <w:sz w:val="24"/>
                <w:szCs w:val="24"/>
                <w:lang w:val="fr-CA"/>
              </w:rPr>
              <w:t xml:space="preserve"> dons de terrain);</w:t>
            </w:r>
          </w:p>
          <w:p w:rsidR="00A0660C" w:rsidRPr="003400A4" w:rsidRDefault="00A0660C"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sz w:val="24"/>
                <w:szCs w:val="24"/>
              </w:rPr>
              <w:t xml:space="preserve">Risque de </w:t>
            </w:r>
            <w:r w:rsidR="001744EF" w:rsidRPr="003400A4">
              <w:rPr>
                <w:rFonts w:ascii="Times New Roman" w:hAnsi="Times New Roman"/>
                <w:sz w:val="24"/>
                <w:szCs w:val="24"/>
              </w:rPr>
              <w:t>corruption</w:t>
            </w:r>
            <w:r w:rsidR="007F41AB" w:rsidRPr="003400A4">
              <w:rPr>
                <w:rFonts w:ascii="Times New Roman" w:hAnsi="Times New Roman"/>
                <w:sz w:val="24"/>
                <w:szCs w:val="24"/>
              </w:rPr>
              <w:t xml:space="preserve"> </w:t>
            </w:r>
            <w:r w:rsidRPr="003400A4">
              <w:rPr>
                <w:rFonts w:ascii="Times New Roman" w:hAnsi="Times New Roman"/>
                <w:sz w:val="24"/>
                <w:szCs w:val="24"/>
              </w:rPr>
              <w:t>et que les personnes ne soient pas bien informées des options du projet</w:t>
            </w:r>
          </w:p>
          <w:p w:rsidR="00F81092" w:rsidRPr="003400A4" w:rsidRDefault="00F81092"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rPr>
              <w:t xml:space="preserve">Le risque d’absence d’équité et de transparence, ainsi que la discrimination dans la procédure d’allocation et d’appui aux </w:t>
            </w:r>
            <w:r w:rsidR="003D240E" w:rsidRPr="003400A4">
              <w:rPr>
                <w:rFonts w:ascii="Times New Roman" w:hAnsi="Times New Roman"/>
                <w:color w:val="000000" w:themeColor="text1"/>
                <w:sz w:val="24"/>
                <w:szCs w:val="24"/>
              </w:rPr>
              <w:t xml:space="preserve">bénéficiaires </w:t>
            </w:r>
            <w:r w:rsidRPr="003400A4">
              <w:rPr>
                <w:rFonts w:ascii="Times New Roman" w:hAnsi="Times New Roman"/>
                <w:color w:val="000000" w:themeColor="text1"/>
                <w:sz w:val="24"/>
                <w:szCs w:val="24"/>
              </w:rPr>
              <w:t>pourraient entraîner des conflits sociaux pouvant compromettre l’atteinte des résultats escomptés par le projet</w:t>
            </w:r>
            <w:r w:rsidR="002A67B1" w:rsidRPr="003400A4">
              <w:rPr>
                <w:rFonts w:ascii="Times New Roman" w:hAnsi="Times New Roman"/>
                <w:color w:val="000000" w:themeColor="text1"/>
                <w:sz w:val="24"/>
                <w:szCs w:val="24"/>
              </w:rPr>
              <w:t> ;</w:t>
            </w:r>
          </w:p>
          <w:p w:rsidR="00003D2A" w:rsidRPr="003400A4" w:rsidRDefault="00003D2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Risque de conflit entre les différents acteurs concernés par les soutiens du projet ;</w:t>
            </w:r>
          </w:p>
          <w:p w:rsidR="00003D2A" w:rsidRPr="003400A4" w:rsidRDefault="00003D2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Risque de distribution de mauvais semence ou d’engrais ou de matériel ;</w:t>
            </w:r>
          </w:p>
          <w:p w:rsidR="00003D2A" w:rsidRPr="003400A4" w:rsidRDefault="00003D2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Risque de retard de la mise en œuvre des distributions des semence et d’engrais ;</w:t>
            </w:r>
          </w:p>
          <w:p w:rsidR="00003D2A" w:rsidRPr="003400A4" w:rsidRDefault="00003D2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Risque de propagation de la pandémie de la Covid-19 ;</w:t>
            </w:r>
          </w:p>
          <w:p w:rsidR="00003D2A" w:rsidRPr="003400A4" w:rsidRDefault="00003D2A"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Risque de détournement des objectifs du projet ;</w:t>
            </w:r>
          </w:p>
          <w:p w:rsidR="00003D2A" w:rsidRPr="003400A4" w:rsidRDefault="00003D2A" w:rsidP="00A76F4A">
            <w:pPr>
              <w:pStyle w:val="PargrafodaLista"/>
              <w:numPr>
                <w:ilvl w:val="0"/>
                <w:numId w:val="60"/>
              </w:numPr>
              <w:tabs>
                <w:tab w:val="left" w:pos="5639"/>
              </w:tabs>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lastRenderedPageBreak/>
              <w:t>Risque d’abandon des cultures vivrières en faveur l’exploitation de l’anacardier</w:t>
            </w:r>
            <w:r w:rsidR="00A0660C" w:rsidRPr="003400A4">
              <w:rPr>
                <w:rFonts w:ascii="Times New Roman" w:hAnsi="Times New Roman"/>
                <w:color w:val="000000" w:themeColor="text1"/>
                <w:sz w:val="24"/>
                <w:szCs w:val="24"/>
                <w:lang w:val="fr-CA"/>
              </w:rPr>
              <w:t xml:space="preserve"> à cause </w:t>
            </w:r>
            <w:r w:rsidR="001D2E91" w:rsidRPr="003400A4">
              <w:rPr>
                <w:rFonts w:ascii="Times New Roman" w:hAnsi="Times New Roman"/>
                <w:color w:val="000000" w:themeColor="text1"/>
                <w:sz w:val="24"/>
                <w:szCs w:val="24"/>
                <w:lang w:val="fr-CA"/>
              </w:rPr>
              <w:t>des manques de moyen financier, le temps de production et d’écoulement des produits</w:t>
            </w:r>
            <w:r w:rsidR="00E757A4" w:rsidRPr="003400A4">
              <w:rPr>
                <w:rFonts w:ascii="Times New Roman" w:hAnsi="Times New Roman"/>
                <w:color w:val="000000" w:themeColor="text1"/>
                <w:sz w:val="24"/>
                <w:szCs w:val="24"/>
                <w:lang w:val="fr-CA"/>
              </w:rPr>
              <w:t xml:space="preserve">, </w:t>
            </w:r>
            <w:r w:rsidR="007F41AB" w:rsidRPr="003400A4">
              <w:rPr>
                <w:rFonts w:ascii="Times New Roman" w:hAnsi="Times New Roman"/>
                <w:color w:val="000000" w:themeColor="text1"/>
                <w:sz w:val="24"/>
                <w:szCs w:val="24"/>
                <w:lang w:val="fr-CA"/>
              </w:rPr>
              <w:t>etc</w:t>
            </w:r>
            <w:r w:rsidRPr="003400A4">
              <w:rPr>
                <w:rFonts w:ascii="Times New Roman" w:hAnsi="Times New Roman"/>
                <w:color w:val="000000" w:themeColor="text1"/>
                <w:sz w:val="24"/>
                <w:szCs w:val="24"/>
                <w:lang w:val="fr-CA"/>
              </w:rPr>
              <w:t xml:space="preserve">; </w:t>
            </w:r>
          </w:p>
          <w:p w:rsidR="004768D1" w:rsidRPr="003400A4" w:rsidRDefault="004768D1"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4"/>
                <w:szCs w:val="24"/>
              </w:rPr>
            </w:pPr>
            <w:r w:rsidRPr="003400A4">
              <w:rPr>
                <w:rFonts w:ascii="Times New Roman" w:hAnsi="Times New Roman"/>
                <w:color w:val="000000" w:themeColor="text1"/>
                <w:sz w:val="24"/>
                <w:szCs w:val="24"/>
              </w:rPr>
              <w:t xml:space="preserve">La mise en place des activités du projet peut entraîner une attraction des populations étrangères au niveau des zones d’intervention et cette arrivée massive de populations pourrait être à l’origine de conflits sociaux (différences des pratiques sociales, </w:t>
            </w:r>
            <w:r w:rsidR="00DD7F0C" w:rsidRPr="003400A4">
              <w:rPr>
                <w:rFonts w:ascii="Times New Roman" w:hAnsi="Times New Roman"/>
                <w:color w:val="000000" w:themeColor="text1"/>
                <w:sz w:val="24"/>
                <w:szCs w:val="24"/>
              </w:rPr>
              <w:t>etc.</w:t>
            </w:r>
            <w:r w:rsidRPr="003400A4">
              <w:rPr>
                <w:rFonts w:ascii="Times New Roman" w:hAnsi="Times New Roman"/>
                <w:color w:val="000000" w:themeColor="text1"/>
                <w:sz w:val="24"/>
                <w:szCs w:val="24"/>
              </w:rPr>
              <w:t xml:space="preserve">) </w:t>
            </w:r>
          </w:p>
        </w:tc>
      </w:tr>
      <w:tr w:rsidR="00003D2A" w:rsidRPr="003400A4" w:rsidTr="00F92390">
        <w:trPr>
          <w:jc w:val="center"/>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E2EFD9" w:themeFill="accent6" w:themeFillTint="33"/>
            <w:vAlign w:val="center"/>
          </w:tcPr>
          <w:p w:rsidR="00003D2A" w:rsidRPr="003400A4" w:rsidRDefault="00003D2A" w:rsidP="00A76F4A">
            <w:pPr>
              <w:pStyle w:val="PargrafodaLista"/>
              <w:spacing w:line="240" w:lineRule="auto"/>
              <w:ind w:right="12"/>
              <w:jc w:val="center"/>
              <w:rPr>
                <w:rFonts w:ascii="Times New Roman" w:hAnsi="Times New Roman"/>
                <w:color w:val="000000" w:themeColor="text1"/>
                <w:sz w:val="24"/>
                <w:szCs w:val="24"/>
              </w:rPr>
            </w:pPr>
          </w:p>
        </w:tc>
        <w:tc>
          <w:tcPr>
            <w:tcW w:w="8291" w:type="dxa"/>
            <w:shd w:val="clear" w:color="auto" w:fill="E2EFD9" w:themeFill="accent6" w:themeFillTint="33"/>
          </w:tcPr>
          <w:p w:rsidR="00003D2A" w:rsidRPr="003400A4" w:rsidRDefault="005710DE" w:rsidP="00A76F4A">
            <w:pPr>
              <w:autoSpaceDE w:val="0"/>
              <w:autoSpaceDN w:val="0"/>
              <w:adjustRightInd w:val="0"/>
              <w:ind w:right="12"/>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3400A4">
              <w:rPr>
                <w:b/>
                <w:color w:val="000000" w:themeColor="text1"/>
              </w:rPr>
              <w:t>E</w:t>
            </w:r>
            <w:r w:rsidR="00003D2A" w:rsidRPr="003400A4">
              <w:rPr>
                <w:b/>
                <w:color w:val="000000" w:themeColor="text1"/>
              </w:rPr>
              <w:t>n phase d’exploitation du projet</w:t>
            </w:r>
          </w:p>
        </w:tc>
      </w:tr>
      <w:tr w:rsidR="00003D2A" w:rsidRPr="003400A4" w:rsidTr="00F92390">
        <w:trPr>
          <w:trHeight w:val="90"/>
          <w:jc w:val="center"/>
        </w:trPr>
        <w:tc>
          <w:tcPr>
            <w:cnfStyle w:val="001000000000" w:firstRow="0" w:lastRow="0" w:firstColumn="1" w:lastColumn="0" w:oddVBand="0" w:evenVBand="0" w:oddHBand="0" w:evenHBand="0" w:firstRowFirstColumn="0" w:firstRowLastColumn="0" w:lastRowFirstColumn="0" w:lastRowLastColumn="0"/>
            <w:tcW w:w="1512" w:type="dxa"/>
            <w:vMerge/>
            <w:vAlign w:val="center"/>
          </w:tcPr>
          <w:p w:rsidR="00003D2A" w:rsidRPr="003400A4" w:rsidRDefault="00003D2A" w:rsidP="00A76F4A">
            <w:pPr>
              <w:pStyle w:val="PargrafodaLista"/>
              <w:spacing w:line="240" w:lineRule="auto"/>
              <w:ind w:right="12"/>
              <w:jc w:val="center"/>
              <w:rPr>
                <w:rFonts w:ascii="Times New Roman" w:hAnsi="Times New Roman"/>
                <w:i/>
                <w:color w:val="000000" w:themeColor="text1"/>
                <w:sz w:val="24"/>
                <w:szCs w:val="24"/>
                <w:lang w:eastAsia="en-US"/>
              </w:rPr>
            </w:pPr>
          </w:p>
        </w:tc>
        <w:tc>
          <w:tcPr>
            <w:tcW w:w="8291" w:type="dxa"/>
          </w:tcPr>
          <w:p w:rsidR="00953D3D" w:rsidRPr="003400A4" w:rsidRDefault="00953D3D"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4"/>
                <w:szCs w:val="24"/>
              </w:rPr>
            </w:pPr>
            <w:r w:rsidRPr="003400A4">
              <w:rPr>
                <w:rFonts w:ascii="Times New Roman" w:hAnsi="Times New Roman"/>
                <w:color w:val="000000" w:themeColor="text1"/>
                <w:sz w:val="24"/>
                <w:szCs w:val="24"/>
              </w:rPr>
              <w:t xml:space="preserve">Risque de pollution des </w:t>
            </w:r>
            <w:r w:rsidR="00A64746" w:rsidRPr="003400A4">
              <w:rPr>
                <w:rFonts w:ascii="Times New Roman" w:hAnsi="Times New Roman"/>
                <w:color w:val="000000" w:themeColor="text1"/>
                <w:sz w:val="24"/>
                <w:szCs w:val="24"/>
              </w:rPr>
              <w:t xml:space="preserve">sols et </w:t>
            </w:r>
            <w:r w:rsidRPr="003400A4">
              <w:rPr>
                <w:rFonts w:ascii="Times New Roman" w:hAnsi="Times New Roman"/>
                <w:color w:val="000000" w:themeColor="text1"/>
                <w:sz w:val="24"/>
                <w:szCs w:val="24"/>
              </w:rPr>
              <w:t xml:space="preserve">eaux dans les zones d’intervention du projet pourrait être noter à cause des utilisations irrationnelle d’engrais et pesticides. </w:t>
            </w:r>
          </w:p>
          <w:p w:rsidR="00953D3D" w:rsidRPr="003400A4" w:rsidRDefault="00953D3D"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 xml:space="preserve">Ces utilisations des engrais et </w:t>
            </w:r>
            <w:r w:rsidR="009E5EA9" w:rsidRPr="003400A4">
              <w:rPr>
                <w:rFonts w:ascii="Times New Roman" w:hAnsi="Times New Roman"/>
                <w:color w:val="000000" w:themeColor="text1"/>
                <w:sz w:val="24"/>
                <w:szCs w:val="24"/>
                <w:lang w:val="fr-CA"/>
              </w:rPr>
              <w:t>pesticides pourraient</w:t>
            </w:r>
            <w:r w:rsidRPr="003400A4">
              <w:rPr>
                <w:rFonts w:ascii="Times New Roman" w:hAnsi="Times New Roman"/>
                <w:color w:val="000000" w:themeColor="text1"/>
                <w:sz w:val="24"/>
                <w:szCs w:val="24"/>
                <w:lang w:val="fr-CA"/>
              </w:rPr>
              <w:t xml:space="preserve"> engendrer des dégâts sur l’environnement (</w:t>
            </w:r>
            <w:r w:rsidRPr="003400A4">
              <w:rPr>
                <w:rFonts w:ascii="Times New Roman" w:hAnsi="Times New Roman"/>
                <w:color w:val="000000" w:themeColor="text1"/>
                <w:sz w:val="24"/>
                <w:szCs w:val="24"/>
              </w:rPr>
              <w:t xml:space="preserve">dégradation de la fertilité des sols) </w:t>
            </w:r>
            <w:r w:rsidRPr="003400A4">
              <w:rPr>
                <w:rFonts w:ascii="Times New Roman" w:hAnsi="Times New Roman"/>
                <w:color w:val="000000" w:themeColor="text1"/>
                <w:sz w:val="24"/>
                <w:szCs w:val="24"/>
                <w:lang w:val="fr-CA"/>
              </w:rPr>
              <w:t xml:space="preserve">et la santé des populations. </w:t>
            </w:r>
          </w:p>
          <w:p w:rsidR="00003D2A" w:rsidRPr="003400A4" w:rsidRDefault="005717F0"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400A4">
              <w:rPr>
                <w:rFonts w:ascii="Times New Roman" w:hAnsi="Times New Roman"/>
                <w:color w:val="000000" w:themeColor="text1"/>
                <w:sz w:val="24"/>
                <w:szCs w:val="24"/>
                <w:lang w:val="fr-CA"/>
              </w:rPr>
              <w:t>Les risques d’</w:t>
            </w:r>
            <w:r w:rsidR="00003D2A" w:rsidRPr="003400A4">
              <w:rPr>
                <w:rFonts w:ascii="Times New Roman" w:hAnsi="Times New Roman"/>
                <w:color w:val="000000" w:themeColor="text1"/>
                <w:sz w:val="24"/>
                <w:szCs w:val="24"/>
                <w:lang w:val="fr-CA"/>
              </w:rPr>
              <w:t>abattage d</w:t>
            </w:r>
            <w:r w:rsidR="00D8266B" w:rsidRPr="003400A4">
              <w:rPr>
                <w:rFonts w:ascii="Times New Roman" w:hAnsi="Times New Roman"/>
                <w:color w:val="000000" w:themeColor="text1"/>
                <w:sz w:val="24"/>
                <w:szCs w:val="24"/>
                <w:lang w:val="fr-CA"/>
              </w:rPr>
              <w:t xml:space="preserve">es </w:t>
            </w:r>
            <w:r w:rsidR="00003D2A" w:rsidRPr="003400A4">
              <w:rPr>
                <w:rFonts w:ascii="Times New Roman" w:hAnsi="Times New Roman"/>
                <w:color w:val="000000" w:themeColor="text1"/>
                <w:sz w:val="24"/>
                <w:szCs w:val="24"/>
                <w:lang w:val="fr-CA"/>
              </w:rPr>
              <w:t xml:space="preserve">arbres lors des travaux d’aménagement des périmètres </w:t>
            </w:r>
            <w:r w:rsidR="0080377E" w:rsidRPr="003400A4">
              <w:rPr>
                <w:rFonts w:ascii="Times New Roman" w:hAnsi="Times New Roman"/>
                <w:color w:val="000000" w:themeColor="text1"/>
                <w:sz w:val="24"/>
                <w:szCs w:val="24"/>
                <w:lang w:val="fr-CA"/>
              </w:rPr>
              <w:t>(</w:t>
            </w:r>
            <w:r w:rsidR="00003D2A" w:rsidRPr="003400A4">
              <w:rPr>
                <w:rFonts w:ascii="Times New Roman" w:hAnsi="Times New Roman"/>
                <w:color w:val="000000" w:themeColor="text1"/>
                <w:sz w:val="24"/>
                <w:szCs w:val="24"/>
                <w:lang w:val="fr-CA"/>
              </w:rPr>
              <w:t>agricoles</w:t>
            </w:r>
            <w:r w:rsidR="0080377E" w:rsidRPr="003400A4">
              <w:rPr>
                <w:rFonts w:ascii="Times New Roman" w:hAnsi="Times New Roman"/>
                <w:color w:val="000000" w:themeColor="text1"/>
                <w:sz w:val="24"/>
                <w:szCs w:val="24"/>
                <w:lang w:val="fr-CA"/>
              </w:rPr>
              <w:t xml:space="preserve"> ou des rizières</w:t>
            </w:r>
            <w:r w:rsidR="00DF430C" w:rsidRPr="003400A4">
              <w:rPr>
                <w:rFonts w:ascii="Times New Roman" w:hAnsi="Times New Roman"/>
                <w:color w:val="000000" w:themeColor="text1"/>
                <w:sz w:val="24"/>
                <w:szCs w:val="24"/>
                <w:lang w:val="fr-CA"/>
              </w:rPr>
              <w:t>)</w:t>
            </w:r>
            <w:r w:rsidR="0022431B" w:rsidRPr="003400A4">
              <w:rPr>
                <w:rFonts w:ascii="Times New Roman" w:hAnsi="Times New Roman"/>
                <w:color w:val="000000" w:themeColor="text1"/>
                <w:sz w:val="24"/>
                <w:szCs w:val="24"/>
              </w:rPr>
              <w:t xml:space="preserve"> </w:t>
            </w:r>
            <w:r w:rsidR="00DF430C" w:rsidRPr="003400A4">
              <w:rPr>
                <w:rFonts w:ascii="Times New Roman" w:hAnsi="Times New Roman"/>
                <w:color w:val="000000" w:themeColor="text1"/>
                <w:sz w:val="24"/>
                <w:szCs w:val="24"/>
              </w:rPr>
              <w:t>pourraient réduire l</w:t>
            </w:r>
            <w:r w:rsidR="00EC4DCB" w:rsidRPr="003400A4">
              <w:rPr>
                <w:rFonts w:ascii="Times New Roman" w:hAnsi="Times New Roman"/>
                <w:color w:val="000000" w:themeColor="text1"/>
                <w:sz w:val="24"/>
                <w:szCs w:val="24"/>
              </w:rPr>
              <w:t>es ressources forestières</w:t>
            </w:r>
            <w:r w:rsidR="00A64746" w:rsidRPr="003400A4">
              <w:rPr>
                <w:rFonts w:ascii="Times New Roman" w:hAnsi="Times New Roman"/>
                <w:color w:val="000000" w:themeColor="text1"/>
                <w:sz w:val="24"/>
                <w:szCs w:val="24"/>
              </w:rPr>
              <w:t xml:space="preserve">, déclencher le changement climatique et avoir un impact sur la </w:t>
            </w:r>
            <w:r w:rsidR="006171C0" w:rsidRPr="003400A4">
              <w:rPr>
                <w:rFonts w:ascii="Times New Roman" w:hAnsi="Times New Roman"/>
                <w:color w:val="000000" w:themeColor="text1"/>
                <w:sz w:val="24"/>
                <w:szCs w:val="24"/>
              </w:rPr>
              <w:t>réduction de la biodiversité</w:t>
            </w:r>
            <w:r w:rsidR="00DF430C" w:rsidRPr="003400A4">
              <w:rPr>
                <w:rFonts w:ascii="Times New Roman" w:hAnsi="Times New Roman"/>
                <w:color w:val="000000" w:themeColor="text1"/>
                <w:sz w:val="24"/>
                <w:szCs w:val="24"/>
              </w:rPr>
              <w:t>.</w:t>
            </w:r>
            <w:r w:rsidR="00EC4DCB" w:rsidRPr="003400A4">
              <w:rPr>
                <w:rFonts w:ascii="Times New Roman" w:hAnsi="Times New Roman"/>
                <w:color w:val="000000" w:themeColor="text1"/>
                <w:sz w:val="24"/>
                <w:szCs w:val="24"/>
              </w:rPr>
              <w:t xml:space="preserve"> </w:t>
            </w:r>
          </w:p>
          <w:p w:rsidR="00DC6839" w:rsidRPr="003400A4" w:rsidRDefault="00AD57E6"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rPr>
              <w:t xml:space="preserve">Intensification culturale pourrait entraîner une augmentation de l’utilisation des pesticides d’où </w:t>
            </w:r>
            <w:r w:rsidR="00E7677B" w:rsidRPr="003400A4">
              <w:rPr>
                <w:rFonts w:ascii="Times New Roman" w:hAnsi="Times New Roman"/>
                <w:color w:val="000000" w:themeColor="text1"/>
                <w:sz w:val="24"/>
                <w:szCs w:val="24"/>
              </w:rPr>
              <w:t xml:space="preserve">le </w:t>
            </w:r>
            <w:r w:rsidR="00E7677B" w:rsidRPr="003400A4">
              <w:rPr>
                <w:rFonts w:ascii="Times New Roman" w:hAnsi="Times New Roman"/>
                <w:color w:val="000000" w:themeColor="text1"/>
                <w:sz w:val="24"/>
                <w:szCs w:val="24"/>
                <w:lang w:val="fr-CA"/>
              </w:rPr>
              <w:t>r</w:t>
            </w:r>
            <w:r w:rsidR="00003D2A" w:rsidRPr="003400A4">
              <w:rPr>
                <w:rFonts w:ascii="Times New Roman" w:hAnsi="Times New Roman"/>
                <w:color w:val="000000" w:themeColor="text1"/>
                <w:sz w:val="24"/>
                <w:szCs w:val="24"/>
                <w:lang w:val="fr-CA"/>
              </w:rPr>
              <w:t>isque de développement de maladies liées à l’eau (Paludisme, Bilharziose, maladies diarrhéiques, dermatoses, etc.</w:t>
            </w:r>
            <w:r w:rsidR="00540CD9" w:rsidRPr="003400A4">
              <w:rPr>
                <w:rFonts w:ascii="Times New Roman" w:hAnsi="Times New Roman"/>
                <w:color w:val="000000" w:themeColor="text1"/>
                <w:sz w:val="24"/>
                <w:szCs w:val="24"/>
                <w:lang w:val="fr-CA"/>
              </w:rPr>
              <w:t>)</w:t>
            </w:r>
            <w:r w:rsidR="00003D2A" w:rsidRPr="003400A4">
              <w:rPr>
                <w:rFonts w:ascii="Times New Roman" w:hAnsi="Times New Roman"/>
                <w:color w:val="000000" w:themeColor="text1"/>
                <w:sz w:val="24"/>
                <w:szCs w:val="24"/>
                <w:lang w:val="fr-CA"/>
              </w:rPr>
              <w:t xml:space="preserve"> ;</w:t>
            </w:r>
          </w:p>
          <w:p w:rsidR="008D589A" w:rsidRPr="003400A4" w:rsidRDefault="00003D2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4"/>
                <w:szCs w:val="24"/>
              </w:rPr>
            </w:pPr>
            <w:r w:rsidRPr="003400A4">
              <w:rPr>
                <w:rFonts w:ascii="Times New Roman" w:hAnsi="Times New Roman"/>
                <w:color w:val="000000" w:themeColor="text1"/>
                <w:sz w:val="24"/>
                <w:szCs w:val="24"/>
                <w:lang w:val="fr-CA"/>
              </w:rPr>
              <w:t>Risque d’apparition et/ou prolifération de plantes aquatiques envahissantes (typhas, riz sauvage, etc.) modifiant l’hydraulicité des cours d’eau</w:t>
            </w:r>
            <w:r w:rsidR="0079313D" w:rsidRPr="003400A4">
              <w:rPr>
                <w:rFonts w:ascii="Times New Roman" w:hAnsi="Times New Roman"/>
                <w:color w:val="000000" w:themeColor="text1"/>
                <w:sz w:val="24"/>
                <w:szCs w:val="24"/>
                <w:lang w:val="fr-CA"/>
              </w:rPr>
              <w:t xml:space="preserve"> </w:t>
            </w:r>
            <w:r w:rsidR="00777DFB" w:rsidRPr="003400A4">
              <w:rPr>
                <w:rFonts w:ascii="Times New Roman" w:hAnsi="Times New Roman"/>
                <w:color w:val="000000" w:themeColor="text1"/>
                <w:sz w:val="24"/>
                <w:szCs w:val="24"/>
              </w:rPr>
              <w:t xml:space="preserve">à cause des utilisations irrationnelle d’engrais et </w:t>
            </w:r>
            <w:r w:rsidR="00AF65EB" w:rsidRPr="003400A4">
              <w:rPr>
                <w:rFonts w:ascii="Times New Roman" w:hAnsi="Times New Roman"/>
                <w:color w:val="000000" w:themeColor="text1"/>
                <w:sz w:val="24"/>
                <w:szCs w:val="24"/>
              </w:rPr>
              <w:t>pesticides.</w:t>
            </w:r>
          </w:p>
          <w:p w:rsidR="008D589A" w:rsidRPr="003400A4" w:rsidRDefault="008D589A"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400A4">
              <w:rPr>
                <w:rFonts w:ascii="Times New Roman" w:hAnsi="Times New Roman"/>
                <w:color w:val="000000" w:themeColor="text1"/>
                <w:sz w:val="24"/>
                <w:szCs w:val="24"/>
              </w:rPr>
              <w:t xml:space="preserve">L'aménagement des périmètres agricoles pourrait entraîner également la perte des pâturages et cela peut être à l'origine des conflits entre les éleveurs et les agriculteurs. </w:t>
            </w:r>
          </w:p>
          <w:p w:rsidR="00003D2A" w:rsidRPr="003400A4" w:rsidRDefault="00003D2A" w:rsidP="00A76F4A">
            <w:pPr>
              <w:numPr>
                <w:ilvl w:val="0"/>
                <w:numId w:val="60"/>
              </w:numPr>
              <w:ind w:left="151" w:right="12" w:hanging="142"/>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3400A4">
              <w:rPr>
                <w:color w:val="000000" w:themeColor="text1"/>
                <w:lang w:val="fr-CA"/>
              </w:rPr>
              <w:t>Risque de prolifération des IST/VIH SIDA</w:t>
            </w:r>
            <w:r w:rsidR="00390188" w:rsidRPr="003400A4">
              <w:rPr>
                <w:color w:val="000000" w:themeColor="text1"/>
                <w:lang w:val="fr-CA"/>
              </w:rPr>
              <w:t xml:space="preserve"> et à la</w:t>
            </w:r>
            <w:r w:rsidR="001C4270" w:rsidRPr="003400A4">
              <w:rPr>
                <w:color w:val="000000" w:themeColor="text1"/>
                <w:lang w:val="fr-CA"/>
              </w:rPr>
              <w:t xml:space="preserve"> propagation de la Covid 19 à cause de l’</w:t>
            </w:r>
            <w:r w:rsidR="001C4270" w:rsidRPr="003400A4">
              <w:rPr>
                <w:rFonts w:eastAsia="Calibri"/>
                <w:color w:val="000000" w:themeColor="text1"/>
              </w:rPr>
              <w:t>attraction des populations étrangères ;</w:t>
            </w:r>
          </w:p>
          <w:p w:rsidR="00A20B98" w:rsidRPr="003400A4" w:rsidRDefault="00A20B98" w:rsidP="00A76F4A">
            <w:pPr>
              <w:numPr>
                <w:ilvl w:val="0"/>
                <w:numId w:val="60"/>
              </w:numPr>
              <w:ind w:left="151" w:right="12" w:hanging="142"/>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400A4">
              <w:rPr>
                <w:rFonts w:eastAsia="Calibri"/>
                <w:color w:val="000000" w:themeColor="text1"/>
              </w:rPr>
              <w:t xml:space="preserve">Risque d’augmentation </w:t>
            </w:r>
            <w:r w:rsidR="007D7B20" w:rsidRPr="003400A4">
              <w:rPr>
                <w:rFonts w:eastAsia="Calibri"/>
                <w:color w:val="000000" w:themeColor="text1"/>
              </w:rPr>
              <w:t>d</w:t>
            </w:r>
            <w:r w:rsidRPr="003400A4">
              <w:rPr>
                <w:rFonts w:eastAsia="Calibri"/>
                <w:color w:val="000000" w:themeColor="text1"/>
              </w:rPr>
              <w:t xml:space="preserve">es exploitations et </w:t>
            </w:r>
            <w:r w:rsidR="007D7B20" w:rsidRPr="003400A4">
              <w:rPr>
                <w:rFonts w:eastAsia="Calibri"/>
                <w:color w:val="000000" w:themeColor="text1"/>
              </w:rPr>
              <w:t xml:space="preserve">des </w:t>
            </w:r>
            <w:r w:rsidRPr="003400A4">
              <w:rPr>
                <w:rFonts w:eastAsia="Calibri"/>
                <w:color w:val="000000" w:themeColor="text1"/>
              </w:rPr>
              <w:t>abus sexuels, y c</w:t>
            </w:r>
            <w:r w:rsidR="007D7B20" w:rsidRPr="003400A4">
              <w:rPr>
                <w:rFonts w:eastAsia="Calibri"/>
                <w:color w:val="000000" w:themeColor="text1"/>
              </w:rPr>
              <w:t>ompris chez les moins de 18 ans dans les zone</w:t>
            </w:r>
            <w:r w:rsidR="00B7128A" w:rsidRPr="003400A4">
              <w:rPr>
                <w:rFonts w:eastAsia="Calibri"/>
                <w:color w:val="000000" w:themeColor="text1"/>
              </w:rPr>
              <w:t>s</w:t>
            </w:r>
            <w:r w:rsidR="007D7B20" w:rsidRPr="003400A4">
              <w:rPr>
                <w:rFonts w:eastAsia="Calibri"/>
                <w:color w:val="000000" w:themeColor="text1"/>
              </w:rPr>
              <w:t xml:space="preserve"> d’intervention</w:t>
            </w:r>
            <w:r w:rsidR="00301967" w:rsidRPr="003400A4">
              <w:rPr>
                <w:rFonts w:eastAsia="Calibri"/>
                <w:color w:val="000000" w:themeColor="text1"/>
              </w:rPr>
              <w:t> ;</w:t>
            </w:r>
          </w:p>
          <w:p w:rsidR="00A20B98" w:rsidRPr="003400A4" w:rsidRDefault="00301967" w:rsidP="00A76F4A">
            <w:pPr>
              <w:numPr>
                <w:ilvl w:val="0"/>
                <w:numId w:val="60"/>
              </w:numPr>
              <w:ind w:left="151" w:right="12" w:hanging="142"/>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3400A4">
              <w:rPr>
                <w:color w:val="000000" w:themeColor="text1"/>
              </w:rPr>
              <w:t>Risque d’augmentation de VBG et en particulier d'EAS</w:t>
            </w:r>
            <w:r w:rsidR="00003032" w:rsidRPr="003400A4">
              <w:rPr>
                <w:color w:val="000000" w:themeColor="text1"/>
              </w:rPr>
              <w:t>/HS</w:t>
            </w:r>
            <w:r w:rsidRPr="003400A4">
              <w:rPr>
                <w:color w:val="000000" w:themeColor="text1"/>
              </w:rPr>
              <w:t> ;</w:t>
            </w:r>
          </w:p>
          <w:p w:rsidR="00003D2A" w:rsidRPr="003400A4" w:rsidRDefault="00003D2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Risque de pollution du sol, des eaux de surface et de la nappe phréatique par les pestes et pesticides ;</w:t>
            </w:r>
          </w:p>
          <w:p w:rsidR="00003D2A" w:rsidRPr="003400A4" w:rsidRDefault="00003D2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Risque de pollution et eutrophisation des eaux (cours d’eau) et du sol par les eaux de drainage, entraînant aussi une détérioration des conditions de vie des poissons et autres espèces aquatiques ;</w:t>
            </w:r>
          </w:p>
          <w:p w:rsidR="00003D2A" w:rsidRPr="003400A4" w:rsidRDefault="00003D2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3400A4">
              <w:rPr>
                <w:rFonts w:ascii="Times New Roman" w:hAnsi="Times New Roman"/>
                <w:color w:val="000000" w:themeColor="text1"/>
                <w:sz w:val="24"/>
                <w:szCs w:val="24"/>
                <w:lang w:val="fr-CA"/>
              </w:rPr>
              <w:t>Risque d’inondation des périmètres agricoles ;</w:t>
            </w:r>
          </w:p>
          <w:p w:rsidR="00003D2A" w:rsidRPr="003400A4" w:rsidRDefault="00003D2A" w:rsidP="00A76F4A">
            <w:pPr>
              <w:pStyle w:val="PargrafodaLista"/>
              <w:spacing w:after="0" w:line="240" w:lineRule="auto"/>
              <w:ind w:left="151"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u w:val="single"/>
                <w:lang w:val="fr-CA"/>
              </w:rPr>
            </w:pPr>
          </w:p>
        </w:tc>
      </w:tr>
    </w:tbl>
    <w:p w:rsidR="00DB2B49" w:rsidRDefault="00DB2B49" w:rsidP="00DB2B49"/>
    <w:p w:rsidR="00DB2B49" w:rsidRPr="00DB2B49" w:rsidRDefault="00DB2B49" w:rsidP="00DB2B49"/>
    <w:p w:rsidR="000D486B" w:rsidRPr="00DB2B49" w:rsidRDefault="000D486B" w:rsidP="00DB2B49">
      <w:pPr>
        <w:pStyle w:val="Cabealho6"/>
        <w:numPr>
          <w:ilvl w:val="5"/>
          <w:numId w:val="105"/>
        </w:numPr>
        <w:spacing w:line="240" w:lineRule="auto"/>
        <w:ind w:left="0" w:right="12"/>
        <w:rPr>
          <w:rFonts w:ascii="Times New Roman" w:hAnsi="Times New Roman"/>
          <w:b/>
          <w:i w:val="0"/>
          <w:iCs w:val="0"/>
          <w:color w:val="auto"/>
          <w:sz w:val="24"/>
          <w:szCs w:val="24"/>
        </w:rPr>
      </w:pPr>
      <w:r w:rsidRPr="00DB2B49">
        <w:rPr>
          <w:rFonts w:ascii="Times New Roman" w:hAnsi="Times New Roman"/>
          <w:b/>
          <w:i w:val="0"/>
          <w:iCs w:val="0"/>
          <w:color w:val="auto"/>
          <w:sz w:val="24"/>
          <w:szCs w:val="24"/>
        </w:rPr>
        <w:t>Soutien aux Filets de Sécurité communautaires (la création d’emploi, la réhabilitation des structures de stockage, l</w:t>
      </w:r>
      <w:r w:rsidR="00A05714" w:rsidRPr="00DB2B49">
        <w:rPr>
          <w:rFonts w:ascii="Times New Roman" w:hAnsi="Times New Roman"/>
          <w:b/>
          <w:i w:val="0"/>
          <w:iCs w:val="0"/>
          <w:color w:val="auto"/>
          <w:sz w:val="24"/>
          <w:szCs w:val="24"/>
        </w:rPr>
        <w:t>’</w:t>
      </w:r>
      <w:r w:rsidRPr="00DB2B49">
        <w:rPr>
          <w:rFonts w:ascii="Times New Roman" w:hAnsi="Times New Roman"/>
          <w:b/>
          <w:i w:val="0"/>
          <w:iCs w:val="0"/>
          <w:color w:val="auto"/>
          <w:sz w:val="24"/>
          <w:szCs w:val="24"/>
        </w:rPr>
        <w:t>ouverture de routes d</w:t>
      </w:r>
      <w:r w:rsidR="00A05714" w:rsidRPr="00DB2B49">
        <w:rPr>
          <w:rFonts w:ascii="Times New Roman" w:hAnsi="Times New Roman"/>
          <w:b/>
          <w:i w:val="0"/>
          <w:iCs w:val="0"/>
          <w:color w:val="auto"/>
          <w:sz w:val="24"/>
          <w:szCs w:val="24"/>
        </w:rPr>
        <w:t>’</w:t>
      </w:r>
      <w:r w:rsidRPr="00DB2B49">
        <w:rPr>
          <w:rFonts w:ascii="Times New Roman" w:hAnsi="Times New Roman"/>
          <w:b/>
          <w:i w:val="0"/>
          <w:iCs w:val="0"/>
          <w:color w:val="auto"/>
          <w:sz w:val="24"/>
          <w:szCs w:val="24"/>
        </w:rPr>
        <w:t>accès aux zones de production agricole, la construction de marchés locaux, etc.)</w:t>
      </w:r>
    </w:p>
    <w:bookmarkEnd w:id="294"/>
    <w:bookmarkEnd w:id="295"/>
    <w:p w:rsidR="000C372B" w:rsidRDefault="000C372B" w:rsidP="00A76F4A">
      <w:pPr>
        <w:ind w:left="-284" w:right="12"/>
        <w:jc w:val="both"/>
      </w:pPr>
    </w:p>
    <w:p w:rsidR="009B655A" w:rsidRDefault="00242A77" w:rsidP="00A76F4A">
      <w:pPr>
        <w:ind w:right="12"/>
        <w:jc w:val="both"/>
      </w:pPr>
      <w:r w:rsidRPr="00A05698">
        <w:t>Les impacts sur l’environnement dus à la construction</w:t>
      </w:r>
      <w:r w:rsidR="00FD6009" w:rsidRPr="00A05698">
        <w:t xml:space="preserve"> et </w:t>
      </w:r>
      <w:r w:rsidR="0055230F" w:rsidRPr="00A05698">
        <w:t>la réhabilitation des structures de stockage, l</w:t>
      </w:r>
      <w:r w:rsidR="00A05714" w:rsidRPr="00A05698">
        <w:t>’</w:t>
      </w:r>
      <w:r w:rsidR="0055230F" w:rsidRPr="00A05698">
        <w:t>ouverture de routes d</w:t>
      </w:r>
      <w:r w:rsidR="00A05714" w:rsidRPr="00A05698">
        <w:t>’</w:t>
      </w:r>
      <w:r w:rsidR="0055230F" w:rsidRPr="00A05698">
        <w:t>accès aux zones de production agricole, la construction de marchés locaux, etc.</w:t>
      </w:r>
      <w:r w:rsidRPr="00A05698">
        <w:t xml:space="preserve">, sont perceptibles </w:t>
      </w:r>
      <w:r w:rsidR="00C458A6">
        <w:t xml:space="preserve">d’engendrer des impacts négatifs </w:t>
      </w:r>
      <w:r w:rsidRPr="00A05698">
        <w:t xml:space="preserve">sur le milieu physique, le milieu biologique et le milieu socio-économique. Il s’agira entre autres des impacts suivants : </w:t>
      </w:r>
    </w:p>
    <w:p w:rsidR="00C458A6" w:rsidRDefault="00C458A6" w:rsidP="00A76F4A">
      <w:pPr>
        <w:ind w:left="-284" w:right="12"/>
        <w:jc w:val="both"/>
      </w:pPr>
    </w:p>
    <w:p w:rsidR="00C458A6" w:rsidRPr="00DB2B49" w:rsidRDefault="007E74B7" w:rsidP="00DB2B49">
      <w:pPr>
        <w:ind w:left="-284" w:right="12"/>
        <w:jc w:val="center"/>
        <w:rPr>
          <w:u w:val="single"/>
        </w:rPr>
      </w:pPr>
      <w:r w:rsidRPr="00DB2B49">
        <w:rPr>
          <w:b/>
          <w:u w:val="single"/>
        </w:rPr>
        <w:t>Communs aux différents travaux (</w:t>
      </w:r>
      <w:r w:rsidRPr="00DB2B49">
        <w:rPr>
          <w:b/>
          <w:i/>
          <w:iCs/>
          <w:u w:val="single"/>
        </w:rPr>
        <w:t>Soutien aux Filets de Sécurité communautaires)</w:t>
      </w:r>
    </w:p>
    <w:p w:rsidR="00B22235" w:rsidRDefault="00B22235" w:rsidP="00A76F4A">
      <w:pPr>
        <w:ind w:left="-284" w:right="12"/>
        <w:jc w:val="both"/>
      </w:pPr>
    </w:p>
    <w:p w:rsidR="004D11C6" w:rsidRPr="00DB2B49" w:rsidRDefault="00290AC6" w:rsidP="00A76F4A">
      <w:pPr>
        <w:pStyle w:val="PargrafodaLista"/>
        <w:numPr>
          <w:ilvl w:val="0"/>
          <w:numId w:val="107"/>
        </w:numPr>
        <w:ind w:right="12"/>
        <w:rPr>
          <w:rFonts w:ascii="Times New Roman" w:hAnsi="Times New Roman"/>
          <w:b/>
          <w:bCs/>
          <w:sz w:val="24"/>
          <w:szCs w:val="24"/>
          <w:lang w:eastAsia="en-US"/>
        </w:rPr>
      </w:pPr>
      <w:r w:rsidRPr="00DB2B49">
        <w:rPr>
          <w:rFonts w:ascii="Times New Roman" w:hAnsi="Times New Roman"/>
          <w:b/>
          <w:bCs/>
          <w:sz w:val="24"/>
          <w:szCs w:val="24"/>
          <w:lang w:eastAsia="en-US"/>
        </w:rPr>
        <w:t>Les impacts négatifs du projet en phase travail</w:t>
      </w:r>
    </w:p>
    <w:p w:rsidR="00E67CBC" w:rsidRPr="00E67CBC" w:rsidRDefault="00E67CBC" w:rsidP="00DB2B49">
      <w:pPr>
        <w:tabs>
          <w:tab w:val="left" w:pos="-720"/>
          <w:tab w:val="left" w:pos="708"/>
        </w:tabs>
        <w:autoSpaceDN w:val="0"/>
        <w:ind w:right="12"/>
        <w:jc w:val="both"/>
        <w:rPr>
          <w:rFonts w:eastAsia="Times New Roman"/>
          <w:b/>
          <w:bCs/>
          <w:spacing w:val="-3"/>
          <w:lang w:val="fr-CA"/>
        </w:rPr>
      </w:pPr>
      <w:r w:rsidRPr="00E67CBC">
        <w:rPr>
          <w:rFonts w:eastAsia="Times New Roman"/>
          <w:b/>
          <w:bCs/>
          <w:spacing w:val="-3"/>
          <w:lang w:val="fr-CA"/>
        </w:rPr>
        <w:t>Impacts environnementaux</w:t>
      </w:r>
    </w:p>
    <w:p w:rsidR="00290AC6" w:rsidRPr="009B4CEA" w:rsidRDefault="00290AC6" w:rsidP="00A76F4A">
      <w:pPr>
        <w:pStyle w:val="PargrafodaLista"/>
        <w:ind w:left="1440" w:right="12"/>
        <w:rPr>
          <w:rFonts w:ascii="Times New Roman" w:hAnsi="Times New Roman"/>
          <w:b/>
          <w:bCs/>
          <w:sz w:val="24"/>
          <w:szCs w:val="24"/>
          <w:lang w:eastAsia="en-US"/>
        </w:rPr>
      </w:pPr>
    </w:p>
    <w:p w:rsidR="007F13DC" w:rsidRDefault="00B22235" w:rsidP="00A76F4A">
      <w:pPr>
        <w:pStyle w:val="PargrafodaLista"/>
        <w:numPr>
          <w:ilvl w:val="0"/>
          <w:numId w:val="203"/>
        </w:numPr>
        <w:spacing w:after="120" w:line="240" w:lineRule="auto"/>
        <w:ind w:left="709" w:right="12"/>
        <w:contextualSpacing w:val="0"/>
        <w:jc w:val="both"/>
      </w:pPr>
      <w:r w:rsidRPr="005B30CD">
        <w:rPr>
          <w:rFonts w:ascii="Times New Roman" w:hAnsi="Times New Roman"/>
          <w:b/>
          <w:sz w:val="24"/>
          <w:szCs w:val="24"/>
        </w:rPr>
        <w:t xml:space="preserve">Impacts négatifs sur la qualité de l’air </w:t>
      </w:r>
    </w:p>
    <w:p w:rsidR="00B22235" w:rsidRDefault="007F13DC" w:rsidP="00A76F4A">
      <w:pPr>
        <w:ind w:right="12"/>
        <w:jc w:val="both"/>
      </w:pPr>
      <w:r>
        <w:t xml:space="preserve">Les travaux de construction des infrastructures (marchés locaux, stockages, route d’accès, etc.) </w:t>
      </w:r>
      <w:r w:rsidRPr="009A5894">
        <w:t>nécessitero</w:t>
      </w:r>
      <w:r>
        <w:t xml:space="preserve">nt </w:t>
      </w:r>
      <w:r w:rsidR="006934B1" w:rsidRPr="009A5894">
        <w:t xml:space="preserve">l’utilisation d’engins lourds et autres véhicules de chantier. Les principales émissions de poussières se produisent pendant les périodes sèches, lors du roulage des engins et, dans une moindre mesure, lors de la manipulation des </w:t>
      </w:r>
      <w:r w:rsidR="006934B1">
        <w:t>produits minéraux : chargements (sable, carrière, etc.).</w:t>
      </w:r>
      <w:r w:rsidR="006934B1" w:rsidRPr="009A5894">
        <w:t xml:space="preserve"> </w:t>
      </w:r>
      <w:r w:rsidR="006934B1">
        <w:t>L</w:t>
      </w:r>
      <w:r w:rsidR="006934B1" w:rsidRPr="009A5894">
        <w:t>es engins de chargement et des camions produiront, dans les limites de ce que permet la réglementation, des gaz d’échappement.</w:t>
      </w:r>
      <w:r w:rsidR="006934B1" w:rsidRPr="00116A16">
        <w:t xml:space="preserve"> </w:t>
      </w:r>
    </w:p>
    <w:p w:rsidR="00B22235" w:rsidRDefault="00B22235" w:rsidP="00A76F4A">
      <w:pPr>
        <w:ind w:right="12"/>
        <w:jc w:val="both"/>
      </w:pPr>
    </w:p>
    <w:p w:rsidR="00B22235" w:rsidRPr="00D01B35" w:rsidRDefault="00B22235"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Impacts négatifs sur le sol</w:t>
      </w:r>
    </w:p>
    <w:p w:rsidR="000C0AB6" w:rsidRPr="009A5894" w:rsidRDefault="00B22235" w:rsidP="00A76F4A">
      <w:pPr>
        <w:ind w:right="12"/>
        <w:jc w:val="both"/>
      </w:pPr>
      <w:r>
        <w:t xml:space="preserve"> </w:t>
      </w:r>
      <w:r w:rsidR="000C0AB6" w:rsidRPr="009A5894">
        <w:t xml:space="preserve">Les manœuvres des engins et les passages répétés des camions pendant les activités de chargement </w:t>
      </w:r>
      <w:r w:rsidR="000C0AB6">
        <w:t xml:space="preserve">ou de déchargement dans </w:t>
      </w:r>
      <w:r w:rsidR="00AF48A8">
        <w:t>les sites</w:t>
      </w:r>
      <w:r w:rsidR="000C0AB6">
        <w:t xml:space="preserve"> des travaux </w:t>
      </w:r>
      <w:r w:rsidR="000C0AB6" w:rsidRPr="009A5894">
        <w:t xml:space="preserve">peuvent accentuer les effets du piétinement </w:t>
      </w:r>
      <w:r w:rsidR="000C0AB6">
        <w:t>ou de modification sur les</w:t>
      </w:r>
      <w:r w:rsidR="000C0AB6" w:rsidRPr="009A5894">
        <w:t xml:space="preserve"> milieux </w:t>
      </w:r>
      <w:r w:rsidR="000C0AB6">
        <w:t xml:space="preserve">naturels </w:t>
      </w:r>
      <w:r w:rsidR="000C0AB6" w:rsidRPr="009A5894">
        <w:t>et ainsi augmenter le compactage naturel du sol et donc dégrader les conditions naturelles.</w:t>
      </w:r>
    </w:p>
    <w:p w:rsidR="000C0AB6" w:rsidRPr="00EA2370" w:rsidRDefault="000C0AB6" w:rsidP="00A76F4A">
      <w:pPr>
        <w:ind w:right="12"/>
        <w:jc w:val="both"/>
      </w:pPr>
      <w:r w:rsidRPr="00EA2370">
        <w:t xml:space="preserve">Des risques de pollution du sol pourrait être notés avec les déversements accidentels d’hydrocarbures ou lors des entretiens des engins (pièces d’usures ; huiles usées etc.). </w:t>
      </w:r>
    </w:p>
    <w:p w:rsidR="00B22235" w:rsidRDefault="00B22235" w:rsidP="00A76F4A">
      <w:pPr>
        <w:ind w:right="12"/>
      </w:pPr>
    </w:p>
    <w:p w:rsidR="00B22235" w:rsidRPr="00D01B35" w:rsidRDefault="00B22235"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Impacts négatifs sur la flore et la faune</w:t>
      </w:r>
    </w:p>
    <w:p w:rsidR="0062654C" w:rsidRPr="009A5894" w:rsidRDefault="008B128B" w:rsidP="00A76F4A">
      <w:pPr>
        <w:ind w:right="12"/>
        <w:jc w:val="both"/>
      </w:pPr>
      <w:r>
        <w:t xml:space="preserve">Les </w:t>
      </w:r>
      <w:r w:rsidR="00E905C5">
        <w:t>activités d</w:t>
      </w:r>
      <w:r w:rsidR="0062654C" w:rsidRPr="009A5894">
        <w:t xml:space="preserve">e défrichement </w:t>
      </w:r>
      <w:r w:rsidR="009D4FB5">
        <w:t>pour la libération des emprises contribueront</w:t>
      </w:r>
      <w:r w:rsidR="0062654C" w:rsidRPr="009A5894">
        <w:t xml:space="preserve"> à la réduc</w:t>
      </w:r>
      <w:r w:rsidR="0062654C">
        <w:t>tion des ressources forestières</w:t>
      </w:r>
      <w:r w:rsidR="001B5425">
        <w:t>.</w:t>
      </w:r>
    </w:p>
    <w:p w:rsidR="0062654C" w:rsidRPr="00EA2370" w:rsidRDefault="0062654C" w:rsidP="00A76F4A">
      <w:pPr>
        <w:ind w:right="12"/>
        <w:jc w:val="both"/>
      </w:pPr>
      <w:r w:rsidRPr="009A5894">
        <w:t>La faune</w:t>
      </w:r>
      <w:r w:rsidR="001B5425">
        <w:t xml:space="preserve"> sauvage terrestre </w:t>
      </w:r>
      <w:r w:rsidR="00A62AEC">
        <w:t>risque d’</w:t>
      </w:r>
      <w:r w:rsidR="00AF2E36">
        <w:t>être</w:t>
      </w:r>
      <w:r w:rsidR="00A62AEC">
        <w:t xml:space="preserve"> impacter</w:t>
      </w:r>
      <w:r w:rsidRPr="009A5894">
        <w:t xml:space="preserve"> à cause de </w:t>
      </w:r>
      <w:r>
        <w:t>l</w:t>
      </w:r>
      <w:r w:rsidR="00A62AEC">
        <w:t xml:space="preserve">a densité des </w:t>
      </w:r>
      <w:r w:rsidR="00AF2E36">
        <w:t xml:space="preserve">nuisances sonores </w:t>
      </w:r>
      <w:r>
        <w:t>dans</w:t>
      </w:r>
      <w:r w:rsidRPr="009A5894">
        <w:t xml:space="preserve"> la zone</w:t>
      </w:r>
      <w:r w:rsidR="00AF2E36">
        <w:t xml:space="preserve"> et de la destruction des niches</w:t>
      </w:r>
      <w:r w:rsidRPr="009A5894">
        <w:t xml:space="preserve">. </w:t>
      </w:r>
    </w:p>
    <w:p w:rsidR="00B22235" w:rsidRPr="00573ABD" w:rsidRDefault="00B22235" w:rsidP="00A76F4A">
      <w:pPr>
        <w:ind w:left="-142" w:right="12"/>
        <w:rPr>
          <w:rFonts w:eastAsia="Calibri"/>
        </w:rPr>
      </w:pPr>
    </w:p>
    <w:p w:rsidR="00B22235" w:rsidRPr="00D01B35" w:rsidRDefault="00B22235"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 xml:space="preserve">Impacts négatifs sur les eaux de surface et souterraines </w:t>
      </w:r>
    </w:p>
    <w:p w:rsidR="00B22235" w:rsidRDefault="00B22235" w:rsidP="00A76F4A">
      <w:pPr>
        <w:ind w:right="12"/>
        <w:jc w:val="both"/>
      </w:pPr>
      <w:r w:rsidRPr="00A9288D">
        <w:t xml:space="preserve">Les travaux de </w:t>
      </w:r>
      <w:r>
        <w:t>construction</w:t>
      </w:r>
      <w:r w:rsidRPr="00A9288D">
        <w:t xml:space="preserve"> </w:t>
      </w:r>
      <w:r w:rsidRPr="009A5894">
        <w:t>po</w:t>
      </w:r>
      <w:r>
        <w:t xml:space="preserve">urraient </w:t>
      </w:r>
      <w:r w:rsidRPr="009A5894">
        <w:t xml:space="preserve">exposer à </w:t>
      </w:r>
      <w:r>
        <w:t>des r</w:t>
      </w:r>
      <w:r w:rsidRPr="00EA2370">
        <w:t>isques de perturbation du système de drainage naturel des eaux </w:t>
      </w:r>
      <w:r w:rsidRPr="009A5894">
        <w:t>et</w:t>
      </w:r>
      <w:r>
        <w:t xml:space="preserve"> des</w:t>
      </w:r>
      <w:r w:rsidRPr="009A5894">
        <w:t xml:space="preserve"> risques de pollution</w:t>
      </w:r>
      <w:r>
        <w:t xml:space="preserve"> des eaux de surface</w:t>
      </w:r>
      <w:r w:rsidRPr="009A5894">
        <w:t xml:space="preserve"> liés aux déversements accidentels de produits d’hydrocarbures.</w:t>
      </w:r>
    </w:p>
    <w:p w:rsidR="00B22235" w:rsidRDefault="00B22235" w:rsidP="00A76F4A">
      <w:pPr>
        <w:ind w:right="12"/>
        <w:jc w:val="both"/>
      </w:pPr>
    </w:p>
    <w:p w:rsidR="00B22235" w:rsidRPr="00A32B52" w:rsidRDefault="00B22235" w:rsidP="00A76F4A">
      <w:pPr>
        <w:ind w:right="12"/>
        <w:jc w:val="both"/>
      </w:pPr>
      <w:r w:rsidRPr="00A32B52">
        <w:t>Les besoins en eau des chantiers vont occasionner des prélèvements dans les points d’eau avoisinants (cours d’eau, forages, etc.). Les prélèvements dans les cours d’eau peuvent alt</w:t>
      </w:r>
      <w:r>
        <w:t>érer la qualité de la ressource.</w:t>
      </w:r>
    </w:p>
    <w:p w:rsidR="00B22235" w:rsidRPr="009A5894" w:rsidRDefault="00B22235" w:rsidP="00F92390">
      <w:pPr>
        <w:ind w:right="12"/>
      </w:pPr>
    </w:p>
    <w:p w:rsidR="00B22235" w:rsidRPr="00D01B35" w:rsidRDefault="00B22235"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 xml:space="preserve">Impacts négatifs sur les paysages </w:t>
      </w:r>
    </w:p>
    <w:p w:rsidR="00B22235" w:rsidRDefault="00B22235" w:rsidP="00A76F4A">
      <w:pPr>
        <w:ind w:right="12"/>
        <w:jc w:val="both"/>
      </w:pPr>
      <w:r w:rsidRPr="009A5894">
        <w:t xml:space="preserve">Le risque de modification du paysage est essentiellement lié d’une part </w:t>
      </w:r>
      <w:r>
        <w:t>à la présence des</w:t>
      </w:r>
      <w:r w:rsidRPr="009A5894">
        <w:t xml:space="preserve"> activités </w:t>
      </w:r>
      <w:r>
        <w:t>du projet de construction et aux risques de dégradation des aménagements paysagers</w:t>
      </w:r>
      <w:r w:rsidRPr="009A5894">
        <w:t>.</w:t>
      </w:r>
      <w:r w:rsidRPr="0033273A">
        <w:t xml:space="preserve"> </w:t>
      </w:r>
    </w:p>
    <w:p w:rsidR="000B667E" w:rsidRDefault="000B667E" w:rsidP="00A76F4A">
      <w:pPr>
        <w:ind w:left="-284" w:right="12"/>
        <w:jc w:val="both"/>
      </w:pPr>
    </w:p>
    <w:p w:rsidR="000B667E" w:rsidRDefault="000B667E" w:rsidP="00A76F4A">
      <w:pPr>
        <w:tabs>
          <w:tab w:val="left" w:pos="-720"/>
          <w:tab w:val="left" w:pos="708"/>
        </w:tabs>
        <w:autoSpaceDN w:val="0"/>
        <w:ind w:left="-284" w:right="12"/>
        <w:jc w:val="both"/>
        <w:rPr>
          <w:rFonts w:eastAsia="Times New Roman"/>
          <w:b/>
          <w:bCs/>
          <w:spacing w:val="-3"/>
          <w:lang w:val="fr-CA"/>
        </w:rPr>
      </w:pPr>
      <w:r w:rsidRPr="009A0731">
        <w:rPr>
          <w:rFonts w:eastAsia="Times New Roman"/>
          <w:b/>
          <w:bCs/>
          <w:spacing w:val="-3"/>
          <w:lang w:val="fr-CA"/>
        </w:rPr>
        <w:t>Impacts sociaux</w:t>
      </w:r>
    </w:p>
    <w:p w:rsidR="00AE7649" w:rsidRDefault="00AE7649" w:rsidP="00A76F4A">
      <w:pPr>
        <w:ind w:left="-142" w:right="12"/>
        <w:jc w:val="both"/>
      </w:pPr>
    </w:p>
    <w:p w:rsidR="00710A28" w:rsidRPr="00D01B35" w:rsidRDefault="00710A28"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 xml:space="preserve">Impacts négatifs sur le cadre de vie et la mobilité urbaine </w:t>
      </w:r>
    </w:p>
    <w:p w:rsidR="00710A28" w:rsidRDefault="00710A28" w:rsidP="00A76F4A">
      <w:pPr>
        <w:ind w:right="12"/>
        <w:jc w:val="both"/>
      </w:pPr>
      <w:r w:rsidRPr="00A9288D">
        <w:t xml:space="preserve">Les travaux de </w:t>
      </w:r>
      <w:r>
        <w:t>construction</w:t>
      </w:r>
      <w:r w:rsidRPr="00A9288D">
        <w:t xml:space="preserve"> risqueront de gêner la circulation des</w:t>
      </w:r>
      <w:r w:rsidR="004537C4">
        <w:t xml:space="preserve"> personnes et des biens</w:t>
      </w:r>
      <w:r w:rsidRPr="00A9288D">
        <w:t xml:space="preserve">. </w:t>
      </w:r>
      <w:r>
        <w:t>De plus</w:t>
      </w:r>
      <w:r w:rsidRPr="00A9288D">
        <w:t xml:space="preserve">, </w:t>
      </w:r>
      <w:r w:rsidRPr="00EA2370">
        <w:t xml:space="preserve">les véhicules et les dépôts du matériel dans les sites peuvent créer des encombrements et </w:t>
      </w:r>
      <w:r w:rsidRPr="00EA2370">
        <w:lastRenderedPageBreak/>
        <w:t xml:space="preserve">donc provoquer un conflit accru entre les </w:t>
      </w:r>
      <w:r w:rsidR="007F37CE" w:rsidRPr="00EA2370">
        <w:t>conducteurs</w:t>
      </w:r>
      <w:r w:rsidRPr="00EA2370">
        <w:t xml:space="preserve"> du projet et ceux des résidents et/ou passants aux environs. </w:t>
      </w:r>
    </w:p>
    <w:p w:rsidR="00710A28" w:rsidRDefault="00710A28" w:rsidP="00A76F4A">
      <w:pPr>
        <w:ind w:right="12"/>
        <w:jc w:val="both"/>
      </w:pPr>
      <w:r>
        <w:t>Durant les travaux de construction</w:t>
      </w:r>
      <w:r w:rsidR="00B118F0">
        <w:t xml:space="preserve"> des infrastructures (marchés locaux, stockages, route d’accès, etc.)</w:t>
      </w:r>
      <w:r>
        <w:t xml:space="preserve">, le cadre de vie </w:t>
      </w:r>
      <w:r w:rsidRPr="009A5894">
        <w:t>des populations</w:t>
      </w:r>
      <w:r>
        <w:t xml:space="preserve"> </w:t>
      </w:r>
      <w:r w:rsidRPr="009A5894">
        <w:t xml:space="preserve">sera également affecté par les </w:t>
      </w:r>
      <w:r>
        <w:t>risques de production</w:t>
      </w:r>
      <w:r w:rsidRPr="009A5894">
        <w:t xml:space="preserve"> de</w:t>
      </w:r>
      <w:r>
        <w:t xml:space="preserve"> bruit (émissions sonores), de</w:t>
      </w:r>
      <w:r w:rsidRPr="009A5894">
        <w:t xml:space="preserve"> poussière</w:t>
      </w:r>
      <w:r>
        <w:t>.</w:t>
      </w:r>
    </w:p>
    <w:p w:rsidR="002C70F6" w:rsidRPr="00A405B3" w:rsidRDefault="002C70F6" w:rsidP="00A76F4A">
      <w:pPr>
        <w:ind w:right="12"/>
        <w:jc w:val="both"/>
      </w:pPr>
    </w:p>
    <w:p w:rsidR="00710A28" w:rsidRPr="00D01B35" w:rsidRDefault="00710A28"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 xml:space="preserve">Impacts négatifs sur l’emploi </w:t>
      </w:r>
    </w:p>
    <w:p w:rsidR="00710A28" w:rsidRPr="00466D34" w:rsidRDefault="00710A28" w:rsidP="00A76F4A">
      <w:pPr>
        <w:ind w:right="12"/>
        <w:jc w:val="both"/>
      </w:pPr>
      <w:r w:rsidRPr="00466D34">
        <w:t xml:space="preserve">La non utilisation de la main d’œuvre résidente lors de la construction des infrastructures pourrait susciter des frustrations au niveau local si on sait que le chômage est très présent dans les localités concernées. L’insuffisance d’implication des ouvriers au niveau local est un impact négatif potentiel de l’exécution des travaux, ce qui pourrait empêcher très certainement une appropriation plus nette du projet. </w:t>
      </w:r>
    </w:p>
    <w:p w:rsidR="00710A28" w:rsidRDefault="00710A28" w:rsidP="00A76F4A">
      <w:pPr>
        <w:ind w:left="-142" w:right="12"/>
        <w:jc w:val="both"/>
      </w:pPr>
    </w:p>
    <w:p w:rsidR="00710A28" w:rsidRPr="00D01B35" w:rsidRDefault="00710A28"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 xml:space="preserve">Impacts négatifs sur la santé et la sécurité des ouvriers </w:t>
      </w:r>
    </w:p>
    <w:p w:rsidR="00710A28" w:rsidRDefault="00710A28" w:rsidP="00A76F4A">
      <w:pPr>
        <w:ind w:right="12"/>
        <w:jc w:val="both"/>
      </w:pPr>
      <w:r>
        <w:t xml:space="preserve">Pendant les activités </w:t>
      </w:r>
      <w:r w:rsidR="0033458F">
        <w:t xml:space="preserve">de </w:t>
      </w:r>
      <w:r>
        <w:t>construction</w:t>
      </w:r>
      <w:r w:rsidR="00C75511">
        <w:t xml:space="preserve"> des infrastructures (marchés locaux, stockages, route d’accès, etc.)</w:t>
      </w:r>
      <w:r>
        <w:t>, l</w:t>
      </w:r>
      <w:r w:rsidRPr="009A5894">
        <w:t>e risque d’apparit</w:t>
      </w:r>
      <w:r>
        <w:t xml:space="preserve">ion de maladies professionnelle, </w:t>
      </w:r>
      <w:r w:rsidRPr="009A5894">
        <w:t xml:space="preserve">les risques de blessures liés à la manutention </w:t>
      </w:r>
      <w:r>
        <w:t>des outils</w:t>
      </w:r>
      <w:r w:rsidRPr="009A5894">
        <w:t xml:space="preserve"> </w:t>
      </w:r>
      <w:r>
        <w:t>sont</w:t>
      </w:r>
      <w:r w:rsidRPr="009A5894">
        <w:t xml:space="preserve"> assez élevé</w:t>
      </w:r>
      <w:r>
        <w:t>s</w:t>
      </w:r>
      <w:r w:rsidRPr="009A5894">
        <w:t xml:space="preserve">. </w:t>
      </w:r>
    </w:p>
    <w:p w:rsidR="00710A28" w:rsidRPr="00495F22" w:rsidRDefault="009A04C5" w:rsidP="00A76F4A">
      <w:pPr>
        <w:ind w:right="12"/>
        <w:jc w:val="both"/>
      </w:pPr>
      <w:r>
        <w:rPr>
          <w:b/>
        </w:rPr>
        <w:t xml:space="preserve">                                                                                                                                                                                                                                                                                                                                                                                                                                                                                                                                  </w:t>
      </w:r>
    </w:p>
    <w:p w:rsidR="00710A28" w:rsidRPr="00D01B35" w:rsidRDefault="00710A28"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 xml:space="preserve">Impacts négatifs sur les risques d’accidents de la circulation </w:t>
      </w:r>
    </w:p>
    <w:p w:rsidR="00710A28" w:rsidRDefault="00710A28" w:rsidP="00A76F4A">
      <w:pPr>
        <w:ind w:right="12"/>
        <w:jc w:val="both"/>
      </w:pPr>
      <w:r w:rsidRPr="00A15CE0">
        <w:t xml:space="preserve">La </w:t>
      </w:r>
      <w:r w:rsidRPr="004513AF">
        <w:t>présence</w:t>
      </w:r>
      <w:r w:rsidRPr="00A15CE0">
        <w:t xml:space="preserve"> </w:t>
      </w:r>
      <w:r w:rsidRPr="004513AF">
        <w:t xml:space="preserve">des chantiers </w:t>
      </w:r>
      <w:r>
        <w:t>au niveau des routes nationales</w:t>
      </w:r>
      <w:r w:rsidRPr="004513AF">
        <w:t xml:space="preserve"> et </w:t>
      </w:r>
      <w:r w:rsidRPr="00A15CE0">
        <w:t>de</w:t>
      </w:r>
      <w:r w:rsidRPr="004513AF">
        <w:t>s</w:t>
      </w:r>
      <w:r w:rsidRPr="00A15CE0">
        <w:t xml:space="preserve"> camions pour le ramassage des </w:t>
      </w:r>
      <w:r w:rsidRPr="004513AF">
        <w:t>débris</w:t>
      </w:r>
      <w:r w:rsidRPr="00A15CE0">
        <w:t xml:space="preserve">, d’apport des </w:t>
      </w:r>
      <w:r w:rsidRPr="004513AF">
        <w:t>matériaux</w:t>
      </w:r>
      <w:r w:rsidRPr="00A15CE0">
        <w:t xml:space="preserve"> de construction </w:t>
      </w:r>
      <w:r>
        <w:t>peut encombrer l</w:t>
      </w:r>
      <w:r w:rsidRPr="00A15CE0">
        <w:t xml:space="preserve">es voies </w:t>
      </w:r>
      <w:r w:rsidRPr="004513AF">
        <w:t>urbain</w:t>
      </w:r>
      <w:r>
        <w:t>es</w:t>
      </w:r>
      <w:r w:rsidRPr="00A15CE0">
        <w:t xml:space="preserve"> dans les alentours d</w:t>
      </w:r>
      <w:r w:rsidR="004D52E5">
        <w:t>es</w:t>
      </w:r>
      <w:r w:rsidRPr="00A15CE0">
        <w:t xml:space="preserve"> site</w:t>
      </w:r>
      <w:r w:rsidR="004D52E5">
        <w:t>s</w:t>
      </w:r>
      <w:r w:rsidRPr="004513AF">
        <w:t>, mais</w:t>
      </w:r>
      <w:r>
        <w:t xml:space="preserve"> aussi, peuvent provoquer </w:t>
      </w:r>
      <w:r w:rsidRPr="004513AF">
        <w:t>aussi</w:t>
      </w:r>
      <w:r>
        <w:t xml:space="preserve"> des </w:t>
      </w:r>
      <w:r w:rsidRPr="004513AF">
        <w:t>accident</w:t>
      </w:r>
      <w:r>
        <w:t>s</w:t>
      </w:r>
      <w:r w:rsidRPr="004513AF">
        <w:t xml:space="preserve"> de circulation.</w:t>
      </w:r>
      <w:r w:rsidRPr="00A86014">
        <w:t xml:space="preserve"> </w:t>
      </w:r>
    </w:p>
    <w:p w:rsidR="00710A28" w:rsidRPr="00A15CE0" w:rsidRDefault="00710A28" w:rsidP="00A76F4A">
      <w:pPr>
        <w:ind w:left="-142" w:right="12"/>
        <w:jc w:val="both"/>
      </w:pPr>
    </w:p>
    <w:p w:rsidR="00710A28" w:rsidRPr="00D01B35" w:rsidRDefault="00710A28"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 xml:space="preserve">Impacts négatifs sur les risques de production de déchets solides et liquides </w:t>
      </w:r>
    </w:p>
    <w:p w:rsidR="00710A28" w:rsidRDefault="00710A28" w:rsidP="00A76F4A">
      <w:pPr>
        <w:ind w:right="12"/>
        <w:jc w:val="both"/>
      </w:pPr>
      <w:r>
        <w:t>Les activités de construction</w:t>
      </w:r>
      <w:r w:rsidRPr="00FA271C">
        <w:t xml:space="preserve"> </w:t>
      </w:r>
      <w:r>
        <w:t xml:space="preserve">pourraient générer </w:t>
      </w:r>
      <w:r w:rsidRPr="00FA271C">
        <w:t xml:space="preserve">des </w:t>
      </w:r>
      <w:r w:rsidRPr="004513AF">
        <w:t>quantités</w:t>
      </w:r>
      <w:r w:rsidRPr="00FA271C">
        <w:t xml:space="preserve"> de </w:t>
      </w:r>
      <w:r w:rsidRPr="004513AF">
        <w:t>déchets</w:t>
      </w:r>
      <w:r w:rsidRPr="00FA271C">
        <w:t xml:space="preserve"> solides. Il s’agira de ferrailles, de </w:t>
      </w:r>
      <w:r w:rsidRPr="004513AF">
        <w:t>câbles</w:t>
      </w:r>
      <w:r>
        <w:t>, d</w:t>
      </w:r>
      <w:r w:rsidRPr="00FA271C">
        <w:t xml:space="preserve">e verres, de plastiques qui sont autant de </w:t>
      </w:r>
      <w:r w:rsidRPr="004513AF">
        <w:t>déchets</w:t>
      </w:r>
      <w:r w:rsidRPr="00FA271C">
        <w:t xml:space="preserve"> qu’il faudra </w:t>
      </w:r>
      <w:r w:rsidRPr="004513AF">
        <w:t>gérer</w:t>
      </w:r>
      <w:r>
        <w:t xml:space="preserve"> avec </w:t>
      </w:r>
      <w:r w:rsidRPr="00FA271C">
        <w:t xml:space="preserve">soins. Les rejets anarchiques des </w:t>
      </w:r>
      <w:r w:rsidRPr="004513AF">
        <w:t>déchets</w:t>
      </w:r>
      <w:r w:rsidRPr="00FA271C">
        <w:t xml:space="preserve"> solides et liquides de chantier (</w:t>
      </w:r>
      <w:r w:rsidRPr="004513AF">
        <w:t>déblais</w:t>
      </w:r>
      <w:r w:rsidRPr="00FA271C">
        <w:t xml:space="preserve">, </w:t>
      </w:r>
      <w:r w:rsidRPr="004513AF">
        <w:t>résidus</w:t>
      </w:r>
      <w:r w:rsidRPr="00FA271C">
        <w:t xml:space="preserve"> divers, etc.) pourraient </w:t>
      </w:r>
      <w:r w:rsidRPr="004513AF">
        <w:t>dégrader</w:t>
      </w:r>
      <w:r w:rsidRPr="00FA271C">
        <w:t xml:space="preserve"> le milieu </w:t>
      </w:r>
      <w:r w:rsidRPr="004513AF">
        <w:t>immédiat</w:t>
      </w:r>
      <w:r w:rsidRPr="00FA271C">
        <w:t xml:space="preserve">, car les points de rejets pourraient </w:t>
      </w:r>
      <w:r w:rsidRPr="004513AF">
        <w:t>être</w:t>
      </w:r>
      <w:r w:rsidRPr="00FA271C">
        <w:t xml:space="preserve"> </w:t>
      </w:r>
      <w:r w:rsidRPr="004513AF">
        <w:t>transformés</w:t>
      </w:r>
      <w:r w:rsidRPr="00FA271C">
        <w:t xml:space="preserve"> en </w:t>
      </w:r>
      <w:r w:rsidRPr="004513AF">
        <w:t>dépotoirs</w:t>
      </w:r>
      <w:r w:rsidRPr="00FA271C">
        <w:t xml:space="preserve"> sauvages d’ordures</w:t>
      </w:r>
      <w:r>
        <w:t>.</w:t>
      </w:r>
    </w:p>
    <w:p w:rsidR="00802036" w:rsidRDefault="00802036" w:rsidP="00A76F4A">
      <w:pPr>
        <w:ind w:left="-142" w:right="12"/>
        <w:jc w:val="both"/>
      </w:pPr>
    </w:p>
    <w:p w:rsidR="00802036" w:rsidRPr="00052903" w:rsidRDefault="00AB22A7" w:rsidP="00A76F4A">
      <w:pPr>
        <w:pStyle w:val="PargrafodaLista"/>
        <w:numPr>
          <w:ilvl w:val="0"/>
          <w:numId w:val="203"/>
        </w:numPr>
        <w:spacing w:after="120" w:line="240" w:lineRule="auto"/>
        <w:ind w:right="12"/>
        <w:contextualSpacing w:val="0"/>
        <w:jc w:val="both"/>
        <w:rPr>
          <w:rFonts w:ascii="Times New Roman" w:hAnsi="Times New Roman"/>
          <w:b/>
          <w:sz w:val="24"/>
          <w:szCs w:val="24"/>
        </w:rPr>
      </w:pPr>
      <w:r w:rsidRPr="009A5894">
        <w:rPr>
          <w:rFonts w:ascii="Times New Roman" w:hAnsi="Times New Roman"/>
          <w:b/>
          <w:sz w:val="24"/>
          <w:szCs w:val="24"/>
        </w:rPr>
        <w:t xml:space="preserve">Impacts négatifs sur les risques de propagation des IST/VIH/SIDA </w:t>
      </w:r>
      <w:r>
        <w:rPr>
          <w:rFonts w:ascii="Times New Roman" w:hAnsi="Times New Roman"/>
          <w:b/>
          <w:sz w:val="24"/>
          <w:szCs w:val="24"/>
        </w:rPr>
        <w:t>et de la COVID 19</w:t>
      </w:r>
    </w:p>
    <w:p w:rsidR="00A44A87" w:rsidRDefault="00A44A87" w:rsidP="00A76F4A">
      <w:pPr>
        <w:ind w:right="12"/>
        <w:jc w:val="both"/>
      </w:pPr>
      <w:r>
        <w:t xml:space="preserve">Vu la situation de l’évolution de la propagation des </w:t>
      </w:r>
      <w:r w:rsidRPr="00EA2370">
        <w:t xml:space="preserve">IST/VIH/SIDA </w:t>
      </w:r>
      <w:r>
        <w:t xml:space="preserve">au niveau </w:t>
      </w:r>
      <w:r w:rsidR="00AB22A7">
        <w:t xml:space="preserve">des zones reculées en </w:t>
      </w:r>
      <w:r>
        <w:t>Guinée-Bissau, le risque d’augmentation est très élevé avec la présence des ouv</w:t>
      </w:r>
      <w:r w:rsidR="00D15BA4">
        <w:t>riers</w:t>
      </w:r>
      <w:r>
        <w:t>.</w:t>
      </w:r>
      <w:r w:rsidRPr="009A5894">
        <w:t xml:space="preserve"> </w:t>
      </w:r>
      <w:r>
        <w:t>Mais aussi, avec les regroupements très fréquents des ouvriers au niveau du chantier et des bases vies, le risque de propagation de la COVID 19 pourrait évoluer dans la zone.</w:t>
      </w:r>
      <w:r w:rsidRPr="003E640A">
        <w:t xml:space="preserve"> </w:t>
      </w:r>
    </w:p>
    <w:p w:rsidR="002C70F6" w:rsidRDefault="002C70F6" w:rsidP="00A76F4A">
      <w:pPr>
        <w:ind w:right="12"/>
        <w:jc w:val="both"/>
      </w:pPr>
    </w:p>
    <w:p w:rsidR="00CC44DE" w:rsidRPr="00052903" w:rsidRDefault="00CC44DE" w:rsidP="00A76F4A">
      <w:pPr>
        <w:pStyle w:val="PargrafodaLista"/>
        <w:numPr>
          <w:ilvl w:val="0"/>
          <w:numId w:val="203"/>
        </w:numPr>
        <w:spacing w:after="120" w:line="240" w:lineRule="auto"/>
        <w:ind w:right="12"/>
        <w:contextualSpacing w:val="0"/>
        <w:jc w:val="both"/>
        <w:rPr>
          <w:rFonts w:ascii="Times New Roman" w:hAnsi="Times New Roman"/>
          <w:b/>
          <w:sz w:val="24"/>
          <w:szCs w:val="24"/>
        </w:rPr>
      </w:pPr>
      <w:r w:rsidRPr="009A5894">
        <w:rPr>
          <w:rFonts w:ascii="Times New Roman" w:hAnsi="Times New Roman"/>
          <w:b/>
          <w:sz w:val="24"/>
          <w:szCs w:val="24"/>
        </w:rPr>
        <w:t>Impacts négatifs sur les risques</w:t>
      </w:r>
      <w:r w:rsidR="000B667E">
        <w:rPr>
          <w:rFonts w:ascii="Times New Roman" w:hAnsi="Times New Roman"/>
          <w:b/>
          <w:sz w:val="24"/>
          <w:szCs w:val="24"/>
        </w:rPr>
        <w:t xml:space="preserve"> </w:t>
      </w:r>
      <w:r w:rsidR="000B667E" w:rsidRPr="000B667E">
        <w:rPr>
          <w:rFonts w:ascii="Times New Roman" w:hAnsi="Times New Roman"/>
          <w:b/>
          <w:sz w:val="24"/>
          <w:szCs w:val="24"/>
        </w:rPr>
        <w:t>de VBG</w:t>
      </w:r>
      <w:r w:rsidR="000B667E">
        <w:rPr>
          <w:rFonts w:ascii="Times New Roman" w:hAnsi="Times New Roman"/>
          <w:b/>
          <w:sz w:val="24"/>
          <w:szCs w:val="24"/>
        </w:rPr>
        <w:t xml:space="preserve"> </w:t>
      </w:r>
    </w:p>
    <w:p w:rsidR="00341DDC" w:rsidRPr="00052903" w:rsidRDefault="00341DDC" w:rsidP="00A76F4A">
      <w:pPr>
        <w:ind w:right="12"/>
        <w:jc w:val="both"/>
      </w:pPr>
      <w:r w:rsidRPr="00052903">
        <w:t>Risque d’augmentation de VBG et en particulier d'EAS </w:t>
      </w:r>
      <w:r w:rsidR="006861C5" w:rsidRPr="000C0DC2">
        <w:t xml:space="preserve">pourrait </w:t>
      </w:r>
      <w:r w:rsidR="007A2CD7" w:rsidRPr="000C0DC2">
        <w:t>être</w:t>
      </w:r>
      <w:r w:rsidR="006861C5" w:rsidRPr="000C0DC2">
        <w:t xml:space="preserve"> souligner au niveau des zones d’</w:t>
      </w:r>
      <w:r w:rsidR="007A2CD7" w:rsidRPr="000C0DC2">
        <w:t>intervention du projet</w:t>
      </w:r>
      <w:r w:rsidRPr="000C0DC2">
        <w:t xml:space="preserve"> avec la présence</w:t>
      </w:r>
      <w:r w:rsidR="00CC44DE" w:rsidRPr="000C0DC2">
        <w:t xml:space="preserve"> des personnes dans les différents chantiers.</w:t>
      </w:r>
    </w:p>
    <w:p w:rsidR="00802036" w:rsidRDefault="00802036" w:rsidP="00A76F4A">
      <w:pPr>
        <w:ind w:right="12"/>
        <w:jc w:val="both"/>
      </w:pPr>
    </w:p>
    <w:p w:rsidR="006A3561" w:rsidRPr="00926EB1" w:rsidRDefault="006A3561"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sidRPr="00031D4B">
        <w:rPr>
          <w:rFonts w:ascii="Times New Roman" w:hAnsi="Times New Roman"/>
          <w:b/>
          <w:sz w:val="24"/>
          <w:szCs w:val="24"/>
        </w:rPr>
        <w:t>Impacts négatifs sur le patrimoine culturel</w:t>
      </w:r>
    </w:p>
    <w:p w:rsidR="00802036" w:rsidRDefault="00802036" w:rsidP="00A76F4A">
      <w:pPr>
        <w:ind w:left="-142" w:right="12"/>
        <w:jc w:val="both"/>
      </w:pPr>
    </w:p>
    <w:p w:rsidR="00802036" w:rsidRDefault="00C43339" w:rsidP="00A76F4A">
      <w:pPr>
        <w:ind w:right="12"/>
        <w:jc w:val="both"/>
      </w:pPr>
      <w:r w:rsidRPr="00EA2370">
        <w:t xml:space="preserve">Cependant, si des cas de découverte de patrimoine culturel se réalisent durant les travaux, l’entrepreneur est tenu de suspendre les activités et d’avertir immédiatement les services compétents. </w:t>
      </w:r>
      <w:r>
        <w:t>C’est un impact négatif mineur du fait de sa faible intensité, de sa courte durée et de son étendue locale</w:t>
      </w:r>
      <w:r w:rsidRPr="00E82EEF">
        <w:t>.</w:t>
      </w:r>
    </w:p>
    <w:p w:rsidR="000B667E" w:rsidRPr="002C70F6" w:rsidRDefault="0027770F" w:rsidP="00A76F4A">
      <w:pPr>
        <w:pStyle w:val="Cabealho3"/>
        <w:keepLines/>
        <w:numPr>
          <w:ilvl w:val="0"/>
          <w:numId w:val="107"/>
        </w:numPr>
        <w:spacing w:before="120" w:after="120"/>
        <w:ind w:right="12"/>
        <w:jc w:val="both"/>
        <w:rPr>
          <w:rFonts w:ascii="Times New Roman" w:hAnsi="Times New Roman"/>
          <w:sz w:val="24"/>
          <w:szCs w:val="24"/>
        </w:rPr>
      </w:pPr>
      <w:r w:rsidRPr="002C70F6">
        <w:rPr>
          <w:rFonts w:ascii="Times New Roman" w:hAnsi="Times New Roman"/>
          <w:sz w:val="24"/>
          <w:szCs w:val="24"/>
        </w:rPr>
        <w:lastRenderedPageBreak/>
        <w:t xml:space="preserve">Les impacts négatifs du projet </w:t>
      </w:r>
      <w:r w:rsidR="00201868" w:rsidRPr="002C70F6">
        <w:rPr>
          <w:rFonts w:ascii="Times New Roman" w:hAnsi="Times New Roman"/>
          <w:sz w:val="24"/>
          <w:szCs w:val="24"/>
        </w:rPr>
        <w:t>en phase exploitation</w:t>
      </w:r>
    </w:p>
    <w:p w:rsidR="00356301" w:rsidRPr="00052903" w:rsidRDefault="00AD7203"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Pr>
          <w:rFonts w:ascii="Times New Roman" w:hAnsi="Times New Roman"/>
          <w:b/>
          <w:sz w:val="24"/>
          <w:szCs w:val="24"/>
        </w:rPr>
        <w:t xml:space="preserve">Impacts négatifs attendus </w:t>
      </w:r>
      <w:r w:rsidR="00356301" w:rsidRPr="00DA4052">
        <w:rPr>
          <w:rFonts w:ascii="Times New Roman" w:hAnsi="Times New Roman"/>
          <w:b/>
          <w:sz w:val="24"/>
          <w:szCs w:val="24"/>
        </w:rPr>
        <w:t>sur l</w:t>
      </w:r>
      <w:r>
        <w:rPr>
          <w:rFonts w:ascii="Times New Roman" w:hAnsi="Times New Roman"/>
          <w:b/>
          <w:sz w:val="24"/>
          <w:szCs w:val="24"/>
        </w:rPr>
        <w:t>a qualité de l</w:t>
      </w:r>
      <w:r w:rsidR="00356301" w:rsidRPr="00DA4052">
        <w:rPr>
          <w:rFonts w:ascii="Times New Roman" w:hAnsi="Times New Roman"/>
          <w:b/>
          <w:sz w:val="24"/>
          <w:szCs w:val="24"/>
        </w:rPr>
        <w:t>'air</w:t>
      </w:r>
    </w:p>
    <w:p w:rsidR="00356301" w:rsidRPr="00DA4052" w:rsidRDefault="00356301" w:rsidP="00A76F4A">
      <w:pPr>
        <w:ind w:right="12"/>
        <w:rPr>
          <w:b/>
        </w:rPr>
      </w:pPr>
    </w:p>
    <w:p w:rsidR="00356301" w:rsidRDefault="00356301" w:rsidP="00A76F4A">
      <w:pPr>
        <w:ind w:right="12"/>
        <w:jc w:val="both"/>
      </w:pPr>
      <w:r w:rsidRPr="00EA2370">
        <w:t>Après</w:t>
      </w:r>
      <w:r w:rsidR="00AD7203" w:rsidRPr="00EA2370">
        <w:t xml:space="preserve"> la mise en service d</w:t>
      </w:r>
      <w:r w:rsidR="001250D5" w:rsidRPr="00EA2370">
        <w:t xml:space="preserve">es </w:t>
      </w:r>
      <w:r w:rsidR="001250D5">
        <w:t>des infrastructures (marchés locaux, stockages, route d’accès, etc.),</w:t>
      </w:r>
      <w:r w:rsidR="001250D5" w:rsidRPr="00EA2370">
        <w:t xml:space="preserve"> </w:t>
      </w:r>
      <w:r w:rsidRPr="00EA2370">
        <w:t>l’augmentation du trafic pourrait augmenter les quantités de poussières soulevées et de particules en suspension provenant des véhicules qui contribuent aux émis</w:t>
      </w:r>
      <w:r w:rsidR="001250D5" w:rsidRPr="00EA2370">
        <w:t xml:space="preserve">sions de gaz à effets de serre et à </w:t>
      </w:r>
      <w:r w:rsidR="00616D10" w:rsidRPr="00EA2370">
        <w:t>l’augmentation</w:t>
      </w:r>
      <w:r w:rsidR="001250D5" w:rsidRPr="00EA2370">
        <w:t xml:space="preserve"> des maladie</w:t>
      </w:r>
      <w:r w:rsidR="00616D10" w:rsidRPr="00EA2370">
        <w:t>s</w:t>
      </w:r>
      <w:r w:rsidR="001250D5" w:rsidRPr="00EA2370">
        <w:t xml:space="preserve"> respiratoire</w:t>
      </w:r>
      <w:r w:rsidR="00616D10" w:rsidRPr="00EA2370">
        <w:t>s</w:t>
      </w:r>
      <w:r w:rsidR="001250D5" w:rsidRPr="00EA2370">
        <w:t>.</w:t>
      </w:r>
    </w:p>
    <w:p w:rsidR="00004C20" w:rsidRDefault="00004C20" w:rsidP="00A76F4A">
      <w:pPr>
        <w:ind w:right="12"/>
        <w:jc w:val="both"/>
      </w:pPr>
    </w:p>
    <w:p w:rsidR="006323C9" w:rsidRPr="00052903" w:rsidRDefault="00743C58" w:rsidP="00A76F4A">
      <w:pPr>
        <w:pStyle w:val="PargrafodaLista"/>
        <w:numPr>
          <w:ilvl w:val="0"/>
          <w:numId w:val="203"/>
        </w:numPr>
        <w:spacing w:after="120" w:line="240" w:lineRule="auto"/>
        <w:ind w:right="12"/>
        <w:contextualSpacing w:val="0"/>
        <w:jc w:val="both"/>
        <w:rPr>
          <w:rFonts w:ascii="Times New Roman" w:hAnsi="Times New Roman"/>
          <w:b/>
          <w:sz w:val="24"/>
          <w:szCs w:val="24"/>
        </w:rPr>
      </w:pPr>
      <w:r w:rsidRPr="009A5894">
        <w:rPr>
          <w:rFonts w:ascii="Times New Roman" w:hAnsi="Times New Roman"/>
          <w:b/>
          <w:sz w:val="24"/>
          <w:szCs w:val="24"/>
        </w:rPr>
        <w:t xml:space="preserve">Impacts négatifs sur les risques de propagation des IST/VIH/SIDA </w:t>
      </w:r>
      <w:r>
        <w:rPr>
          <w:rFonts w:ascii="Times New Roman" w:hAnsi="Times New Roman"/>
          <w:b/>
          <w:sz w:val="24"/>
          <w:szCs w:val="24"/>
        </w:rPr>
        <w:t>et de la COVID 19</w:t>
      </w:r>
    </w:p>
    <w:p w:rsidR="000E264E" w:rsidRPr="000C0DC2" w:rsidRDefault="008947ED" w:rsidP="00A76F4A">
      <w:pPr>
        <w:ind w:right="12"/>
        <w:jc w:val="both"/>
      </w:pPr>
      <w:r w:rsidRPr="00EA2370">
        <w:t>Après</w:t>
      </w:r>
      <w:r w:rsidR="008B0673" w:rsidRPr="00EA2370">
        <w:t xml:space="preserve"> la mise en service </w:t>
      </w:r>
      <w:r>
        <w:t>des infrastructures (marchés locaux, stockages, route d’accès, etc.),</w:t>
      </w:r>
      <w:r w:rsidR="008B47A8">
        <w:t xml:space="preserve"> </w:t>
      </w:r>
      <w:r w:rsidR="008B0673">
        <w:t>des risques</w:t>
      </w:r>
      <w:r w:rsidR="008B47A8">
        <w:t xml:space="preserve"> d’</w:t>
      </w:r>
      <w:r w:rsidR="00F55DDC">
        <w:t>augmentation</w:t>
      </w:r>
      <w:r>
        <w:t xml:space="preserve"> la propagation des </w:t>
      </w:r>
      <w:r w:rsidRPr="00EA2370">
        <w:t xml:space="preserve">IST/VIH/SIDA </w:t>
      </w:r>
      <w:r w:rsidR="00F55DDC" w:rsidRPr="00052903">
        <w:t xml:space="preserve">pourrait </w:t>
      </w:r>
      <w:r w:rsidR="00F55DDC">
        <w:t xml:space="preserve">être noter </w:t>
      </w:r>
      <w:r w:rsidR="00FC292D">
        <w:t>avec l’</w:t>
      </w:r>
      <w:r w:rsidR="00330E66">
        <w:t>arrivée</w:t>
      </w:r>
      <w:r w:rsidR="00FC292D">
        <w:t xml:space="preserve"> </w:t>
      </w:r>
      <w:r w:rsidR="00404C71">
        <w:t xml:space="preserve">des </w:t>
      </w:r>
      <w:r w:rsidR="00330E66">
        <w:t>commerçants</w:t>
      </w:r>
      <w:r w:rsidR="00404C71">
        <w:t xml:space="preserve"> venant des autres régions ou </w:t>
      </w:r>
      <w:r w:rsidR="00330E66">
        <w:t>même</w:t>
      </w:r>
      <w:r w:rsidR="00404C71">
        <w:t xml:space="preserve"> </w:t>
      </w:r>
      <w:r w:rsidR="00330E66">
        <w:t xml:space="preserve">sous </w:t>
      </w:r>
      <w:r w:rsidR="00404C71">
        <w:t>régional</w:t>
      </w:r>
      <w:r w:rsidR="005B6EB6">
        <w:t xml:space="preserve"> en contact avec </w:t>
      </w:r>
      <w:r w:rsidR="009C69F6">
        <w:t>la population locale.</w:t>
      </w:r>
    </w:p>
    <w:p w:rsidR="008947ED" w:rsidRDefault="009C69F6" w:rsidP="00A76F4A">
      <w:pPr>
        <w:ind w:right="12"/>
        <w:jc w:val="both"/>
      </w:pPr>
      <w:r>
        <w:t xml:space="preserve">De </w:t>
      </w:r>
      <w:r w:rsidR="00743C58">
        <w:t>même</w:t>
      </w:r>
      <w:r>
        <w:t xml:space="preserve"> que le </w:t>
      </w:r>
      <w:r w:rsidR="008947ED">
        <w:t>risque d’augmentation</w:t>
      </w:r>
      <w:r>
        <w:t xml:space="preserve"> de </w:t>
      </w:r>
      <w:r w:rsidR="00743C58">
        <w:t xml:space="preserve">la </w:t>
      </w:r>
      <w:r>
        <w:t xml:space="preserve">propagation de la </w:t>
      </w:r>
      <w:r w:rsidRPr="00EA2370">
        <w:t>COVID 19</w:t>
      </w:r>
      <w:r>
        <w:t xml:space="preserve"> </w:t>
      </w:r>
      <w:r w:rsidR="008947ED">
        <w:t>avec les regroupements très fréquents.</w:t>
      </w:r>
      <w:r w:rsidR="008947ED" w:rsidRPr="003E640A">
        <w:t xml:space="preserve"> </w:t>
      </w:r>
    </w:p>
    <w:p w:rsidR="008947ED" w:rsidRDefault="008947ED" w:rsidP="00A76F4A">
      <w:pPr>
        <w:ind w:left="-142" w:right="12"/>
        <w:jc w:val="both"/>
      </w:pPr>
    </w:p>
    <w:p w:rsidR="00B62565" w:rsidRPr="00A4202E" w:rsidRDefault="00B62565" w:rsidP="00A76F4A">
      <w:pPr>
        <w:pStyle w:val="PargrafodaLista"/>
        <w:numPr>
          <w:ilvl w:val="0"/>
          <w:numId w:val="203"/>
        </w:numPr>
        <w:spacing w:after="120" w:line="240" w:lineRule="auto"/>
        <w:ind w:right="12"/>
        <w:contextualSpacing w:val="0"/>
        <w:jc w:val="both"/>
        <w:rPr>
          <w:rFonts w:ascii="Times New Roman" w:hAnsi="Times New Roman"/>
          <w:b/>
          <w:sz w:val="24"/>
          <w:szCs w:val="24"/>
        </w:rPr>
      </w:pPr>
      <w:r w:rsidRPr="009A5894">
        <w:rPr>
          <w:rFonts w:ascii="Times New Roman" w:hAnsi="Times New Roman"/>
          <w:b/>
          <w:sz w:val="24"/>
          <w:szCs w:val="24"/>
        </w:rPr>
        <w:t>Impacts négatifs sur les risques</w:t>
      </w:r>
      <w:r w:rsidR="000B667E">
        <w:rPr>
          <w:rFonts w:ascii="Times New Roman" w:hAnsi="Times New Roman"/>
          <w:b/>
          <w:sz w:val="24"/>
          <w:szCs w:val="24"/>
        </w:rPr>
        <w:t xml:space="preserve"> </w:t>
      </w:r>
      <w:r w:rsidR="000B667E" w:rsidRPr="000B667E">
        <w:rPr>
          <w:rFonts w:ascii="Times New Roman" w:hAnsi="Times New Roman"/>
          <w:b/>
          <w:sz w:val="24"/>
          <w:szCs w:val="24"/>
        </w:rPr>
        <w:t>de VBG</w:t>
      </w:r>
    </w:p>
    <w:p w:rsidR="00B62565" w:rsidRPr="00A4202E" w:rsidRDefault="00B62565" w:rsidP="00A76F4A">
      <w:pPr>
        <w:ind w:right="12"/>
        <w:jc w:val="both"/>
      </w:pPr>
      <w:r w:rsidRPr="00A4202E">
        <w:t>Risque d’augmentation de VBG et en particulier d'EAS pourrait être</w:t>
      </w:r>
      <w:r>
        <w:t xml:space="preserve"> constater au niveau des </w:t>
      </w:r>
      <w:r w:rsidR="0040509E">
        <w:t>marchés locaux</w:t>
      </w:r>
      <w:r w:rsidR="000E3613">
        <w:t xml:space="preserve"> et des structures stockage</w:t>
      </w:r>
      <w:r w:rsidR="0040509E">
        <w:t xml:space="preserve"> </w:t>
      </w:r>
      <w:r w:rsidR="001E4D5F">
        <w:t>mise</w:t>
      </w:r>
      <w:r w:rsidR="000A62C2">
        <w:t xml:space="preserve">s en service </w:t>
      </w:r>
      <w:r w:rsidR="004A6C5C">
        <w:t xml:space="preserve">sans accompagnement et sensibilisation des femmes ou des jeunes filles </w:t>
      </w:r>
      <w:r w:rsidR="0063059C">
        <w:t xml:space="preserve">mais aussi des hommes </w:t>
      </w:r>
      <w:r w:rsidR="000E3613">
        <w:t>chargés de la gestion des infrastructures</w:t>
      </w:r>
    </w:p>
    <w:p w:rsidR="008947ED" w:rsidRDefault="008947ED" w:rsidP="00A76F4A">
      <w:pPr>
        <w:ind w:left="-142" w:right="12"/>
        <w:jc w:val="both"/>
      </w:pPr>
    </w:p>
    <w:p w:rsidR="008947ED" w:rsidRPr="002C70F6" w:rsidRDefault="004B7634" w:rsidP="002C70F6">
      <w:pPr>
        <w:ind w:left="-142" w:right="12"/>
        <w:jc w:val="center"/>
        <w:rPr>
          <w:i/>
          <w:u w:val="single"/>
        </w:rPr>
      </w:pPr>
      <w:r w:rsidRPr="002C70F6">
        <w:rPr>
          <w:b/>
          <w:i/>
          <w:u w:val="single"/>
        </w:rPr>
        <w:t>Ouverture de routes d’accès aux zones de production agricole</w:t>
      </w:r>
    </w:p>
    <w:p w:rsidR="00C71298" w:rsidRDefault="00290AC6" w:rsidP="00A76F4A">
      <w:pPr>
        <w:tabs>
          <w:tab w:val="left" w:pos="5605"/>
        </w:tabs>
        <w:ind w:right="12"/>
        <w:jc w:val="both"/>
      </w:pPr>
      <w:r>
        <w:tab/>
      </w:r>
    </w:p>
    <w:p w:rsidR="00290AC6" w:rsidRPr="002C70F6" w:rsidRDefault="00290AC6" w:rsidP="00A76F4A">
      <w:pPr>
        <w:pStyle w:val="PargrafodaLista"/>
        <w:numPr>
          <w:ilvl w:val="0"/>
          <w:numId w:val="107"/>
        </w:numPr>
        <w:ind w:right="12"/>
        <w:rPr>
          <w:sz w:val="24"/>
          <w:szCs w:val="24"/>
        </w:rPr>
      </w:pPr>
      <w:r w:rsidRPr="002C70F6">
        <w:rPr>
          <w:rFonts w:ascii="Times New Roman" w:hAnsi="Times New Roman"/>
          <w:b/>
          <w:bCs/>
          <w:sz w:val="24"/>
          <w:szCs w:val="24"/>
          <w:lang w:eastAsia="en-US"/>
        </w:rPr>
        <w:t>Les impacts négatifs du projet en phase travail</w:t>
      </w:r>
    </w:p>
    <w:p w:rsidR="000B667E" w:rsidRPr="000B667E" w:rsidRDefault="000B667E" w:rsidP="00A76F4A">
      <w:pPr>
        <w:tabs>
          <w:tab w:val="left" w:pos="-720"/>
          <w:tab w:val="left" w:pos="708"/>
        </w:tabs>
        <w:autoSpaceDN w:val="0"/>
        <w:ind w:right="12"/>
        <w:jc w:val="both"/>
        <w:rPr>
          <w:rFonts w:eastAsia="Times New Roman"/>
          <w:b/>
          <w:bCs/>
          <w:spacing w:val="-3"/>
          <w:lang w:val="fr-CA"/>
        </w:rPr>
      </w:pPr>
      <w:r w:rsidRPr="000B667E">
        <w:rPr>
          <w:rFonts w:eastAsia="Times New Roman"/>
          <w:b/>
          <w:bCs/>
          <w:spacing w:val="-3"/>
          <w:lang w:val="fr-CA"/>
        </w:rPr>
        <w:t>Impacts environnementaux</w:t>
      </w:r>
    </w:p>
    <w:p w:rsidR="00290AC6" w:rsidRDefault="00290AC6" w:rsidP="00A76F4A">
      <w:pPr>
        <w:pStyle w:val="PargrafodaLista"/>
        <w:ind w:left="1440" w:right="12"/>
      </w:pPr>
    </w:p>
    <w:p w:rsidR="00C71298" w:rsidRPr="00052903" w:rsidRDefault="00983CAE"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Impacts négatifs sur la flore et la faune</w:t>
      </w:r>
    </w:p>
    <w:p w:rsidR="001823B7" w:rsidRDefault="001823B7" w:rsidP="00A76F4A">
      <w:pPr>
        <w:ind w:right="12"/>
        <w:jc w:val="both"/>
      </w:pPr>
      <w:r w:rsidRPr="009A5894">
        <w:t xml:space="preserve">Le défrichement </w:t>
      </w:r>
      <w:r>
        <w:t>tout au long</w:t>
      </w:r>
      <w:r w:rsidR="00983CAE">
        <w:t xml:space="preserve"> des</w:t>
      </w:r>
      <w:r w:rsidRPr="009A5894">
        <w:t xml:space="preserve"> </w:t>
      </w:r>
      <w:r>
        <w:t>route</w:t>
      </w:r>
      <w:r w:rsidR="00983CAE">
        <w:t>s d’accès dans les zones d’intervention du projet</w:t>
      </w:r>
      <w:r>
        <w:t xml:space="preserve"> </w:t>
      </w:r>
      <w:r w:rsidRPr="009A5894">
        <w:t>contribuera à la réduc</w:t>
      </w:r>
      <w:r>
        <w:t>tion des ressources forestières aussi bien que</w:t>
      </w:r>
      <w:r w:rsidRPr="009A5894">
        <w:t>, la libération d’emprise risque de provoquer l’abattage de quelques arbres</w:t>
      </w:r>
      <w:r>
        <w:t>.</w:t>
      </w:r>
      <w:r w:rsidRPr="009A5894">
        <w:t xml:space="preserve"> </w:t>
      </w:r>
    </w:p>
    <w:p w:rsidR="00BF6A6D" w:rsidRDefault="00BF6A6D" w:rsidP="00A76F4A">
      <w:pPr>
        <w:ind w:right="12"/>
        <w:jc w:val="both"/>
      </w:pPr>
    </w:p>
    <w:p w:rsidR="00BF6A6D" w:rsidRPr="00EA2370" w:rsidRDefault="00BF6A6D" w:rsidP="00A76F4A">
      <w:pPr>
        <w:ind w:right="12"/>
        <w:jc w:val="both"/>
      </w:pPr>
      <w:r w:rsidRPr="00EA2370">
        <w:t xml:space="preserve">Inévitablement, des niches écologiques (des terriers, des nids d’oiseaux, des arbres, des zones naturelles, </w:t>
      </w:r>
      <w:r w:rsidR="00D5265F" w:rsidRPr="00EA2370">
        <w:t>etc.</w:t>
      </w:r>
      <w:r w:rsidRPr="00EA2370">
        <w:t xml:space="preserve">…) seront détruites du fait des activités de nettoyage du site.   </w:t>
      </w:r>
    </w:p>
    <w:p w:rsidR="00C71298" w:rsidRDefault="00C71298" w:rsidP="00A76F4A">
      <w:pPr>
        <w:ind w:right="12"/>
        <w:jc w:val="both"/>
      </w:pPr>
    </w:p>
    <w:p w:rsidR="00DB719F" w:rsidRPr="00BC6FD4" w:rsidRDefault="00DB719F"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sidRPr="009A5894">
        <w:rPr>
          <w:rFonts w:ascii="Times New Roman" w:hAnsi="Times New Roman"/>
          <w:b/>
          <w:sz w:val="24"/>
          <w:szCs w:val="24"/>
        </w:rPr>
        <w:t xml:space="preserve">Impacts négatifs sur les risques de perte de terres ou de biens </w:t>
      </w:r>
    </w:p>
    <w:p w:rsidR="009E7D86" w:rsidRDefault="009E7D86" w:rsidP="00A76F4A">
      <w:pPr>
        <w:ind w:left="-284" w:right="12"/>
      </w:pPr>
    </w:p>
    <w:p w:rsidR="00DB719F" w:rsidRDefault="00DB719F" w:rsidP="00A76F4A">
      <w:pPr>
        <w:ind w:right="12"/>
        <w:jc w:val="both"/>
      </w:pPr>
      <w:r w:rsidRPr="009A5894">
        <w:t xml:space="preserve">La libération des emprises nécessaires pour </w:t>
      </w:r>
      <w:r>
        <w:t xml:space="preserve">les dimensions de la route </w:t>
      </w:r>
      <w:r w:rsidRPr="009A5894">
        <w:t>engendrer</w:t>
      </w:r>
      <w:r>
        <w:t>a</w:t>
      </w:r>
      <w:r w:rsidRPr="009A5894">
        <w:t xml:space="preserve"> des risques de perte </w:t>
      </w:r>
      <w:r>
        <w:t xml:space="preserve">de de </w:t>
      </w:r>
      <w:r w:rsidRPr="009A5894">
        <w:t>terre</w:t>
      </w:r>
      <w:r>
        <w:t>s</w:t>
      </w:r>
      <w:r w:rsidR="00A81D1B">
        <w:t xml:space="preserve"> </w:t>
      </w:r>
      <w:r>
        <w:t>au niveau d</w:t>
      </w:r>
      <w:r w:rsidR="00A81D1B">
        <w:t xml:space="preserve">es villages concernés par le projet. </w:t>
      </w:r>
    </w:p>
    <w:p w:rsidR="00C71298" w:rsidRDefault="00C71298" w:rsidP="00A76F4A">
      <w:pPr>
        <w:ind w:left="-284" w:right="12"/>
        <w:jc w:val="both"/>
      </w:pPr>
    </w:p>
    <w:p w:rsidR="00856D2A" w:rsidRPr="00031D4B" w:rsidRDefault="00856D2A"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sidRPr="00031D4B">
        <w:rPr>
          <w:rFonts w:ascii="Times New Roman" w:hAnsi="Times New Roman"/>
          <w:b/>
          <w:sz w:val="24"/>
          <w:szCs w:val="24"/>
        </w:rPr>
        <w:t xml:space="preserve">Impacts négatifs sur les paysages </w:t>
      </w:r>
    </w:p>
    <w:p w:rsidR="00856D2A" w:rsidRPr="009A5894" w:rsidRDefault="00856D2A" w:rsidP="00A76F4A">
      <w:pPr>
        <w:ind w:right="12"/>
        <w:jc w:val="both"/>
      </w:pPr>
    </w:p>
    <w:p w:rsidR="00856D2A" w:rsidRDefault="00856D2A" w:rsidP="00A76F4A">
      <w:pPr>
        <w:ind w:right="12"/>
        <w:jc w:val="both"/>
      </w:pPr>
      <w:r w:rsidRPr="009A5894">
        <w:t>Le risque de modification du paysage est essentiellement lié d’une part aux activités</w:t>
      </w:r>
      <w:r w:rsidR="00A74A9F">
        <w:t xml:space="preserve"> d’ouverture des voies d’accès et</w:t>
      </w:r>
      <w:r w:rsidRPr="009A5894">
        <w:t xml:space="preserve"> d’ex</w:t>
      </w:r>
      <w:r>
        <w:t>trac</w:t>
      </w:r>
      <w:r w:rsidR="00A74A9F">
        <w:t xml:space="preserve">tion des </w:t>
      </w:r>
      <w:r w:rsidR="00B426AE">
        <w:t>matériaux</w:t>
      </w:r>
      <w:r w:rsidR="00A74A9F">
        <w:t xml:space="preserve"> </w:t>
      </w:r>
      <w:r w:rsidR="00B426AE">
        <w:t>nécessaires</w:t>
      </w:r>
      <w:r w:rsidR="00A74A9F">
        <w:t xml:space="preserve"> à la </w:t>
      </w:r>
      <w:r w:rsidR="00B426AE">
        <w:t>construction</w:t>
      </w:r>
      <w:r>
        <w:t xml:space="preserve">, à la présence des engins </w:t>
      </w:r>
      <w:r w:rsidRPr="009A5894">
        <w:t>(</w:t>
      </w:r>
      <w:r w:rsidR="00B426AE">
        <w:t>camion,</w:t>
      </w:r>
      <w:r w:rsidRPr="009A5894">
        <w:t xml:space="preserve"> pel</w:t>
      </w:r>
      <w:r>
        <w:t xml:space="preserve">les mécaniques, poclains, </w:t>
      </w:r>
      <w:r w:rsidR="00D5265F">
        <w:t>etc.</w:t>
      </w:r>
      <w:r>
        <w:t xml:space="preserve">) qui est un impact </w:t>
      </w:r>
      <w:r w:rsidR="00155C4E">
        <w:t xml:space="preserve">négatif vue </w:t>
      </w:r>
      <w:r w:rsidR="00155C4E">
        <w:lastRenderedPageBreak/>
        <w:t>l’emplacement des</w:t>
      </w:r>
      <w:r>
        <w:t xml:space="preserve"> site </w:t>
      </w:r>
      <w:r w:rsidRPr="009A5894">
        <w:t xml:space="preserve">et </w:t>
      </w:r>
      <w:r>
        <w:t xml:space="preserve">d’autre part de </w:t>
      </w:r>
      <w:r w:rsidRPr="009A5894">
        <w:t xml:space="preserve">la </w:t>
      </w:r>
      <w:r>
        <w:t xml:space="preserve">présence et de la </w:t>
      </w:r>
      <w:r w:rsidRPr="009A5894">
        <w:t>circulation des camions</w:t>
      </w:r>
      <w:r>
        <w:t xml:space="preserve"> </w:t>
      </w:r>
      <w:r w:rsidR="000502F3">
        <w:t>dans les différentes communes.</w:t>
      </w:r>
    </w:p>
    <w:p w:rsidR="000B667E" w:rsidRDefault="000B667E" w:rsidP="00A76F4A">
      <w:pPr>
        <w:ind w:left="-284" w:right="12"/>
        <w:jc w:val="both"/>
      </w:pPr>
    </w:p>
    <w:p w:rsidR="000B667E" w:rsidRPr="000B667E" w:rsidRDefault="000B667E" w:rsidP="002C70F6">
      <w:pPr>
        <w:tabs>
          <w:tab w:val="left" w:pos="-720"/>
          <w:tab w:val="left" w:pos="708"/>
        </w:tabs>
        <w:autoSpaceDN w:val="0"/>
        <w:ind w:right="12"/>
        <w:jc w:val="both"/>
        <w:rPr>
          <w:rFonts w:eastAsia="Times New Roman"/>
          <w:b/>
          <w:bCs/>
          <w:spacing w:val="-3"/>
        </w:rPr>
      </w:pPr>
      <w:r w:rsidRPr="000B667E">
        <w:rPr>
          <w:rFonts w:eastAsia="Times New Roman"/>
          <w:b/>
          <w:bCs/>
          <w:spacing w:val="-3"/>
        </w:rPr>
        <w:t>Impacts sociaux</w:t>
      </w:r>
    </w:p>
    <w:p w:rsidR="00C71298" w:rsidRDefault="00C71298" w:rsidP="00A76F4A">
      <w:pPr>
        <w:ind w:left="-284" w:right="12"/>
        <w:jc w:val="both"/>
      </w:pPr>
    </w:p>
    <w:p w:rsidR="00FF3E8C" w:rsidRPr="009A5894" w:rsidRDefault="00FF3E8C"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sidRPr="009A5894">
        <w:rPr>
          <w:rFonts w:ascii="Times New Roman" w:hAnsi="Times New Roman"/>
          <w:b/>
          <w:sz w:val="24"/>
          <w:szCs w:val="24"/>
        </w:rPr>
        <w:t>Impacts négatifs de sur la mobilité urbaine et le cadre de vie</w:t>
      </w:r>
    </w:p>
    <w:p w:rsidR="005B4950" w:rsidRDefault="005B4950" w:rsidP="00A76F4A">
      <w:pPr>
        <w:ind w:left="-284" w:right="12"/>
        <w:jc w:val="both"/>
      </w:pPr>
    </w:p>
    <w:p w:rsidR="005B4950" w:rsidRDefault="005B4950" w:rsidP="00A76F4A">
      <w:pPr>
        <w:ind w:right="12"/>
        <w:jc w:val="both"/>
      </w:pPr>
      <w:r w:rsidRPr="009A5894">
        <w:t>Le cadre de vie des populations riveraines sera également affecté par les productions de poussière mais aussi des risques dommage au niveau des</w:t>
      </w:r>
      <w:r>
        <w:t xml:space="preserve"> planta</w:t>
      </w:r>
      <w:r w:rsidR="00FF3E8C">
        <w:t>tions d’anacardier aux abords des</w:t>
      </w:r>
      <w:r>
        <w:t xml:space="preserve"> site</w:t>
      </w:r>
      <w:r w:rsidR="00985986">
        <w:t>s</w:t>
      </w:r>
      <w:r w:rsidRPr="009A5894">
        <w:t xml:space="preserve">. </w:t>
      </w:r>
    </w:p>
    <w:p w:rsidR="00FF3E8C" w:rsidRPr="009A5894" w:rsidRDefault="00FF3E8C" w:rsidP="00A76F4A">
      <w:pPr>
        <w:ind w:right="12"/>
        <w:jc w:val="both"/>
      </w:pPr>
    </w:p>
    <w:p w:rsidR="005B4950" w:rsidRDefault="005B4950" w:rsidP="00A76F4A">
      <w:pPr>
        <w:ind w:right="12"/>
        <w:jc w:val="both"/>
      </w:pPr>
      <w:r>
        <w:t>De plus, l</w:t>
      </w:r>
      <w:r w:rsidRPr="009A5894">
        <w:t xml:space="preserve">’utilisation des engins et des camions, </w:t>
      </w:r>
      <w:r>
        <w:t>entrainent</w:t>
      </w:r>
      <w:r w:rsidRPr="009A5894">
        <w:t xml:space="preserve"> des émissions de bruit : bruit de moteurs, bruit de chargement, bruit de r</w:t>
      </w:r>
      <w:r>
        <w:t>oulage, avertisseurs de recul qui constitue des nuisances sonores a</w:t>
      </w:r>
      <w:r w:rsidR="00985986">
        <w:t xml:space="preserve">u </w:t>
      </w:r>
      <w:r w:rsidR="006F55AA">
        <w:t xml:space="preserve">niveau des villages traversés. Les risques d’accident de circulation aussi pourrait </w:t>
      </w:r>
      <w:r w:rsidR="00A24C09">
        <w:t>être</w:t>
      </w:r>
      <w:r w:rsidR="006F55AA">
        <w:t xml:space="preserve"> noter au niveau des zones d’intervention du projet.</w:t>
      </w:r>
    </w:p>
    <w:p w:rsidR="002C70F6" w:rsidRPr="009A5894" w:rsidRDefault="002C70F6" w:rsidP="00A76F4A">
      <w:pPr>
        <w:ind w:right="12"/>
        <w:jc w:val="both"/>
      </w:pPr>
    </w:p>
    <w:p w:rsidR="00155C56" w:rsidRPr="00031D4B" w:rsidRDefault="00155C56" w:rsidP="00A76F4A">
      <w:pPr>
        <w:pStyle w:val="PargrafodaLista"/>
        <w:numPr>
          <w:ilvl w:val="0"/>
          <w:numId w:val="203"/>
        </w:numPr>
        <w:spacing w:after="0" w:line="240" w:lineRule="auto"/>
        <w:ind w:right="12"/>
        <w:contextualSpacing w:val="0"/>
        <w:jc w:val="both"/>
        <w:rPr>
          <w:rFonts w:ascii="Times New Roman" w:hAnsi="Times New Roman"/>
          <w:b/>
          <w:sz w:val="24"/>
          <w:szCs w:val="24"/>
        </w:rPr>
      </w:pPr>
      <w:bookmarkStart w:id="302" w:name="_Toc418761043"/>
      <w:r w:rsidRPr="00031D4B">
        <w:rPr>
          <w:rFonts w:ascii="Times New Roman" w:hAnsi="Times New Roman"/>
          <w:b/>
          <w:sz w:val="24"/>
          <w:szCs w:val="24"/>
        </w:rPr>
        <w:t>Impacts</w:t>
      </w:r>
      <w:r w:rsidR="00FA7608">
        <w:rPr>
          <w:rFonts w:ascii="Times New Roman" w:hAnsi="Times New Roman"/>
          <w:b/>
          <w:sz w:val="24"/>
          <w:szCs w:val="24"/>
        </w:rPr>
        <w:t xml:space="preserve"> </w:t>
      </w:r>
      <w:r w:rsidR="00FA7608" w:rsidRPr="00031D4B">
        <w:rPr>
          <w:rFonts w:ascii="Times New Roman" w:hAnsi="Times New Roman"/>
          <w:b/>
          <w:sz w:val="24"/>
          <w:szCs w:val="24"/>
        </w:rPr>
        <w:t>négatifs</w:t>
      </w:r>
      <w:r w:rsidRPr="00031D4B">
        <w:rPr>
          <w:rFonts w:ascii="Times New Roman" w:hAnsi="Times New Roman"/>
          <w:b/>
          <w:sz w:val="24"/>
          <w:szCs w:val="24"/>
        </w:rPr>
        <w:t xml:space="preserve"> sur l’agriculture </w:t>
      </w:r>
      <w:bookmarkEnd w:id="302"/>
      <w:r w:rsidRPr="00031D4B">
        <w:rPr>
          <w:rFonts w:ascii="Times New Roman" w:hAnsi="Times New Roman"/>
          <w:b/>
          <w:sz w:val="24"/>
          <w:szCs w:val="24"/>
        </w:rPr>
        <w:t>et l’élevage</w:t>
      </w:r>
    </w:p>
    <w:p w:rsidR="00155C56" w:rsidRDefault="00155C56" w:rsidP="00A76F4A">
      <w:pPr>
        <w:ind w:right="12"/>
        <w:jc w:val="both"/>
        <w:rPr>
          <w:rFonts w:eastAsia="Times New Roman"/>
        </w:rPr>
      </w:pPr>
    </w:p>
    <w:p w:rsidR="00155C56" w:rsidRPr="006C67E1" w:rsidRDefault="00155C56" w:rsidP="00A76F4A">
      <w:pPr>
        <w:ind w:right="12"/>
        <w:jc w:val="both"/>
      </w:pPr>
      <w:r w:rsidRPr="00EA2370">
        <w:t xml:space="preserve">Ainsi, Il faut rappeler </w:t>
      </w:r>
      <w:r w:rsidR="00E05051" w:rsidRPr="00EA2370">
        <w:t>qu’en</w:t>
      </w:r>
      <w:r w:rsidR="00537463" w:rsidRPr="00EA2370">
        <w:t xml:space="preserve"> Guinée Bissau, il existe des </w:t>
      </w:r>
      <w:r w:rsidRPr="00EA2370">
        <w:t>zone</w:t>
      </w:r>
      <w:r w:rsidR="00537463" w:rsidRPr="00EA2370">
        <w:t>s</w:t>
      </w:r>
      <w:r w:rsidRPr="00EA2370">
        <w:t xml:space="preserve"> à vocation agropastorale avec une pratique quasi généralisée. Des accidents pourraient donc survenir avec les déplacements incessants des animaux</w:t>
      </w:r>
      <w:r w:rsidRPr="006C67E1">
        <w:t xml:space="preserve"> entre les aires de pâturages et les points d’abreuvement.</w:t>
      </w:r>
    </w:p>
    <w:p w:rsidR="00C71298" w:rsidRDefault="00C71298" w:rsidP="00A76F4A">
      <w:pPr>
        <w:ind w:left="-284" w:right="12"/>
        <w:jc w:val="both"/>
      </w:pPr>
    </w:p>
    <w:p w:rsidR="00E05051" w:rsidRPr="00031D4B" w:rsidRDefault="00E05051"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sidRPr="00031D4B">
        <w:rPr>
          <w:rFonts w:ascii="Times New Roman" w:hAnsi="Times New Roman"/>
          <w:b/>
          <w:sz w:val="24"/>
          <w:szCs w:val="24"/>
        </w:rPr>
        <w:t>Impacts négatifs consécutifs au feu de brousse</w:t>
      </w:r>
    </w:p>
    <w:p w:rsidR="00E05051" w:rsidRPr="009A5894" w:rsidRDefault="00E05051" w:rsidP="00A76F4A">
      <w:pPr>
        <w:ind w:right="12"/>
        <w:jc w:val="both"/>
      </w:pPr>
    </w:p>
    <w:p w:rsidR="00E05051" w:rsidRPr="009A5894" w:rsidRDefault="00E05051" w:rsidP="00A76F4A">
      <w:pPr>
        <w:ind w:right="12"/>
        <w:jc w:val="both"/>
      </w:pPr>
      <w:r w:rsidRPr="009A5894">
        <w:t xml:space="preserve">Les ouvriers ou employés sont souvent tentés pendant leurs heures de pause d’utiliser du feu pour faire du thé ou </w:t>
      </w:r>
      <w:r>
        <w:t xml:space="preserve">de fumer. Ainsi, très souvent, ces feux, </w:t>
      </w:r>
      <w:r w:rsidRPr="009A5894">
        <w:t xml:space="preserve">quand ils sont mal éteints </w:t>
      </w:r>
      <w:r>
        <w:t xml:space="preserve">où disperser par le vent </w:t>
      </w:r>
      <w:r w:rsidRPr="009A5894">
        <w:t xml:space="preserve">provoquent </w:t>
      </w:r>
      <w:r>
        <w:t xml:space="preserve">en général </w:t>
      </w:r>
      <w:r w:rsidRPr="009A5894">
        <w:t>des feux de brousse de grande envergure.</w:t>
      </w:r>
      <w:r>
        <w:t xml:space="preserve"> Alors, si les mesures adéquates ne sont pas prises, ce risque de feu de brousse pourrait se déclencher aux alentours du site et se propager jusqu’à atteindre les villages environnants.</w:t>
      </w:r>
    </w:p>
    <w:p w:rsidR="00C71298" w:rsidRDefault="00C71298" w:rsidP="00A76F4A">
      <w:pPr>
        <w:ind w:left="-284" w:right="12"/>
        <w:jc w:val="both"/>
      </w:pPr>
    </w:p>
    <w:p w:rsidR="000C367C" w:rsidRPr="00D656EF" w:rsidRDefault="000C367C" w:rsidP="00A76F4A">
      <w:pPr>
        <w:pStyle w:val="PargrafodaLista"/>
        <w:numPr>
          <w:ilvl w:val="0"/>
          <w:numId w:val="107"/>
        </w:numPr>
        <w:ind w:right="12"/>
        <w:rPr>
          <w:rFonts w:ascii="Times New Roman" w:hAnsi="Times New Roman"/>
          <w:b/>
          <w:bCs/>
          <w:sz w:val="24"/>
          <w:szCs w:val="24"/>
          <w:lang w:eastAsia="en-US"/>
        </w:rPr>
      </w:pPr>
      <w:bookmarkStart w:id="303" w:name="_Toc57387552"/>
      <w:r w:rsidRPr="00D656EF">
        <w:rPr>
          <w:rFonts w:ascii="Times New Roman" w:hAnsi="Times New Roman"/>
          <w:b/>
          <w:bCs/>
          <w:sz w:val="24"/>
          <w:szCs w:val="24"/>
          <w:lang w:eastAsia="en-US"/>
        </w:rPr>
        <w:t>Les impacts négatifs du projet en phase d’exploitation</w:t>
      </w:r>
      <w:bookmarkEnd w:id="303"/>
    </w:p>
    <w:p w:rsidR="000B667E" w:rsidRPr="000B667E" w:rsidRDefault="000B667E" w:rsidP="00A76F4A">
      <w:pPr>
        <w:tabs>
          <w:tab w:val="left" w:pos="-720"/>
          <w:tab w:val="left" w:pos="708"/>
        </w:tabs>
        <w:autoSpaceDN w:val="0"/>
        <w:ind w:right="12"/>
        <w:jc w:val="both"/>
        <w:rPr>
          <w:rFonts w:eastAsia="Times New Roman"/>
          <w:b/>
          <w:bCs/>
          <w:spacing w:val="-3"/>
          <w:lang w:val="fr-CA"/>
        </w:rPr>
      </w:pPr>
      <w:r w:rsidRPr="000B667E">
        <w:rPr>
          <w:rFonts w:eastAsia="Times New Roman"/>
          <w:b/>
          <w:bCs/>
          <w:spacing w:val="-3"/>
          <w:lang w:val="fr-CA"/>
        </w:rPr>
        <w:t>Impacts environnementaux</w:t>
      </w:r>
    </w:p>
    <w:p w:rsidR="000B667E" w:rsidRPr="000B667E" w:rsidRDefault="000B667E" w:rsidP="00A76F4A">
      <w:pPr>
        <w:ind w:right="12"/>
        <w:jc w:val="both"/>
        <w:rPr>
          <w:b/>
        </w:rPr>
      </w:pPr>
    </w:p>
    <w:p w:rsidR="000C367C" w:rsidRPr="00052903" w:rsidRDefault="000C367C"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sidRPr="00DA4052">
        <w:rPr>
          <w:rFonts w:ascii="Times New Roman" w:hAnsi="Times New Roman"/>
          <w:b/>
          <w:sz w:val="24"/>
          <w:szCs w:val="24"/>
        </w:rPr>
        <w:t>Impact</w:t>
      </w:r>
      <w:r w:rsidR="00FA7608">
        <w:rPr>
          <w:rFonts w:ascii="Times New Roman" w:hAnsi="Times New Roman"/>
          <w:b/>
          <w:sz w:val="24"/>
          <w:szCs w:val="24"/>
        </w:rPr>
        <w:t xml:space="preserve"> </w:t>
      </w:r>
      <w:r w:rsidR="00FA7608" w:rsidRPr="00031D4B">
        <w:rPr>
          <w:rFonts w:ascii="Times New Roman" w:hAnsi="Times New Roman"/>
          <w:b/>
          <w:sz w:val="24"/>
          <w:szCs w:val="24"/>
        </w:rPr>
        <w:t xml:space="preserve">négatifs attendus </w:t>
      </w:r>
      <w:r w:rsidRPr="00DA4052">
        <w:rPr>
          <w:rFonts w:ascii="Times New Roman" w:hAnsi="Times New Roman"/>
          <w:b/>
          <w:sz w:val="24"/>
          <w:szCs w:val="24"/>
        </w:rPr>
        <w:t>sur l'air</w:t>
      </w:r>
    </w:p>
    <w:p w:rsidR="000C367C" w:rsidRPr="00DA4052" w:rsidRDefault="000C367C" w:rsidP="00A76F4A">
      <w:pPr>
        <w:ind w:right="12"/>
        <w:rPr>
          <w:b/>
        </w:rPr>
      </w:pPr>
    </w:p>
    <w:p w:rsidR="00E05051" w:rsidRPr="006C67E1" w:rsidRDefault="000C367C" w:rsidP="00A76F4A">
      <w:pPr>
        <w:ind w:right="12"/>
        <w:jc w:val="both"/>
      </w:pPr>
      <w:r w:rsidRPr="006C67E1">
        <w:t>Après</w:t>
      </w:r>
      <w:r w:rsidR="00363993" w:rsidRPr="006C67E1">
        <w:t xml:space="preserve"> la mise en service des</w:t>
      </w:r>
      <w:r w:rsidRPr="006C67E1">
        <w:t xml:space="preserve"> route</w:t>
      </w:r>
      <w:r w:rsidR="00363993" w:rsidRPr="006C67E1">
        <w:t>s d’accès</w:t>
      </w:r>
      <w:r w:rsidRPr="006C67E1">
        <w:t>, l’augmentation du trafic pourrait augmenter les quantités de poussières soulevées et de particules en suspension provenant des véhicules qui contribuent aux émissions de gaz à effets de serre.</w:t>
      </w:r>
    </w:p>
    <w:p w:rsidR="000B667E" w:rsidRDefault="000B667E" w:rsidP="00A76F4A">
      <w:pPr>
        <w:ind w:left="-284" w:right="12"/>
        <w:jc w:val="both"/>
      </w:pPr>
    </w:p>
    <w:p w:rsidR="000B667E" w:rsidRPr="00FF5184" w:rsidRDefault="000B667E"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sidRPr="004778FF">
        <w:rPr>
          <w:rFonts w:ascii="Times New Roman" w:hAnsi="Times New Roman"/>
          <w:b/>
          <w:sz w:val="24"/>
          <w:szCs w:val="24"/>
        </w:rPr>
        <w:t xml:space="preserve">Impact </w:t>
      </w:r>
      <w:r w:rsidRPr="00031D4B">
        <w:rPr>
          <w:rFonts w:ascii="Times New Roman" w:hAnsi="Times New Roman"/>
          <w:b/>
          <w:sz w:val="24"/>
          <w:szCs w:val="24"/>
        </w:rPr>
        <w:t xml:space="preserve">négatifs attendus </w:t>
      </w:r>
      <w:r w:rsidRPr="004778FF">
        <w:rPr>
          <w:rFonts w:ascii="Times New Roman" w:hAnsi="Times New Roman"/>
          <w:b/>
          <w:sz w:val="24"/>
          <w:szCs w:val="24"/>
        </w:rPr>
        <w:t xml:space="preserve">sur </w:t>
      </w:r>
      <w:r w:rsidRPr="00FF5184">
        <w:rPr>
          <w:rFonts w:ascii="Times New Roman" w:hAnsi="Times New Roman"/>
          <w:b/>
          <w:sz w:val="24"/>
          <w:szCs w:val="24"/>
        </w:rPr>
        <w:t>la flore et la faune</w:t>
      </w:r>
    </w:p>
    <w:p w:rsidR="000B667E" w:rsidRPr="006C67E1" w:rsidRDefault="000B667E" w:rsidP="00A76F4A">
      <w:pPr>
        <w:ind w:right="12"/>
        <w:jc w:val="both"/>
      </w:pPr>
      <w:r w:rsidRPr="006C67E1">
        <w:t xml:space="preserve">La mise en service des routes peut augmenter les risques de feux de brousse avec les comportements irresponsables des voyageurs mais aussi des risques d'accidents des animaux sauvages traversant la route. </w:t>
      </w:r>
    </w:p>
    <w:p w:rsidR="00E05051" w:rsidRDefault="00E05051" w:rsidP="00A76F4A">
      <w:pPr>
        <w:ind w:left="-284" w:right="12"/>
        <w:jc w:val="both"/>
      </w:pPr>
    </w:p>
    <w:p w:rsidR="002B5320" w:rsidRPr="004778FF" w:rsidRDefault="002B5320"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sidRPr="004778FF">
        <w:rPr>
          <w:rFonts w:ascii="Times New Roman" w:hAnsi="Times New Roman"/>
          <w:b/>
          <w:sz w:val="24"/>
          <w:szCs w:val="24"/>
        </w:rPr>
        <w:t xml:space="preserve">Impact </w:t>
      </w:r>
      <w:r w:rsidR="00E35780" w:rsidRPr="00031D4B">
        <w:rPr>
          <w:rFonts w:ascii="Times New Roman" w:hAnsi="Times New Roman"/>
          <w:b/>
          <w:sz w:val="24"/>
          <w:szCs w:val="24"/>
        </w:rPr>
        <w:t xml:space="preserve">négatifs attendus </w:t>
      </w:r>
      <w:r w:rsidRPr="004778FF">
        <w:rPr>
          <w:rFonts w:ascii="Times New Roman" w:hAnsi="Times New Roman"/>
          <w:b/>
          <w:sz w:val="24"/>
          <w:szCs w:val="24"/>
        </w:rPr>
        <w:t xml:space="preserve">sur les </w:t>
      </w:r>
      <w:r w:rsidR="00E35780">
        <w:rPr>
          <w:rFonts w:ascii="Times New Roman" w:hAnsi="Times New Roman"/>
          <w:b/>
          <w:sz w:val="24"/>
          <w:szCs w:val="24"/>
        </w:rPr>
        <w:t>risques inondations</w:t>
      </w:r>
    </w:p>
    <w:p w:rsidR="002B5320" w:rsidRDefault="002B5320" w:rsidP="00A76F4A">
      <w:pPr>
        <w:ind w:left="-284" w:right="12"/>
        <w:jc w:val="both"/>
        <w:rPr>
          <w:lang w:val="fr-CA"/>
        </w:rPr>
      </w:pPr>
    </w:p>
    <w:p w:rsidR="00363993" w:rsidRDefault="001D5560" w:rsidP="00A76F4A">
      <w:pPr>
        <w:ind w:right="12"/>
        <w:jc w:val="both"/>
      </w:pPr>
      <w:r w:rsidRPr="006C67E1">
        <w:t xml:space="preserve">La mise en service des routes d’accès </w:t>
      </w:r>
      <w:r w:rsidR="002B5320" w:rsidRPr="006C67E1">
        <w:t>augmentera le ruissellement des eaux de pluie</w:t>
      </w:r>
      <w:r w:rsidR="0059499E" w:rsidRPr="006C67E1">
        <w:t xml:space="preserve"> dans les zones </w:t>
      </w:r>
      <w:r w:rsidR="00B56AF1" w:rsidRPr="006C67E1">
        <w:t xml:space="preserve">de bas fond, </w:t>
      </w:r>
      <w:r w:rsidR="00D42AFE" w:rsidRPr="006C67E1">
        <w:t>par conséquent, si l</w:t>
      </w:r>
      <w:r w:rsidR="002B5320" w:rsidRPr="006C67E1">
        <w:t>a circulation de</w:t>
      </w:r>
      <w:r w:rsidR="00A63EA0" w:rsidRPr="006C67E1">
        <w:t xml:space="preserve"> ces</w:t>
      </w:r>
      <w:r w:rsidR="002B5320" w:rsidRPr="006C67E1">
        <w:t xml:space="preserve"> ea</w:t>
      </w:r>
      <w:r w:rsidR="00D42AFE" w:rsidRPr="006C67E1">
        <w:t xml:space="preserve">ux d'écoulement sous les dalots, </w:t>
      </w:r>
      <w:r w:rsidR="002B5320" w:rsidRPr="006C67E1">
        <w:lastRenderedPageBreak/>
        <w:t>ponts</w:t>
      </w:r>
      <w:r w:rsidR="00547BB2" w:rsidRPr="006C67E1">
        <w:t xml:space="preserve"> et</w:t>
      </w:r>
      <w:r w:rsidR="00D42AFE" w:rsidRPr="006C67E1">
        <w:t xml:space="preserve"> radier n’est pas </w:t>
      </w:r>
      <w:r w:rsidR="00C620CB" w:rsidRPr="006C67E1">
        <w:t>bien calculer</w:t>
      </w:r>
      <w:r w:rsidR="00547BB2" w:rsidRPr="006C67E1">
        <w:t xml:space="preserve"> (mal placé)</w:t>
      </w:r>
      <w:r w:rsidR="00C620CB" w:rsidRPr="006C67E1">
        <w:t xml:space="preserve"> alors des risquent d'</w:t>
      </w:r>
      <w:r w:rsidR="00547BB2" w:rsidRPr="006C67E1">
        <w:t xml:space="preserve">inondation </w:t>
      </w:r>
      <w:r w:rsidR="009E429D" w:rsidRPr="006C67E1">
        <w:t>pourraient</w:t>
      </w:r>
      <w:r w:rsidR="00547BB2" w:rsidRPr="006C67E1">
        <w:t xml:space="preserve"> </w:t>
      </w:r>
      <w:r w:rsidR="009E429D" w:rsidRPr="006C67E1">
        <w:t>être</w:t>
      </w:r>
      <w:r w:rsidR="00547BB2" w:rsidRPr="006C67E1">
        <w:t xml:space="preserve"> signaler dans les</w:t>
      </w:r>
      <w:r w:rsidR="009E429D" w:rsidRPr="006C67E1">
        <w:t xml:space="preserve"> zones.</w:t>
      </w:r>
      <w:r w:rsidR="00C620CB" w:rsidRPr="006C67E1">
        <w:t xml:space="preserve"> </w:t>
      </w:r>
    </w:p>
    <w:p w:rsidR="00363993" w:rsidRDefault="00363993" w:rsidP="00A76F4A">
      <w:pPr>
        <w:ind w:left="-284" w:right="12"/>
        <w:jc w:val="both"/>
      </w:pPr>
    </w:p>
    <w:p w:rsidR="000B667E" w:rsidRPr="000B667E" w:rsidRDefault="000B667E" w:rsidP="00A76F4A">
      <w:pPr>
        <w:tabs>
          <w:tab w:val="left" w:pos="-720"/>
          <w:tab w:val="left" w:pos="708"/>
        </w:tabs>
        <w:autoSpaceDN w:val="0"/>
        <w:ind w:left="-284" w:right="12"/>
        <w:jc w:val="both"/>
        <w:rPr>
          <w:rFonts w:eastAsia="Times New Roman"/>
          <w:b/>
          <w:bCs/>
          <w:spacing w:val="-3"/>
        </w:rPr>
      </w:pPr>
      <w:r w:rsidRPr="000B667E">
        <w:rPr>
          <w:rFonts w:eastAsia="Times New Roman"/>
          <w:b/>
          <w:bCs/>
          <w:spacing w:val="-3"/>
        </w:rPr>
        <w:t>Impacts sociaux</w:t>
      </w:r>
    </w:p>
    <w:p w:rsidR="00D13FA0" w:rsidRPr="00FF5184" w:rsidRDefault="00D13FA0" w:rsidP="00A76F4A">
      <w:pPr>
        <w:pStyle w:val="PargrafodaLista"/>
        <w:numPr>
          <w:ilvl w:val="0"/>
          <w:numId w:val="203"/>
        </w:numPr>
        <w:spacing w:after="0" w:line="240" w:lineRule="auto"/>
        <w:ind w:right="12"/>
        <w:contextualSpacing w:val="0"/>
        <w:jc w:val="both"/>
        <w:rPr>
          <w:rFonts w:ascii="Times New Roman" w:hAnsi="Times New Roman"/>
          <w:b/>
          <w:sz w:val="24"/>
          <w:szCs w:val="24"/>
        </w:rPr>
      </w:pPr>
      <w:r w:rsidRPr="004778FF">
        <w:rPr>
          <w:rFonts w:ascii="Times New Roman" w:hAnsi="Times New Roman"/>
          <w:b/>
          <w:sz w:val="24"/>
          <w:szCs w:val="24"/>
        </w:rPr>
        <w:t xml:space="preserve">Impact </w:t>
      </w:r>
      <w:r w:rsidRPr="00031D4B">
        <w:rPr>
          <w:rFonts w:ascii="Times New Roman" w:hAnsi="Times New Roman"/>
          <w:b/>
          <w:sz w:val="24"/>
          <w:szCs w:val="24"/>
        </w:rPr>
        <w:t xml:space="preserve">négatifs attendus </w:t>
      </w:r>
      <w:r w:rsidR="000B1E8D">
        <w:rPr>
          <w:rFonts w:ascii="Times New Roman" w:hAnsi="Times New Roman"/>
          <w:b/>
          <w:sz w:val="24"/>
          <w:szCs w:val="24"/>
        </w:rPr>
        <w:t>au niveau du trafic des camions</w:t>
      </w:r>
    </w:p>
    <w:p w:rsidR="00E35780" w:rsidRDefault="00E35780" w:rsidP="00A76F4A">
      <w:pPr>
        <w:ind w:left="-284" w:right="12"/>
        <w:jc w:val="both"/>
      </w:pPr>
    </w:p>
    <w:p w:rsidR="00E35780" w:rsidRPr="006C67E1" w:rsidRDefault="00E63CA6" w:rsidP="00A76F4A">
      <w:pPr>
        <w:ind w:right="12"/>
        <w:jc w:val="both"/>
      </w:pPr>
      <w:r w:rsidRPr="006C67E1">
        <w:t>Un</w:t>
      </w:r>
      <w:r w:rsidR="00511B3C" w:rsidRPr="006C67E1">
        <w:t xml:space="preserve"> </w:t>
      </w:r>
      <w:r w:rsidR="00331817" w:rsidRPr="006C67E1">
        <w:t>r</w:t>
      </w:r>
      <w:r w:rsidR="00511B3C" w:rsidRPr="006C67E1">
        <w:t xml:space="preserve">isque de dégradation </w:t>
      </w:r>
      <w:r w:rsidR="00331817" w:rsidRPr="006C67E1">
        <w:t xml:space="preserve">très </w:t>
      </w:r>
      <w:r w:rsidR="00511B3C" w:rsidRPr="006C67E1">
        <w:t xml:space="preserve">rapide des routes d’accès </w:t>
      </w:r>
      <w:r w:rsidR="00084B6A" w:rsidRPr="006C67E1">
        <w:t xml:space="preserve">pourrait </w:t>
      </w:r>
      <w:r w:rsidR="00F8669B" w:rsidRPr="006C67E1">
        <w:t>être</w:t>
      </w:r>
      <w:r w:rsidR="00084B6A" w:rsidRPr="006C67E1">
        <w:t xml:space="preserve"> signaler au niveau des zones d’intervention du projet à cause de l’augmentation du trafic des camions et </w:t>
      </w:r>
      <w:r w:rsidR="00F40CED" w:rsidRPr="006C67E1">
        <w:t xml:space="preserve">du non-respect de la charge </w:t>
      </w:r>
      <w:r w:rsidR="00511B3C" w:rsidRPr="006C67E1">
        <w:t>à l’essieu</w:t>
      </w:r>
      <w:r w:rsidR="00F40CED" w:rsidRPr="006C67E1">
        <w:t>,</w:t>
      </w:r>
    </w:p>
    <w:p w:rsidR="00E35780" w:rsidRDefault="00E35780" w:rsidP="00A76F4A">
      <w:pPr>
        <w:ind w:left="-284" w:right="12"/>
        <w:jc w:val="both"/>
      </w:pPr>
    </w:p>
    <w:p w:rsidR="00F8669B" w:rsidRPr="00D656EF" w:rsidRDefault="00BB1BB5" w:rsidP="00D656EF">
      <w:pPr>
        <w:ind w:left="-142" w:right="12"/>
        <w:jc w:val="center"/>
        <w:rPr>
          <w:b/>
          <w:i/>
          <w:u w:val="single"/>
        </w:rPr>
      </w:pPr>
      <w:r w:rsidRPr="00D656EF">
        <w:rPr>
          <w:b/>
          <w:i/>
          <w:u w:val="single"/>
        </w:rPr>
        <w:t>La réhabilitation des structures de stockage, la construction de marchés locaux,</w:t>
      </w:r>
    </w:p>
    <w:p w:rsidR="00F8669B" w:rsidRDefault="00F8669B" w:rsidP="00A76F4A">
      <w:pPr>
        <w:ind w:left="-284" w:right="12"/>
        <w:jc w:val="both"/>
      </w:pPr>
    </w:p>
    <w:p w:rsidR="006952B7" w:rsidRPr="00D656EF" w:rsidRDefault="006952B7" w:rsidP="00A76F4A">
      <w:pPr>
        <w:pStyle w:val="PargrafodaLista"/>
        <w:numPr>
          <w:ilvl w:val="0"/>
          <w:numId w:val="107"/>
        </w:numPr>
        <w:ind w:right="12"/>
        <w:rPr>
          <w:rFonts w:ascii="Times New Roman" w:hAnsi="Times New Roman"/>
          <w:b/>
          <w:bCs/>
          <w:sz w:val="24"/>
          <w:szCs w:val="24"/>
          <w:lang w:eastAsia="en-US"/>
        </w:rPr>
      </w:pPr>
      <w:r w:rsidRPr="00D656EF">
        <w:rPr>
          <w:rFonts w:ascii="Times New Roman" w:hAnsi="Times New Roman"/>
          <w:b/>
          <w:bCs/>
          <w:sz w:val="24"/>
          <w:szCs w:val="24"/>
          <w:lang w:eastAsia="en-US"/>
        </w:rPr>
        <w:t xml:space="preserve">Les impacts négatifs du projet en phase </w:t>
      </w:r>
      <w:r w:rsidR="007D7BC4" w:rsidRPr="00D656EF">
        <w:rPr>
          <w:rFonts w:ascii="Times New Roman" w:hAnsi="Times New Roman"/>
          <w:b/>
          <w:bCs/>
          <w:sz w:val="24"/>
          <w:szCs w:val="24"/>
          <w:lang w:eastAsia="en-US"/>
        </w:rPr>
        <w:t>des travaux</w:t>
      </w:r>
    </w:p>
    <w:p w:rsidR="00661DB6" w:rsidRPr="009B4CEA" w:rsidRDefault="006952B7" w:rsidP="00A76F4A">
      <w:pPr>
        <w:ind w:right="12"/>
        <w:jc w:val="both"/>
      </w:pPr>
      <w:r w:rsidRPr="00FD774B">
        <w:t xml:space="preserve">Les impacts négatifs en phase </w:t>
      </w:r>
      <w:r w:rsidR="00FD774B">
        <w:t xml:space="preserve">des </w:t>
      </w:r>
      <w:r w:rsidRPr="00FD774B">
        <w:t>travaux sont décri</w:t>
      </w:r>
      <w:r w:rsidR="00661DB6" w:rsidRPr="00FD774B">
        <w:t xml:space="preserve"> au niveau de la partie des impacts </w:t>
      </w:r>
      <w:r w:rsidR="00661DB6" w:rsidRPr="009B4CEA">
        <w:t>Communs aux différents travaux (</w:t>
      </w:r>
      <w:r w:rsidR="00661DB6" w:rsidRPr="006C67E1">
        <w:t xml:space="preserve">Soutien aux Filets de Sécurité </w:t>
      </w:r>
      <w:r w:rsidR="00BC724D" w:rsidRPr="006C67E1">
        <w:t>communautaires) ci-dessus.</w:t>
      </w:r>
    </w:p>
    <w:p w:rsidR="006952B7" w:rsidRDefault="006952B7" w:rsidP="00A76F4A">
      <w:pPr>
        <w:ind w:right="12"/>
        <w:jc w:val="both"/>
      </w:pPr>
    </w:p>
    <w:p w:rsidR="009511E7" w:rsidRPr="00D656EF" w:rsidRDefault="006952B7" w:rsidP="00A76F4A">
      <w:pPr>
        <w:pStyle w:val="PargrafodaLista"/>
        <w:numPr>
          <w:ilvl w:val="0"/>
          <w:numId w:val="107"/>
        </w:numPr>
        <w:ind w:right="12"/>
        <w:rPr>
          <w:rFonts w:ascii="Times New Roman" w:hAnsi="Times New Roman"/>
          <w:b/>
          <w:bCs/>
          <w:sz w:val="24"/>
          <w:szCs w:val="24"/>
          <w:lang w:eastAsia="en-US"/>
        </w:rPr>
      </w:pPr>
      <w:r w:rsidRPr="00D656EF">
        <w:rPr>
          <w:rFonts w:ascii="Times New Roman" w:hAnsi="Times New Roman"/>
          <w:b/>
          <w:bCs/>
          <w:sz w:val="24"/>
          <w:szCs w:val="24"/>
          <w:lang w:eastAsia="en-US"/>
        </w:rPr>
        <w:t>Les impacts négatifs du projet en phase d’exploitation</w:t>
      </w:r>
    </w:p>
    <w:p w:rsidR="00B541C8" w:rsidRPr="00B541C8" w:rsidRDefault="00B541C8" w:rsidP="00A76F4A">
      <w:pPr>
        <w:tabs>
          <w:tab w:val="left" w:pos="-720"/>
          <w:tab w:val="left" w:pos="708"/>
        </w:tabs>
        <w:autoSpaceDN w:val="0"/>
        <w:ind w:right="12"/>
        <w:jc w:val="both"/>
        <w:rPr>
          <w:rFonts w:eastAsia="Times New Roman"/>
          <w:b/>
          <w:bCs/>
          <w:spacing w:val="-3"/>
        </w:rPr>
      </w:pPr>
      <w:r w:rsidRPr="00B541C8">
        <w:rPr>
          <w:rFonts w:eastAsia="Times New Roman"/>
          <w:b/>
          <w:bCs/>
          <w:spacing w:val="-3"/>
        </w:rPr>
        <w:t>Impacts sociaux</w:t>
      </w:r>
    </w:p>
    <w:p w:rsidR="00E05051" w:rsidRDefault="00E05051" w:rsidP="00A76F4A">
      <w:pPr>
        <w:pStyle w:val="PargrafodaLista"/>
        <w:ind w:left="1440" w:right="12"/>
      </w:pPr>
    </w:p>
    <w:p w:rsidR="0033462A" w:rsidRPr="009D6C11" w:rsidRDefault="0033462A"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 xml:space="preserve">Impacts négatifs attendus sur la </w:t>
      </w:r>
      <w:r w:rsidR="009511E7">
        <w:rPr>
          <w:rFonts w:ascii="Times New Roman" w:hAnsi="Times New Roman"/>
          <w:b/>
          <w:sz w:val="24"/>
          <w:szCs w:val="24"/>
        </w:rPr>
        <w:t>m</w:t>
      </w:r>
      <w:r w:rsidRPr="00D01B35">
        <w:rPr>
          <w:rFonts w:ascii="Times New Roman" w:hAnsi="Times New Roman"/>
          <w:b/>
          <w:sz w:val="24"/>
          <w:szCs w:val="24"/>
        </w:rPr>
        <w:t xml:space="preserve">auvaise qualité́ de l’air à l’intérieur des infrastructures </w:t>
      </w:r>
    </w:p>
    <w:p w:rsidR="00CA72DC" w:rsidRPr="006C67E1" w:rsidRDefault="0033462A" w:rsidP="00A76F4A">
      <w:pPr>
        <w:ind w:right="12"/>
        <w:jc w:val="both"/>
      </w:pPr>
      <w:r w:rsidRPr="006C67E1">
        <w:t>Les risques de contaminations de la qualité́ de l’air intérieur concernent généralement : l’ammoniac, les COV (dus à l’utilisation de</w:t>
      </w:r>
      <w:r w:rsidR="00BC724D" w:rsidRPr="006C67E1">
        <w:t>s</w:t>
      </w:r>
      <w:r w:rsidRPr="006C67E1">
        <w:t xml:space="preserve"> produits </w:t>
      </w:r>
      <w:r w:rsidR="007D7BC4" w:rsidRPr="006C67E1">
        <w:t>utilisés ou</w:t>
      </w:r>
      <w:r w:rsidR="00BC724D" w:rsidRPr="006C67E1">
        <w:t xml:space="preserve"> stock</w:t>
      </w:r>
      <w:r w:rsidR="00E638C4" w:rsidRPr="006C67E1">
        <w:t xml:space="preserve">és </w:t>
      </w:r>
      <w:r w:rsidRPr="006C67E1">
        <w:t>à l’intérieur de</w:t>
      </w:r>
      <w:r w:rsidR="00E638C4" w:rsidRPr="006C67E1">
        <w:t xml:space="preserve">s </w:t>
      </w:r>
      <w:r w:rsidR="009668FE" w:rsidRPr="006C67E1">
        <w:t>structures stockages et marchés</w:t>
      </w:r>
      <w:r w:rsidRPr="006C67E1">
        <w:t xml:space="preserve">), les odeurs, la poussière, le formaldéhyde, les bactéries et les champignons. </w:t>
      </w:r>
    </w:p>
    <w:p w:rsidR="00CA72DC" w:rsidRPr="006C67E1" w:rsidRDefault="00CA72DC" w:rsidP="00A76F4A">
      <w:pPr>
        <w:ind w:right="12"/>
        <w:jc w:val="both"/>
      </w:pPr>
    </w:p>
    <w:p w:rsidR="0033462A" w:rsidRPr="006C67E1" w:rsidRDefault="0033462A" w:rsidP="00A76F4A">
      <w:pPr>
        <w:ind w:right="12"/>
        <w:jc w:val="both"/>
      </w:pPr>
      <w:r w:rsidRPr="006C67E1">
        <w:t xml:space="preserve">La pollution de la qualité de l’air intérieur est une source de risque d’infections respiratoires dont l’asthme, les allergies respiratoires, les maux de tête et les nausées. Les irritations respiratoires dues à l’inhalation de vapeur (chlore, ammoniac, dioxyde de soufre) risquent d’avoir des impacts sur la santé du personnel. </w:t>
      </w:r>
    </w:p>
    <w:p w:rsidR="0033462A" w:rsidRPr="0006626A" w:rsidRDefault="0033462A" w:rsidP="00A76F4A">
      <w:pPr>
        <w:ind w:right="12"/>
        <w:jc w:val="both"/>
      </w:pPr>
    </w:p>
    <w:p w:rsidR="0033462A" w:rsidRPr="00D01B35" w:rsidRDefault="0033462A"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Impacts négatifs attendus sur la production des déchets liquides</w:t>
      </w:r>
    </w:p>
    <w:p w:rsidR="0033462A" w:rsidRPr="006C67E1" w:rsidRDefault="0033462A" w:rsidP="00A76F4A">
      <w:pPr>
        <w:ind w:right="12"/>
        <w:jc w:val="both"/>
      </w:pPr>
      <w:r w:rsidRPr="00DF6D88">
        <w:t>Les principales</w:t>
      </w:r>
      <w:r>
        <w:t xml:space="preserve"> </w:t>
      </w:r>
      <w:r w:rsidRPr="00484B15">
        <w:t xml:space="preserve">déchets liquides seront constitués des eaux vannes issues </w:t>
      </w:r>
      <w:r w:rsidRPr="00DF6D88">
        <w:t>des sanitaires (do</w:t>
      </w:r>
      <w:r>
        <w:t xml:space="preserve">uches, bains et chasses d’eau), de </w:t>
      </w:r>
      <w:r w:rsidRPr="00DF6D88">
        <w:t>l’entretien ménager</w:t>
      </w:r>
      <w:r w:rsidRPr="00484B15">
        <w:t xml:space="preserve"> au niveau des </w:t>
      </w:r>
      <w:r w:rsidR="003A2959">
        <w:t>infrastructures</w:t>
      </w:r>
      <w:r w:rsidRPr="00DF6D88">
        <w:t xml:space="preserve">. Ces eaux peuvent comprendre des agents nettoyants, des produits désinfectants qui peuvent </w:t>
      </w:r>
      <w:r>
        <w:t xml:space="preserve">se mélanger et </w:t>
      </w:r>
      <w:r w:rsidRPr="00DF6D88">
        <w:t>relâcher</w:t>
      </w:r>
      <w:r>
        <w:t xml:space="preserve"> ainsi des</w:t>
      </w:r>
      <w:r w:rsidRPr="00DF6D88">
        <w:t xml:space="preserve"> excès</w:t>
      </w:r>
      <w:r>
        <w:t xml:space="preserve"> de produit indésirable</w:t>
      </w:r>
      <w:r w:rsidRPr="00DF6D88">
        <w:t xml:space="preserve">. </w:t>
      </w:r>
      <w:r w:rsidRPr="009B3DF3">
        <w:t>Ces eaux sont des sources potentielles de pollution, de dégradation du cadre de vie et de maladies infectieuses.</w:t>
      </w:r>
    </w:p>
    <w:p w:rsidR="0033462A" w:rsidRPr="003F1286" w:rsidRDefault="0033462A" w:rsidP="00A76F4A">
      <w:pPr>
        <w:ind w:left="-142" w:right="12"/>
        <w:jc w:val="both"/>
      </w:pPr>
    </w:p>
    <w:p w:rsidR="0033462A" w:rsidRPr="00D01B35" w:rsidRDefault="0033462A"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Impacts négatifs attendus sur la production de déchets solides</w:t>
      </w:r>
    </w:p>
    <w:p w:rsidR="0033462A" w:rsidRPr="0003508D" w:rsidRDefault="0033462A" w:rsidP="00A76F4A">
      <w:pPr>
        <w:ind w:right="12"/>
        <w:jc w:val="both"/>
      </w:pPr>
      <w:r w:rsidRPr="006E4322">
        <w:t xml:space="preserve">Les </w:t>
      </w:r>
      <w:r w:rsidRPr="005C52B2">
        <w:t>déchets</w:t>
      </w:r>
      <w:r w:rsidRPr="006E4322">
        <w:t xml:space="preserve"> qui pourraient être génères comprennent généralement des</w:t>
      </w:r>
      <w:r>
        <w:t xml:space="preserve"> déchets banals </w:t>
      </w:r>
      <w:r w:rsidRPr="0003508D">
        <w:t xml:space="preserve">(papier, carton, </w:t>
      </w:r>
      <w:r>
        <w:t>o</w:t>
      </w:r>
      <w:r w:rsidRPr="0003508D">
        <w:t xml:space="preserve">bjets en plastique, </w:t>
      </w:r>
      <w:r>
        <w:t>o</w:t>
      </w:r>
      <w:r w:rsidRPr="0003508D">
        <w:t xml:space="preserve">rdures ménagères, </w:t>
      </w:r>
      <w:r w:rsidR="006E4BC8">
        <w:t xml:space="preserve">sacs, </w:t>
      </w:r>
      <w:r w:rsidRPr="0003508D">
        <w:t>etc.)</w:t>
      </w:r>
      <w:r w:rsidR="006E4BC8">
        <w:t>.</w:t>
      </w:r>
      <w:r w:rsidRPr="0003508D">
        <w:t xml:space="preserve"> Ces déchets sont susceptibles d’affecter négativement le cadre de vie. </w:t>
      </w:r>
    </w:p>
    <w:p w:rsidR="0033462A" w:rsidRPr="006E4322" w:rsidRDefault="0033462A" w:rsidP="00A76F4A">
      <w:pPr>
        <w:ind w:left="-142" w:right="12"/>
      </w:pPr>
    </w:p>
    <w:p w:rsidR="0033462A" w:rsidRPr="00D01B35" w:rsidRDefault="0033462A" w:rsidP="00A76F4A">
      <w:pPr>
        <w:pStyle w:val="PargrafodaLista"/>
        <w:numPr>
          <w:ilvl w:val="0"/>
          <w:numId w:val="203"/>
        </w:numPr>
        <w:spacing w:after="120" w:line="240" w:lineRule="auto"/>
        <w:ind w:left="709" w:right="12"/>
        <w:contextualSpacing w:val="0"/>
        <w:jc w:val="both"/>
        <w:rPr>
          <w:rFonts w:ascii="Times New Roman" w:hAnsi="Times New Roman"/>
          <w:b/>
          <w:sz w:val="24"/>
          <w:szCs w:val="24"/>
        </w:rPr>
      </w:pPr>
      <w:r w:rsidRPr="00D01B35">
        <w:rPr>
          <w:rFonts w:ascii="Times New Roman" w:hAnsi="Times New Roman"/>
          <w:b/>
          <w:sz w:val="24"/>
          <w:szCs w:val="24"/>
        </w:rPr>
        <w:t xml:space="preserve">Impacts négatifs attendus sur les risques d’incendie </w:t>
      </w:r>
    </w:p>
    <w:p w:rsidR="00B22235" w:rsidRDefault="0033462A" w:rsidP="00A76F4A">
      <w:pPr>
        <w:ind w:right="12"/>
        <w:jc w:val="both"/>
      </w:pPr>
      <w:r w:rsidRPr="00A40445">
        <w:t>Les incendies représentent un risque majeur pour la sécurité́ des usagers. Ce risque est importa</w:t>
      </w:r>
      <w:r>
        <w:t xml:space="preserve">nt à prendre en compte car les </w:t>
      </w:r>
      <w:r w:rsidR="00575EF6">
        <w:t>structures de stockage et les marchés locaux</w:t>
      </w:r>
      <w:r>
        <w:t xml:space="preserve"> </w:t>
      </w:r>
      <w:r w:rsidRPr="00A40445">
        <w:t xml:space="preserve">sont des </w:t>
      </w:r>
      <w:r w:rsidRPr="00A40445">
        <w:lastRenderedPageBreak/>
        <w:t>établissements recevant du public. Le développement d’un incendie dans ce type d’installation peut très vite se transformer en un sinistre</w:t>
      </w:r>
    </w:p>
    <w:p w:rsidR="000B667E" w:rsidRDefault="000B667E" w:rsidP="00A76F4A">
      <w:pPr>
        <w:ind w:right="12"/>
        <w:jc w:val="both"/>
        <w:rPr>
          <w:lang w:val="fr-CA"/>
        </w:rPr>
      </w:pPr>
    </w:p>
    <w:p w:rsidR="00F92390" w:rsidRDefault="00F92390" w:rsidP="00A76F4A">
      <w:pPr>
        <w:ind w:right="12"/>
        <w:jc w:val="both"/>
        <w:rPr>
          <w:lang w:val="fr-CA"/>
        </w:rPr>
      </w:pPr>
    </w:p>
    <w:p w:rsidR="00F92390" w:rsidRDefault="00F92390" w:rsidP="00A76F4A">
      <w:pPr>
        <w:ind w:right="12"/>
        <w:jc w:val="both"/>
        <w:rPr>
          <w:lang w:val="fr-CA"/>
        </w:rPr>
      </w:pPr>
    </w:p>
    <w:p w:rsidR="00F92390" w:rsidRPr="00052903" w:rsidRDefault="00F92390" w:rsidP="00A76F4A">
      <w:pPr>
        <w:ind w:right="12"/>
        <w:jc w:val="both"/>
        <w:rPr>
          <w:lang w:val="fr-CA"/>
        </w:rPr>
      </w:pPr>
    </w:p>
    <w:p w:rsidR="00E77EA5" w:rsidRPr="00D656EF" w:rsidRDefault="00CF21BF" w:rsidP="00A76F4A">
      <w:pPr>
        <w:pStyle w:val="Primeiroavanodecorpodetexto2"/>
        <w:spacing w:after="0" w:line="240" w:lineRule="auto"/>
        <w:ind w:right="12"/>
        <w:jc w:val="center"/>
        <w:rPr>
          <w:rFonts w:ascii="Times New Roman" w:hAnsi="Times New Roman"/>
          <w:b/>
          <w:sz w:val="20"/>
          <w:szCs w:val="20"/>
        </w:rPr>
      </w:pPr>
      <w:bookmarkStart w:id="304" w:name="_Toc55460643"/>
      <w:bookmarkStart w:id="305" w:name="_Toc75503451"/>
      <w:r w:rsidRPr="00D656EF">
        <w:rPr>
          <w:rFonts w:ascii="Times New Roman" w:hAnsi="Times New Roman"/>
          <w:b/>
          <w:sz w:val="20"/>
          <w:szCs w:val="20"/>
        </w:rPr>
        <w:t>Ta</w:t>
      </w:r>
      <w:r w:rsidR="00242A77" w:rsidRPr="00D656EF">
        <w:rPr>
          <w:rFonts w:ascii="Times New Roman" w:hAnsi="Times New Roman"/>
          <w:b/>
          <w:sz w:val="20"/>
          <w:szCs w:val="20"/>
        </w:rPr>
        <w:t xml:space="preserve">bleau </w:t>
      </w:r>
      <w:r w:rsidR="00121744" w:rsidRPr="00D656EF">
        <w:rPr>
          <w:rFonts w:ascii="Times New Roman" w:hAnsi="Times New Roman"/>
          <w:b/>
          <w:sz w:val="20"/>
          <w:szCs w:val="20"/>
        </w:rPr>
        <w:fldChar w:fldCharType="begin"/>
      </w:r>
      <w:r w:rsidR="00121744" w:rsidRPr="00D656EF">
        <w:rPr>
          <w:rFonts w:ascii="Times New Roman" w:hAnsi="Times New Roman"/>
          <w:b/>
          <w:sz w:val="20"/>
          <w:szCs w:val="20"/>
        </w:rPr>
        <w:instrText xml:space="preserve"> </w:instrText>
      </w:r>
      <w:r w:rsidR="006C5620" w:rsidRPr="00D656EF">
        <w:rPr>
          <w:rFonts w:ascii="Times New Roman" w:hAnsi="Times New Roman"/>
          <w:b/>
          <w:sz w:val="20"/>
          <w:szCs w:val="20"/>
        </w:rPr>
        <w:instrText>SEQ</w:instrText>
      </w:r>
      <w:r w:rsidR="00121744" w:rsidRPr="00D656EF">
        <w:rPr>
          <w:rFonts w:ascii="Times New Roman" w:hAnsi="Times New Roman"/>
          <w:b/>
          <w:sz w:val="20"/>
          <w:szCs w:val="20"/>
        </w:rPr>
        <w:instrText xml:space="preserve"> Tableau \* ARABIC </w:instrText>
      </w:r>
      <w:r w:rsidR="00121744" w:rsidRPr="00D656EF">
        <w:rPr>
          <w:rFonts w:ascii="Times New Roman" w:hAnsi="Times New Roman"/>
          <w:b/>
          <w:sz w:val="20"/>
          <w:szCs w:val="20"/>
        </w:rPr>
        <w:fldChar w:fldCharType="separate"/>
      </w:r>
      <w:r w:rsidR="000C372B" w:rsidRPr="00D656EF">
        <w:rPr>
          <w:rFonts w:ascii="Times New Roman" w:hAnsi="Times New Roman"/>
          <w:b/>
          <w:noProof/>
          <w:sz w:val="20"/>
          <w:szCs w:val="20"/>
        </w:rPr>
        <w:t>17</w:t>
      </w:r>
      <w:r w:rsidR="00121744" w:rsidRPr="00D656EF">
        <w:rPr>
          <w:rFonts w:ascii="Times New Roman" w:hAnsi="Times New Roman"/>
          <w:b/>
          <w:sz w:val="20"/>
          <w:szCs w:val="20"/>
        </w:rPr>
        <w:fldChar w:fldCharType="end"/>
      </w:r>
      <w:r w:rsidR="00242A77" w:rsidRPr="00D656EF">
        <w:rPr>
          <w:rFonts w:ascii="Times New Roman" w:hAnsi="Times New Roman"/>
          <w:b/>
          <w:sz w:val="20"/>
          <w:szCs w:val="20"/>
        </w:rPr>
        <w:t xml:space="preserve">. </w:t>
      </w:r>
      <w:r w:rsidR="00B541C8" w:rsidRPr="00D656EF">
        <w:rPr>
          <w:rFonts w:ascii="Times New Roman" w:hAnsi="Times New Roman"/>
          <w:b/>
          <w:sz w:val="20"/>
          <w:szCs w:val="20"/>
        </w:rPr>
        <w:t>Synthèse d</w:t>
      </w:r>
      <w:r w:rsidR="00242A77" w:rsidRPr="00D656EF">
        <w:rPr>
          <w:rFonts w:ascii="Times New Roman" w:hAnsi="Times New Roman"/>
          <w:b/>
          <w:sz w:val="20"/>
          <w:szCs w:val="20"/>
        </w:rPr>
        <w:t>es</w:t>
      </w:r>
      <w:r w:rsidR="00B2308C" w:rsidRPr="00D656EF">
        <w:rPr>
          <w:rFonts w:ascii="Times New Roman" w:hAnsi="Times New Roman"/>
          <w:b/>
          <w:sz w:val="20"/>
          <w:szCs w:val="20"/>
        </w:rPr>
        <w:t xml:space="preserve"> </w:t>
      </w:r>
      <w:r w:rsidR="00242A77" w:rsidRPr="00D656EF">
        <w:rPr>
          <w:rFonts w:ascii="Times New Roman" w:hAnsi="Times New Roman"/>
          <w:b/>
          <w:sz w:val="20"/>
          <w:szCs w:val="20"/>
        </w:rPr>
        <w:t>impacts négatifs de l</w:t>
      </w:r>
      <w:r w:rsidR="00B541C8" w:rsidRPr="00D656EF">
        <w:rPr>
          <w:rFonts w:ascii="Times New Roman" w:hAnsi="Times New Roman"/>
          <w:b/>
          <w:sz w:val="20"/>
          <w:szCs w:val="20"/>
        </w:rPr>
        <w:t>a mise en œuvre des activités par rapport au</w:t>
      </w:r>
      <w:r w:rsidR="00242A77" w:rsidRPr="00D656EF">
        <w:rPr>
          <w:rFonts w:ascii="Times New Roman" w:hAnsi="Times New Roman"/>
          <w:b/>
          <w:sz w:val="20"/>
          <w:szCs w:val="20"/>
        </w:rPr>
        <w:t xml:space="preserve"> </w:t>
      </w:r>
      <w:bookmarkEnd w:id="304"/>
      <w:r w:rsidR="00B541C8" w:rsidRPr="00D656EF">
        <w:rPr>
          <w:rFonts w:ascii="Times New Roman" w:hAnsi="Times New Roman"/>
          <w:b/>
          <w:sz w:val="20"/>
          <w:szCs w:val="20"/>
        </w:rPr>
        <w:t>Soutien aux Filets de Sécurité communautaires</w:t>
      </w:r>
      <w:bookmarkEnd w:id="305"/>
    </w:p>
    <w:tbl>
      <w:tblPr>
        <w:tblpPr w:leftFromText="141" w:rightFromText="141" w:vertAnchor="text" w:tblpXSpec="center" w:tblpY="1"/>
        <w:tblOverlap w:val="neve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31"/>
        <w:gridCol w:w="8288"/>
      </w:tblGrid>
      <w:tr w:rsidR="00E77EA5" w:rsidRPr="00843722" w:rsidTr="00D656EF">
        <w:trPr>
          <w:trHeight w:val="326"/>
          <w:tblHeader/>
        </w:trPr>
        <w:tc>
          <w:tcPr>
            <w:tcW w:w="1631" w:type="dxa"/>
            <w:tcBorders>
              <w:top w:val="single" w:sz="4" w:space="0" w:color="auto"/>
            </w:tcBorders>
            <w:shd w:val="clear" w:color="auto" w:fill="DEEAF6" w:themeFill="accent1" w:themeFillTint="33"/>
            <w:vAlign w:val="center"/>
          </w:tcPr>
          <w:p w:rsidR="00E77EA5" w:rsidRPr="00843722" w:rsidRDefault="00E77EA5" w:rsidP="00A76F4A">
            <w:pPr>
              <w:ind w:right="12"/>
              <w:jc w:val="center"/>
              <w:rPr>
                <w:rFonts w:eastAsia="Calibri"/>
                <w:b/>
                <w:bCs/>
                <w:sz w:val="21"/>
                <w:szCs w:val="21"/>
              </w:rPr>
            </w:pPr>
            <w:r w:rsidRPr="00843722">
              <w:rPr>
                <w:rFonts w:eastAsia="Calibri"/>
                <w:b/>
                <w:bCs/>
                <w:color w:val="000000"/>
                <w:sz w:val="21"/>
                <w:szCs w:val="21"/>
              </w:rPr>
              <w:t>Activités</w:t>
            </w:r>
          </w:p>
        </w:tc>
        <w:tc>
          <w:tcPr>
            <w:tcW w:w="8288" w:type="dxa"/>
            <w:tcBorders>
              <w:top w:val="single" w:sz="4" w:space="0" w:color="auto"/>
            </w:tcBorders>
            <w:shd w:val="clear" w:color="auto" w:fill="DEEAF6" w:themeFill="accent1" w:themeFillTint="33"/>
            <w:vAlign w:val="center"/>
          </w:tcPr>
          <w:p w:rsidR="00E77EA5" w:rsidRPr="00B541C8" w:rsidRDefault="00B541C8" w:rsidP="00A76F4A">
            <w:pPr>
              <w:ind w:right="12"/>
              <w:jc w:val="center"/>
              <w:rPr>
                <w:rFonts w:eastAsia="Calibri"/>
                <w:b/>
                <w:bCs/>
              </w:rPr>
            </w:pPr>
            <w:r w:rsidRPr="00B541C8">
              <w:rPr>
                <w:rFonts w:eastAsia="Calibri"/>
                <w:b/>
                <w:bCs/>
                <w:color w:val="000000"/>
              </w:rPr>
              <w:t>IMPACTS NEGATIFS MAJEURS DU PROJET</w:t>
            </w:r>
          </w:p>
        </w:tc>
      </w:tr>
      <w:tr w:rsidR="00B541C8" w:rsidRPr="00843722" w:rsidTr="00D656EF">
        <w:trPr>
          <w:trHeight w:val="326"/>
          <w:tblHeader/>
        </w:trPr>
        <w:tc>
          <w:tcPr>
            <w:tcW w:w="9919" w:type="dxa"/>
            <w:gridSpan w:val="2"/>
            <w:tcBorders>
              <w:top w:val="single" w:sz="4" w:space="0" w:color="auto"/>
            </w:tcBorders>
            <w:shd w:val="clear" w:color="auto" w:fill="FFF2CC" w:themeFill="accent4" w:themeFillTint="33"/>
            <w:vAlign w:val="center"/>
          </w:tcPr>
          <w:p w:rsidR="00B541C8" w:rsidRPr="00345951" w:rsidRDefault="00B541C8" w:rsidP="00A76F4A">
            <w:pPr>
              <w:ind w:right="12"/>
              <w:jc w:val="center"/>
              <w:rPr>
                <w:rFonts w:eastAsia="Calibri"/>
                <w:b/>
                <w:bCs/>
                <w:color w:val="000000"/>
                <w:sz w:val="28"/>
                <w:szCs w:val="28"/>
              </w:rPr>
            </w:pPr>
            <w:r w:rsidRPr="00345951">
              <w:rPr>
                <w:rFonts w:eastAsia="Calibri"/>
                <w:b/>
                <w:bCs/>
                <w:color w:val="000000"/>
                <w:sz w:val="28"/>
                <w:szCs w:val="28"/>
              </w:rPr>
              <w:t xml:space="preserve">En phase </w:t>
            </w:r>
            <w:r w:rsidRPr="00345951">
              <w:rPr>
                <w:b/>
                <w:sz w:val="28"/>
                <w:szCs w:val="28"/>
              </w:rPr>
              <w:t>travaux</w:t>
            </w:r>
          </w:p>
        </w:tc>
      </w:tr>
      <w:tr w:rsidR="005E5934" w:rsidRPr="00843722" w:rsidTr="00D656EF">
        <w:trPr>
          <w:trHeight w:val="326"/>
          <w:tblHeader/>
        </w:trPr>
        <w:tc>
          <w:tcPr>
            <w:tcW w:w="1631" w:type="dxa"/>
            <w:shd w:val="clear" w:color="auto" w:fill="EDEDED" w:themeFill="accent3" w:themeFillTint="33"/>
            <w:vAlign w:val="center"/>
          </w:tcPr>
          <w:p w:rsidR="00A57DCB" w:rsidRDefault="00A57DCB" w:rsidP="00A76F4A">
            <w:pPr>
              <w:ind w:right="12"/>
              <w:jc w:val="center"/>
              <w:rPr>
                <w:b/>
                <w:sz w:val="21"/>
                <w:szCs w:val="21"/>
              </w:rPr>
            </w:pPr>
            <w:r w:rsidRPr="00843722">
              <w:rPr>
                <w:b/>
                <w:sz w:val="21"/>
                <w:szCs w:val="21"/>
              </w:rPr>
              <w:t>Soutien aux Filets de Sécurité communautaires</w:t>
            </w:r>
          </w:p>
          <w:p w:rsidR="005E5934" w:rsidRPr="00843722" w:rsidRDefault="00A57DCB" w:rsidP="00A76F4A">
            <w:pPr>
              <w:ind w:right="12"/>
              <w:jc w:val="center"/>
              <w:rPr>
                <w:b/>
                <w:sz w:val="21"/>
                <w:szCs w:val="21"/>
              </w:rPr>
            </w:pPr>
            <w:r>
              <w:rPr>
                <w:b/>
                <w:sz w:val="21"/>
                <w:szCs w:val="21"/>
              </w:rPr>
              <w:t xml:space="preserve"> </w:t>
            </w:r>
            <w:r w:rsidR="008736DE">
              <w:rPr>
                <w:b/>
                <w:sz w:val="21"/>
                <w:szCs w:val="21"/>
              </w:rPr>
              <w:t>(</w:t>
            </w:r>
            <w:r w:rsidR="008736DE">
              <w:rPr>
                <w:b/>
              </w:rPr>
              <w:t>Communs</w:t>
            </w:r>
            <w:r w:rsidRPr="005857A6">
              <w:rPr>
                <w:b/>
              </w:rPr>
              <w:t xml:space="preserve"> aux différents travaux</w:t>
            </w:r>
            <w:r>
              <w:rPr>
                <w:b/>
              </w:rPr>
              <w:t>)</w:t>
            </w:r>
          </w:p>
        </w:tc>
        <w:tc>
          <w:tcPr>
            <w:tcW w:w="8288" w:type="dxa"/>
            <w:tcBorders>
              <w:top w:val="single" w:sz="4" w:space="0" w:color="auto"/>
            </w:tcBorders>
            <w:shd w:val="clear" w:color="auto" w:fill="FFFFFF" w:themeFill="background1"/>
            <w:vAlign w:val="center"/>
          </w:tcPr>
          <w:p w:rsidR="005E5934" w:rsidRPr="00843722" w:rsidRDefault="005E5934"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 d’émission de poussières ; </w:t>
            </w:r>
          </w:p>
          <w:p w:rsidR="005E5934" w:rsidRPr="00843722" w:rsidRDefault="005E5934"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d’émissions de gaz d’échappement</w:t>
            </w:r>
          </w:p>
          <w:p w:rsidR="005E5934" w:rsidRPr="00843722" w:rsidRDefault="005E5934"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 de pollution des sols dû aux déversements accidentels d’huiles ou d’hydrocarbures </w:t>
            </w:r>
          </w:p>
          <w:p w:rsidR="005E5934" w:rsidRDefault="005E5934" w:rsidP="00A76F4A">
            <w:pPr>
              <w:pStyle w:val="PargrafodaLista"/>
              <w:numPr>
                <w:ilvl w:val="0"/>
                <w:numId w:val="60"/>
              </w:numPr>
              <w:spacing w:line="240" w:lineRule="auto"/>
              <w:ind w:left="151" w:right="12" w:hanging="142"/>
              <w:jc w:val="both"/>
              <w:rPr>
                <w:color w:val="000000" w:themeColor="text1"/>
                <w:sz w:val="21"/>
                <w:szCs w:val="21"/>
                <w:lang w:val="fr-CA"/>
              </w:rPr>
            </w:pPr>
            <w:r w:rsidRPr="00843722">
              <w:rPr>
                <w:rFonts w:ascii="Times New Roman" w:hAnsi="Times New Roman"/>
                <w:color w:val="000000" w:themeColor="text1"/>
                <w:sz w:val="21"/>
                <w:szCs w:val="21"/>
                <w:lang w:val="fr-CA"/>
              </w:rPr>
              <w:t>Risque de perte de végétation et de la faune dans les zones d’intervention du projet</w:t>
            </w:r>
          </w:p>
          <w:p w:rsidR="005E5934" w:rsidRPr="00843722" w:rsidRDefault="005E5934"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pollution des eaux de surface liée aux déversements accidentels de produits d’hydrocarbures</w:t>
            </w:r>
          </w:p>
          <w:p w:rsidR="005E5934" w:rsidRPr="00843722" w:rsidRDefault="005E5934"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modification de l’aspect du paysage ;</w:t>
            </w:r>
          </w:p>
          <w:p w:rsidR="002279DE" w:rsidRPr="00843722" w:rsidRDefault="002279DE"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pollution visuelle ;</w:t>
            </w:r>
          </w:p>
          <w:p w:rsidR="002279DE" w:rsidRPr="00843722" w:rsidRDefault="002279DE"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frustrations au niveau local (non utilisation de la main d’œuvre résidente)</w:t>
            </w:r>
          </w:p>
          <w:p w:rsidR="005E5934" w:rsidRDefault="002279DE" w:rsidP="00A76F4A">
            <w:pPr>
              <w:pStyle w:val="PargrafodaLista"/>
              <w:numPr>
                <w:ilvl w:val="0"/>
                <w:numId w:val="60"/>
              </w:numPr>
              <w:spacing w:line="240" w:lineRule="auto"/>
              <w:ind w:left="151" w:right="12" w:hanging="142"/>
              <w:jc w:val="both"/>
              <w:rPr>
                <w:color w:val="000000" w:themeColor="text1"/>
                <w:sz w:val="21"/>
                <w:szCs w:val="21"/>
                <w:lang w:val="fr-CA"/>
              </w:rPr>
            </w:pPr>
            <w:r w:rsidRPr="00843722">
              <w:rPr>
                <w:rFonts w:ascii="Times New Roman" w:hAnsi="Times New Roman"/>
                <w:color w:val="000000" w:themeColor="text1"/>
                <w:sz w:val="21"/>
                <w:szCs w:val="21"/>
                <w:lang w:val="fr-CA"/>
              </w:rPr>
              <w:t>Risques de production de bruit (émissions sonores),</w:t>
            </w:r>
          </w:p>
          <w:p w:rsidR="00CB1D1C" w:rsidRPr="00843722" w:rsidRDefault="00CB1D1C"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maladies professionnelles consécutives à des efforts physiques, des écrasements, des chocs, des gestes répétitifs, des mauvaises postures, etc.</w:t>
            </w:r>
          </w:p>
          <w:p w:rsidR="00CB1D1C" w:rsidRPr="00843722" w:rsidRDefault="00CB1D1C"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d’expansion du SIDA et des maladies sexuellement transmissibles ;</w:t>
            </w:r>
          </w:p>
          <w:p w:rsidR="00CB1D1C" w:rsidRPr="00843722" w:rsidRDefault="00CB1D1C"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sz w:val="21"/>
                <w:szCs w:val="21"/>
              </w:rPr>
              <w:t>Risque de sécurité des travailleurs au travail ;</w:t>
            </w:r>
          </w:p>
          <w:p w:rsidR="00CB1D1C" w:rsidRPr="00843722" w:rsidRDefault="00CB1D1C"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propagation de la COVID 19 ;</w:t>
            </w:r>
          </w:p>
          <w:p w:rsidR="00CB1D1C" w:rsidRPr="00843722" w:rsidRDefault="00CB1D1C"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d’incendie au niveau des chantiers ;</w:t>
            </w:r>
          </w:p>
          <w:p w:rsidR="00CB1D1C" w:rsidRPr="00843722" w:rsidRDefault="00CB1D1C"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d’accidents dus à la circulation des véhicules et camion de chantier ;</w:t>
            </w:r>
          </w:p>
          <w:p w:rsidR="00CB1D1C" w:rsidRPr="00843722" w:rsidRDefault="00CB1D1C"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Risques de production de déchets solides et liquides durant la construction des </w:t>
            </w:r>
            <w:r w:rsidR="005857A6" w:rsidRPr="00843722">
              <w:rPr>
                <w:rFonts w:ascii="Times New Roman" w:hAnsi="Times New Roman"/>
                <w:color w:val="000000" w:themeColor="text1"/>
                <w:sz w:val="21"/>
                <w:szCs w:val="21"/>
                <w:lang w:val="fr-CA"/>
              </w:rPr>
              <w:t>infrastructures ;</w:t>
            </w:r>
          </w:p>
          <w:p w:rsidR="00CB1D1C" w:rsidRPr="00A57DCB" w:rsidRDefault="00CB1D1C" w:rsidP="00A76F4A">
            <w:pPr>
              <w:pStyle w:val="PargrafodaLista"/>
              <w:numPr>
                <w:ilvl w:val="0"/>
                <w:numId w:val="60"/>
              </w:numPr>
              <w:spacing w:after="0" w:line="240" w:lineRule="auto"/>
              <w:ind w:left="151" w:right="12" w:hanging="142"/>
              <w:jc w:val="both"/>
              <w:rPr>
                <w:rFonts w:ascii="Times New Roman" w:hAnsi="Times New Roman"/>
                <w:color w:val="000000" w:themeColor="text1"/>
                <w:sz w:val="21"/>
                <w:szCs w:val="21"/>
              </w:rPr>
            </w:pPr>
            <w:r w:rsidRPr="00A57DCB">
              <w:rPr>
                <w:rFonts w:ascii="Times New Roman" w:hAnsi="Times New Roman"/>
                <w:color w:val="000000" w:themeColor="text1"/>
                <w:sz w:val="21"/>
                <w:szCs w:val="21"/>
              </w:rPr>
              <w:t>Risque d’augmentation des exploitations et des abus sexuels, y compris chez les moins de 18 ans dans les zone d’intervention ;</w:t>
            </w:r>
          </w:p>
          <w:p w:rsidR="00CB1D1C" w:rsidRPr="004A3B1A" w:rsidRDefault="00CB1D1C" w:rsidP="00A76F4A">
            <w:pPr>
              <w:pStyle w:val="PargrafodaLista"/>
              <w:numPr>
                <w:ilvl w:val="0"/>
                <w:numId w:val="60"/>
              </w:numPr>
              <w:spacing w:after="0" w:line="240" w:lineRule="auto"/>
              <w:ind w:left="151" w:right="12" w:hanging="142"/>
              <w:jc w:val="both"/>
              <w:rPr>
                <w:rFonts w:ascii="Times New Roman" w:hAnsi="Times New Roman"/>
                <w:color w:val="000000" w:themeColor="text1"/>
                <w:sz w:val="21"/>
                <w:szCs w:val="21"/>
              </w:rPr>
            </w:pPr>
            <w:r w:rsidRPr="004A3B1A">
              <w:rPr>
                <w:rFonts w:ascii="Times New Roman" w:hAnsi="Times New Roman"/>
                <w:color w:val="000000" w:themeColor="text1"/>
                <w:sz w:val="21"/>
                <w:szCs w:val="21"/>
              </w:rPr>
              <w:t>Risque d’augmentation de VBG et en particulier d'EAS ;</w:t>
            </w:r>
            <w:r w:rsidRPr="004A3B1A">
              <w:rPr>
                <w:rFonts w:ascii="Times New Roman" w:hAnsi="Times New Roman"/>
                <w:sz w:val="21"/>
                <w:szCs w:val="21"/>
              </w:rPr>
              <w:t xml:space="preserve"> </w:t>
            </w:r>
          </w:p>
          <w:p w:rsidR="00CB1D1C" w:rsidRPr="00345951" w:rsidRDefault="00CB1D1C" w:rsidP="00A76F4A">
            <w:pPr>
              <w:pStyle w:val="PargrafodaLista"/>
              <w:numPr>
                <w:ilvl w:val="0"/>
                <w:numId w:val="60"/>
              </w:numPr>
              <w:spacing w:line="240" w:lineRule="auto"/>
              <w:ind w:left="151" w:right="12" w:hanging="142"/>
              <w:jc w:val="both"/>
              <w:rPr>
                <w:color w:val="000000" w:themeColor="text1"/>
                <w:sz w:val="21"/>
                <w:szCs w:val="21"/>
                <w:lang w:val="fr-CA"/>
              </w:rPr>
            </w:pPr>
            <w:r w:rsidRPr="004A3B1A">
              <w:rPr>
                <w:rFonts w:ascii="Times New Roman" w:hAnsi="Times New Roman"/>
                <w:sz w:val="21"/>
                <w:szCs w:val="21"/>
              </w:rPr>
              <w:t>Risque au niveau de la santé et de la sécurité des communautés ;</w:t>
            </w:r>
          </w:p>
          <w:p w:rsidR="002B1101" w:rsidRPr="00345951" w:rsidRDefault="002B1101" w:rsidP="00A76F4A">
            <w:pPr>
              <w:pStyle w:val="PargrafodaLista"/>
              <w:numPr>
                <w:ilvl w:val="0"/>
                <w:numId w:val="60"/>
              </w:numPr>
              <w:spacing w:line="240" w:lineRule="auto"/>
              <w:ind w:left="151" w:right="12" w:hanging="142"/>
              <w:jc w:val="both"/>
              <w:rPr>
                <w:color w:val="000000" w:themeColor="text1"/>
                <w:sz w:val="21"/>
                <w:szCs w:val="21"/>
                <w:lang w:val="fr-CA"/>
              </w:rPr>
            </w:pPr>
            <w:r>
              <w:rPr>
                <w:rFonts w:ascii="Times New Roman" w:hAnsi="Times New Roman"/>
                <w:color w:val="000000" w:themeColor="text1"/>
                <w:sz w:val="21"/>
                <w:szCs w:val="21"/>
                <w:lang w:val="fr-CA"/>
              </w:rPr>
              <w:t>R</w:t>
            </w:r>
            <w:r w:rsidRPr="00C65144">
              <w:rPr>
                <w:rFonts w:ascii="Times New Roman" w:hAnsi="Times New Roman"/>
                <w:color w:val="000000" w:themeColor="text1"/>
                <w:sz w:val="21"/>
                <w:szCs w:val="21"/>
              </w:rPr>
              <w:t xml:space="preserve">isque de découvertes fortuites du patrimoine </w:t>
            </w:r>
            <w:r w:rsidRPr="005857A6">
              <w:rPr>
                <w:rFonts w:ascii="Times New Roman" w:hAnsi="Times New Roman"/>
                <w:color w:val="000000" w:themeColor="text1"/>
                <w:sz w:val="21"/>
                <w:szCs w:val="21"/>
              </w:rPr>
              <w:t>archéologique</w:t>
            </w:r>
            <w:r w:rsidRPr="00C65144">
              <w:rPr>
                <w:rFonts w:ascii="Times New Roman" w:hAnsi="Times New Roman"/>
                <w:color w:val="000000" w:themeColor="text1"/>
                <w:sz w:val="21"/>
                <w:szCs w:val="21"/>
              </w:rPr>
              <w:t xml:space="preserve"> lors des travaux de construction</w:t>
            </w:r>
          </w:p>
        </w:tc>
      </w:tr>
      <w:tr w:rsidR="005857A6" w:rsidRPr="00843722" w:rsidTr="00D656EF">
        <w:trPr>
          <w:trHeight w:val="326"/>
          <w:tblHeader/>
        </w:trPr>
        <w:tc>
          <w:tcPr>
            <w:tcW w:w="1631" w:type="dxa"/>
            <w:shd w:val="clear" w:color="auto" w:fill="EDEDED" w:themeFill="accent3" w:themeFillTint="33"/>
            <w:vAlign w:val="center"/>
          </w:tcPr>
          <w:p w:rsidR="005857A6" w:rsidRPr="00843722" w:rsidRDefault="005857A6" w:rsidP="00A76F4A">
            <w:pPr>
              <w:ind w:right="12"/>
              <w:jc w:val="center"/>
              <w:rPr>
                <w:b/>
                <w:sz w:val="21"/>
                <w:szCs w:val="21"/>
              </w:rPr>
            </w:pPr>
            <w:r>
              <w:rPr>
                <w:b/>
                <w:sz w:val="21"/>
                <w:szCs w:val="21"/>
              </w:rPr>
              <w:t>O</w:t>
            </w:r>
            <w:r w:rsidRPr="00843722">
              <w:rPr>
                <w:b/>
                <w:sz w:val="21"/>
                <w:szCs w:val="21"/>
              </w:rPr>
              <w:t>uverture de routes d’accès aux zones de production agricole</w:t>
            </w:r>
          </w:p>
        </w:tc>
        <w:tc>
          <w:tcPr>
            <w:tcW w:w="8288" w:type="dxa"/>
            <w:tcBorders>
              <w:top w:val="single" w:sz="4" w:space="0" w:color="auto"/>
            </w:tcBorders>
            <w:shd w:val="clear" w:color="auto" w:fill="FFFFFF" w:themeFill="background1"/>
            <w:vAlign w:val="center"/>
          </w:tcPr>
          <w:p w:rsidR="005857A6" w:rsidRPr="00592B71" w:rsidRDefault="005857A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592B71">
              <w:rPr>
                <w:rFonts w:ascii="Times New Roman" w:hAnsi="Times New Roman"/>
                <w:color w:val="000000" w:themeColor="text1"/>
                <w:sz w:val="21"/>
                <w:szCs w:val="21"/>
                <w:lang w:val="fr-CA"/>
              </w:rPr>
              <w:t>Risque d’abattage des arbres lors de la réalisation des voies d’accès</w:t>
            </w:r>
          </w:p>
          <w:p w:rsidR="005857A6" w:rsidRPr="00592B71" w:rsidRDefault="005857A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592B71">
              <w:rPr>
                <w:rFonts w:ascii="Times New Roman" w:hAnsi="Times New Roman"/>
                <w:color w:val="000000" w:themeColor="text1"/>
                <w:sz w:val="21"/>
                <w:szCs w:val="21"/>
                <w:lang w:val="fr-CA"/>
              </w:rPr>
              <w:t xml:space="preserve">Risque de perturbation de l’équilibre fonctionnel des écosystèmes naturels </w:t>
            </w:r>
          </w:p>
          <w:p w:rsidR="005857A6" w:rsidRPr="00592B71" w:rsidRDefault="005857A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592B71">
              <w:rPr>
                <w:rFonts w:ascii="Times New Roman" w:hAnsi="Times New Roman"/>
                <w:color w:val="000000" w:themeColor="text1"/>
                <w:sz w:val="21"/>
                <w:szCs w:val="21"/>
                <w:lang w:val="fr-CA"/>
              </w:rPr>
              <w:t>Risque de détérioration irréversible des habitats et de la flore dans les zones d’emprunt</w:t>
            </w:r>
          </w:p>
          <w:p w:rsidR="008736DE" w:rsidRPr="00592B71" w:rsidRDefault="005857A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592B71">
              <w:rPr>
                <w:rFonts w:ascii="Times New Roman" w:hAnsi="Times New Roman"/>
                <w:color w:val="000000" w:themeColor="text1"/>
                <w:sz w:val="21"/>
                <w:szCs w:val="21"/>
                <w:lang w:val="fr-CA"/>
              </w:rPr>
              <w:t>Risques d’accidents pendant le déplacement des engins et au cours des travaux ;</w:t>
            </w:r>
          </w:p>
          <w:p w:rsidR="005857A6" w:rsidRPr="00592B71" w:rsidRDefault="005857A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592B71">
              <w:rPr>
                <w:rFonts w:ascii="Times New Roman" w:hAnsi="Times New Roman"/>
                <w:color w:val="000000" w:themeColor="text1"/>
                <w:sz w:val="21"/>
                <w:szCs w:val="21"/>
                <w:lang w:val="fr-CA"/>
              </w:rPr>
              <w:t>Risque de perturbation des activités économiques dans les zones de travaux</w:t>
            </w:r>
          </w:p>
          <w:p w:rsidR="005857A6" w:rsidRPr="00592B71" w:rsidRDefault="005857A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592B71">
              <w:rPr>
                <w:rFonts w:ascii="Times New Roman" w:hAnsi="Times New Roman"/>
                <w:color w:val="000000" w:themeColor="text1"/>
                <w:sz w:val="21"/>
                <w:szCs w:val="21"/>
                <w:lang w:val="fr-CA"/>
              </w:rPr>
              <w:t xml:space="preserve">Risque de </w:t>
            </w:r>
            <w:r w:rsidR="00955B8D" w:rsidRPr="00592B71">
              <w:rPr>
                <w:rFonts w:ascii="Times New Roman" w:hAnsi="Times New Roman"/>
                <w:color w:val="000000" w:themeColor="text1"/>
                <w:sz w:val="21"/>
                <w:szCs w:val="21"/>
                <w:lang w:val="fr-CA"/>
              </w:rPr>
              <w:t>conflits</w:t>
            </w:r>
            <w:r w:rsidRPr="00592B71">
              <w:rPr>
                <w:rFonts w:ascii="Times New Roman" w:hAnsi="Times New Roman"/>
                <w:color w:val="000000" w:themeColor="text1"/>
                <w:sz w:val="21"/>
                <w:szCs w:val="21"/>
                <w:lang w:val="fr-CA"/>
              </w:rPr>
              <w:t xml:space="preserve"> sociaux liés au recrutement de la main d’œuvre locale</w:t>
            </w:r>
          </w:p>
          <w:p w:rsidR="005857A6" w:rsidRPr="00592B71" w:rsidRDefault="005857A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592B71">
              <w:rPr>
                <w:rFonts w:ascii="Times New Roman" w:hAnsi="Times New Roman"/>
                <w:color w:val="000000" w:themeColor="text1"/>
                <w:sz w:val="21"/>
                <w:szCs w:val="21"/>
                <w:lang w:val="fr-CA"/>
              </w:rPr>
              <w:t xml:space="preserve">Risques d’accidents pour la faune, le cheptel et les hommes liés au passage des véhicules </w:t>
            </w:r>
          </w:p>
          <w:p w:rsidR="005857A6" w:rsidRPr="00345951" w:rsidRDefault="005857A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592B71">
              <w:rPr>
                <w:rFonts w:ascii="Times New Roman" w:hAnsi="Times New Roman"/>
                <w:color w:val="000000" w:themeColor="text1"/>
                <w:sz w:val="21"/>
                <w:szCs w:val="21"/>
                <w:lang w:val="fr-CA"/>
              </w:rPr>
              <w:t>Recrudescence des maladies respiratoires</w:t>
            </w:r>
          </w:p>
          <w:p w:rsidR="002B1101" w:rsidRDefault="002B1101"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d’altérer la qualité de la ressource due aux prélèvements dans les points d’eau avoisinants</w:t>
            </w:r>
          </w:p>
          <w:p w:rsidR="00E01DB2" w:rsidRDefault="00E01DB2"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 d’obstruction des couloirs de transhumance du bétail ou bien empiéter sur les espaces pastoraux ou bien empiéter sur espaces forestiers. </w:t>
            </w:r>
          </w:p>
          <w:p w:rsidR="0066398A" w:rsidRPr="00345951" w:rsidRDefault="0066398A"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592B71">
              <w:rPr>
                <w:rFonts w:ascii="Times New Roman" w:hAnsi="Times New Roman"/>
                <w:color w:val="000000" w:themeColor="text1"/>
                <w:sz w:val="21"/>
                <w:szCs w:val="21"/>
                <w:lang w:val="fr-CA"/>
              </w:rPr>
              <w:t>-Risque d’incendie ou de feu de brousse ;</w:t>
            </w:r>
          </w:p>
        </w:tc>
      </w:tr>
      <w:tr w:rsidR="00E77EA5" w:rsidRPr="00843722" w:rsidTr="00D656EF">
        <w:trPr>
          <w:trHeight w:val="2513"/>
          <w:tblHeader/>
        </w:trPr>
        <w:tc>
          <w:tcPr>
            <w:tcW w:w="1631" w:type="dxa"/>
            <w:shd w:val="clear" w:color="auto" w:fill="EDEDED" w:themeFill="accent3" w:themeFillTint="33"/>
            <w:vAlign w:val="center"/>
          </w:tcPr>
          <w:p w:rsidR="00E77EA5" w:rsidRPr="00843722" w:rsidRDefault="00063E9E" w:rsidP="00A76F4A">
            <w:pPr>
              <w:ind w:right="12"/>
              <w:jc w:val="center"/>
              <w:rPr>
                <w:rFonts w:eastAsia="Calibri"/>
                <w:b/>
                <w:bCs/>
                <w:color w:val="000000"/>
                <w:sz w:val="21"/>
                <w:szCs w:val="21"/>
              </w:rPr>
            </w:pPr>
            <w:r>
              <w:rPr>
                <w:b/>
                <w:sz w:val="21"/>
                <w:szCs w:val="21"/>
              </w:rPr>
              <w:lastRenderedPageBreak/>
              <w:t>L</w:t>
            </w:r>
            <w:r w:rsidR="002155D9" w:rsidRPr="00843722">
              <w:rPr>
                <w:b/>
                <w:sz w:val="21"/>
                <w:szCs w:val="21"/>
              </w:rPr>
              <w:t>a réhabilitat</w:t>
            </w:r>
            <w:r w:rsidR="005857A6">
              <w:rPr>
                <w:b/>
                <w:sz w:val="21"/>
                <w:szCs w:val="21"/>
              </w:rPr>
              <w:t>ion des structures de stockage,</w:t>
            </w:r>
            <w:r w:rsidR="002155D9" w:rsidRPr="00843722">
              <w:rPr>
                <w:b/>
                <w:sz w:val="21"/>
                <w:szCs w:val="21"/>
              </w:rPr>
              <w:t xml:space="preserve"> la construction de marchés locaux, etc.)</w:t>
            </w:r>
          </w:p>
        </w:tc>
        <w:tc>
          <w:tcPr>
            <w:tcW w:w="8288" w:type="dxa"/>
            <w:tcBorders>
              <w:top w:val="single" w:sz="4" w:space="0" w:color="auto"/>
            </w:tcBorders>
            <w:shd w:val="clear" w:color="auto" w:fill="FFFFFF" w:themeFill="background1"/>
            <w:vAlign w:val="center"/>
          </w:tcPr>
          <w:p w:rsidR="00E77EA5" w:rsidRPr="00843722" w:rsidRDefault="00E77EA5"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perturbation du système de drainage naturel des eaux</w:t>
            </w:r>
          </w:p>
          <w:p w:rsidR="00E77EA5" w:rsidRPr="00843722" w:rsidRDefault="00E77EA5"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conflits sociaux liés à des mouvements de revendication au sein de la communauté, si le choix des sites pour l’implantation des infrastructures n’est pas fait sur une base consensuelle ;</w:t>
            </w:r>
          </w:p>
          <w:p w:rsidR="00E77EA5" w:rsidRPr="00843722" w:rsidRDefault="00E77EA5"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perte de terres au niveau des secteurs concernés pour la réalisation des marchés et d</w:t>
            </w:r>
            <w:r w:rsidR="008D4CD7">
              <w:rPr>
                <w:rFonts w:ascii="Times New Roman" w:hAnsi="Times New Roman"/>
                <w:color w:val="000000" w:themeColor="text1"/>
                <w:sz w:val="21"/>
                <w:szCs w:val="21"/>
                <w:lang w:val="fr-CA"/>
              </w:rPr>
              <w:t>es structures de stockage</w:t>
            </w:r>
            <w:r w:rsidRPr="00843722">
              <w:rPr>
                <w:rFonts w:ascii="Times New Roman" w:hAnsi="Times New Roman"/>
                <w:color w:val="000000" w:themeColor="text1"/>
                <w:sz w:val="21"/>
                <w:szCs w:val="21"/>
                <w:lang w:val="fr-CA"/>
              </w:rPr>
              <w:t> ;</w:t>
            </w:r>
          </w:p>
          <w:p w:rsidR="00E77EA5" w:rsidRDefault="00E77EA5"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de gènes et de perturbations de la circulation des véhicules ;</w:t>
            </w:r>
          </w:p>
          <w:p w:rsidR="008D4CD7" w:rsidRDefault="00CA77F4"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Risque perturbation des activités économiques des zones concernées ;</w:t>
            </w:r>
          </w:p>
          <w:p w:rsidR="00CA77F4" w:rsidRDefault="00CA77F4"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 xml:space="preserve">Risque d’accident professionnelle au niveau des chantiers due à la </w:t>
            </w:r>
            <w:r w:rsidR="00A96465">
              <w:rPr>
                <w:rFonts w:ascii="Times New Roman" w:hAnsi="Times New Roman"/>
                <w:color w:val="000000" w:themeColor="text1"/>
                <w:sz w:val="21"/>
                <w:szCs w:val="21"/>
                <w:lang w:val="fr-CA"/>
              </w:rPr>
              <w:t>présence</w:t>
            </w:r>
            <w:r>
              <w:rPr>
                <w:rFonts w:ascii="Times New Roman" w:hAnsi="Times New Roman"/>
                <w:color w:val="000000" w:themeColor="text1"/>
                <w:sz w:val="21"/>
                <w:szCs w:val="21"/>
                <w:lang w:val="fr-CA"/>
              </w:rPr>
              <w:t xml:space="preserve"> des travailleurs et des engins</w:t>
            </w:r>
          </w:p>
          <w:p w:rsidR="00E01DB2" w:rsidRDefault="00A96465"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Risque d’incendie due aux installations électriques</w:t>
            </w:r>
            <w:r w:rsidR="00E01DB2">
              <w:rPr>
                <w:rFonts w:ascii="Times New Roman" w:hAnsi="Times New Roman"/>
                <w:color w:val="000000" w:themeColor="text1"/>
                <w:sz w:val="21"/>
                <w:szCs w:val="21"/>
                <w:lang w:val="fr-CA"/>
              </w:rPr>
              <w:t xml:space="preserve"> au niveau du chantier</w:t>
            </w:r>
          </w:p>
          <w:p w:rsidR="00E77EA5" w:rsidRPr="00DA4D95" w:rsidRDefault="00E01DB2" w:rsidP="00A76F4A">
            <w:pPr>
              <w:pStyle w:val="PargrafodaLista"/>
              <w:numPr>
                <w:ilvl w:val="0"/>
                <w:numId w:val="60"/>
              </w:numPr>
              <w:spacing w:line="240" w:lineRule="auto"/>
              <w:ind w:left="151" w:right="12" w:hanging="142"/>
              <w:jc w:val="both"/>
            </w:pPr>
            <w:r>
              <w:rPr>
                <w:rFonts w:ascii="Times New Roman" w:hAnsi="Times New Roman"/>
                <w:color w:val="000000" w:themeColor="text1"/>
                <w:sz w:val="21"/>
                <w:szCs w:val="21"/>
                <w:lang w:val="fr-CA"/>
              </w:rPr>
              <w:t>Risque de production en quantité des déchets de chantier due à la réhabilitation des structures stockages</w:t>
            </w:r>
          </w:p>
          <w:p w:rsidR="00DA4D95" w:rsidRPr="00374685" w:rsidRDefault="00DA4D95" w:rsidP="00DA4D95">
            <w:pPr>
              <w:pStyle w:val="PargrafodaLista"/>
              <w:spacing w:line="240" w:lineRule="auto"/>
              <w:ind w:left="151" w:right="12"/>
              <w:jc w:val="both"/>
            </w:pPr>
          </w:p>
        </w:tc>
      </w:tr>
      <w:tr w:rsidR="00B541C8" w:rsidRPr="00843722" w:rsidTr="00D656EF">
        <w:trPr>
          <w:trHeight w:val="340"/>
          <w:tblHeader/>
        </w:trPr>
        <w:tc>
          <w:tcPr>
            <w:tcW w:w="9919" w:type="dxa"/>
            <w:gridSpan w:val="2"/>
            <w:shd w:val="clear" w:color="auto" w:fill="FFF2CC" w:themeFill="accent4" w:themeFillTint="33"/>
            <w:vAlign w:val="center"/>
          </w:tcPr>
          <w:p w:rsidR="00B541C8" w:rsidRPr="00B541C8" w:rsidRDefault="00B541C8" w:rsidP="00A76F4A">
            <w:pPr>
              <w:ind w:right="12"/>
              <w:jc w:val="center"/>
              <w:rPr>
                <w:rFonts w:eastAsia="Calibri"/>
                <w:b/>
                <w:bCs/>
                <w:color w:val="000000"/>
                <w:sz w:val="28"/>
                <w:szCs w:val="28"/>
              </w:rPr>
            </w:pPr>
            <w:r w:rsidRPr="00B541C8">
              <w:rPr>
                <w:rFonts w:eastAsia="Calibri"/>
                <w:b/>
                <w:bCs/>
                <w:color w:val="000000"/>
                <w:sz w:val="28"/>
                <w:szCs w:val="28"/>
              </w:rPr>
              <w:t>En phase d’exploitation</w:t>
            </w:r>
          </w:p>
        </w:tc>
      </w:tr>
      <w:tr w:rsidR="00E77EA5" w:rsidRPr="00843722" w:rsidTr="00D656EF">
        <w:trPr>
          <w:trHeight w:val="1525"/>
        </w:trPr>
        <w:tc>
          <w:tcPr>
            <w:tcW w:w="1631" w:type="dxa"/>
            <w:shd w:val="clear" w:color="auto" w:fill="EDEDED" w:themeFill="accent3" w:themeFillTint="33"/>
            <w:vAlign w:val="center"/>
          </w:tcPr>
          <w:p w:rsidR="00E77EA5" w:rsidRPr="00843722" w:rsidRDefault="00E01DB2" w:rsidP="00A76F4A">
            <w:pPr>
              <w:ind w:right="12"/>
              <w:jc w:val="center"/>
              <w:rPr>
                <w:rFonts w:eastAsia="Calibri"/>
                <w:sz w:val="21"/>
                <w:szCs w:val="21"/>
              </w:rPr>
            </w:pPr>
            <w:r>
              <w:rPr>
                <w:b/>
                <w:sz w:val="21"/>
                <w:szCs w:val="21"/>
              </w:rPr>
              <w:t>L</w:t>
            </w:r>
            <w:r w:rsidRPr="00843722">
              <w:rPr>
                <w:b/>
                <w:sz w:val="21"/>
                <w:szCs w:val="21"/>
              </w:rPr>
              <w:t>a réhabilitat</w:t>
            </w:r>
            <w:r>
              <w:rPr>
                <w:b/>
                <w:sz w:val="21"/>
                <w:szCs w:val="21"/>
              </w:rPr>
              <w:t>ion des structures de stockage,</w:t>
            </w:r>
            <w:r w:rsidRPr="00843722">
              <w:rPr>
                <w:b/>
                <w:sz w:val="21"/>
                <w:szCs w:val="21"/>
              </w:rPr>
              <w:t xml:space="preserve"> la construction de marchés locaux, etc.)</w:t>
            </w:r>
          </w:p>
        </w:tc>
        <w:tc>
          <w:tcPr>
            <w:tcW w:w="8288" w:type="dxa"/>
            <w:vAlign w:val="center"/>
          </w:tcPr>
          <w:p w:rsidR="00201B0C" w:rsidRPr="00345951" w:rsidRDefault="00201B0C" w:rsidP="00A76F4A">
            <w:pPr>
              <w:pStyle w:val="PargrafodaLista"/>
              <w:numPr>
                <w:ilvl w:val="0"/>
                <w:numId w:val="60"/>
              </w:numPr>
              <w:spacing w:line="240" w:lineRule="auto"/>
              <w:ind w:left="151" w:right="12" w:hanging="142"/>
              <w:jc w:val="both"/>
              <w:rPr>
                <w:color w:val="000000" w:themeColor="text1"/>
                <w:sz w:val="21"/>
                <w:szCs w:val="21"/>
                <w:lang w:val="fr-CA"/>
              </w:rPr>
            </w:pPr>
            <w:r w:rsidRPr="00345951">
              <w:rPr>
                <w:rFonts w:ascii="Times New Roman" w:hAnsi="Times New Roman"/>
                <w:color w:val="000000" w:themeColor="text1"/>
                <w:sz w:val="21"/>
                <w:szCs w:val="21"/>
                <w:lang w:val="fr-CA"/>
              </w:rPr>
              <w:t xml:space="preserve">Risques de contaminants de la qualité́ de l’air intérieur </w:t>
            </w:r>
            <w:r w:rsidR="00B74C05" w:rsidRPr="00B74C05">
              <w:rPr>
                <w:rFonts w:ascii="Times New Roman" w:hAnsi="Times New Roman"/>
                <w:color w:val="000000" w:themeColor="text1"/>
                <w:sz w:val="21"/>
                <w:szCs w:val="21"/>
                <w:lang w:val="fr-CA"/>
              </w:rPr>
              <w:t>des infrastructure</w:t>
            </w:r>
            <w:r w:rsidR="00B74C05">
              <w:rPr>
                <w:rFonts w:ascii="Times New Roman" w:hAnsi="Times New Roman"/>
                <w:color w:val="000000" w:themeColor="text1"/>
                <w:sz w:val="21"/>
                <w:szCs w:val="21"/>
                <w:lang w:val="fr-CA"/>
              </w:rPr>
              <w:t>s</w:t>
            </w:r>
          </w:p>
          <w:p w:rsidR="00201B0C" w:rsidRDefault="00201B0C"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345951">
              <w:rPr>
                <w:rFonts w:ascii="Times New Roman" w:hAnsi="Times New Roman"/>
                <w:color w:val="000000" w:themeColor="text1"/>
                <w:sz w:val="21"/>
                <w:szCs w:val="21"/>
                <w:lang w:val="fr-CA"/>
              </w:rPr>
              <w:t>Risque d’infections respiratoires dont l’asthme, les allergies respiratoires, les maux de tête et les nausées</w:t>
            </w:r>
          </w:p>
          <w:p w:rsidR="00E77EA5" w:rsidRPr="00843722" w:rsidRDefault="00E77EA5"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d’émission de nuisance due à la présence des personnes au niveau des marchés locaux</w:t>
            </w:r>
            <w:r w:rsidR="00E01DB2">
              <w:rPr>
                <w:rFonts w:ascii="Times New Roman" w:hAnsi="Times New Roman"/>
                <w:color w:val="000000" w:themeColor="text1"/>
                <w:sz w:val="21"/>
                <w:szCs w:val="21"/>
                <w:lang w:val="fr-CA"/>
              </w:rPr>
              <w:t xml:space="preserve"> et des </w:t>
            </w:r>
            <w:r w:rsidR="00A57DCB">
              <w:rPr>
                <w:rFonts w:ascii="Times New Roman" w:hAnsi="Times New Roman"/>
                <w:color w:val="000000" w:themeColor="text1"/>
                <w:sz w:val="21"/>
                <w:szCs w:val="21"/>
                <w:lang w:val="fr-CA"/>
              </w:rPr>
              <w:t>structures stockages</w:t>
            </w:r>
            <w:r w:rsidRPr="00843722">
              <w:rPr>
                <w:rFonts w:ascii="Times New Roman" w:hAnsi="Times New Roman"/>
                <w:color w:val="000000" w:themeColor="text1"/>
                <w:sz w:val="21"/>
                <w:szCs w:val="21"/>
                <w:lang w:val="fr-CA"/>
              </w:rPr>
              <w:t xml:space="preserve"> </w:t>
            </w:r>
            <w:r w:rsidR="00E01DB2">
              <w:rPr>
                <w:rFonts w:ascii="Times New Roman" w:hAnsi="Times New Roman"/>
                <w:color w:val="000000" w:themeColor="text1"/>
                <w:sz w:val="21"/>
                <w:szCs w:val="21"/>
                <w:lang w:val="fr-CA"/>
              </w:rPr>
              <w:t>mais aussi,</w:t>
            </w:r>
            <w:r w:rsidRPr="00843722">
              <w:rPr>
                <w:rFonts w:ascii="Times New Roman" w:hAnsi="Times New Roman"/>
                <w:color w:val="000000" w:themeColor="text1"/>
                <w:sz w:val="21"/>
                <w:szCs w:val="21"/>
                <w:lang w:val="fr-CA"/>
              </w:rPr>
              <w:t xml:space="preserve"> la circulation des biens et personnes ;  </w:t>
            </w:r>
          </w:p>
          <w:p w:rsidR="00E77EA5" w:rsidRPr="00843722" w:rsidRDefault="00E77EA5"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Risque de génération des déchets au niveau des marchés </w:t>
            </w:r>
            <w:r w:rsidR="00E01DB2" w:rsidRPr="00843722">
              <w:rPr>
                <w:rFonts w:ascii="Times New Roman" w:hAnsi="Times New Roman"/>
                <w:color w:val="000000" w:themeColor="text1"/>
                <w:sz w:val="21"/>
                <w:szCs w:val="21"/>
                <w:lang w:val="fr-CA"/>
              </w:rPr>
              <w:t>locaux ;</w:t>
            </w:r>
          </w:p>
          <w:p w:rsidR="00E77EA5" w:rsidRPr="00843722" w:rsidRDefault="00E77EA5"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d’incendie au niveau des infrastructures de stockage et des marchés locaux ;</w:t>
            </w:r>
          </w:p>
          <w:p w:rsidR="00580E61" w:rsidRPr="00345951" w:rsidRDefault="00064C53"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345951">
              <w:rPr>
                <w:rFonts w:ascii="Times New Roman" w:hAnsi="Times New Roman"/>
                <w:color w:val="000000" w:themeColor="text1"/>
                <w:sz w:val="21"/>
                <w:szCs w:val="21"/>
                <w:lang w:val="fr-CA"/>
              </w:rPr>
              <w:t>Risque d’apparition de maladies animales transfrontalières ;</w:t>
            </w:r>
          </w:p>
          <w:p w:rsidR="00064C53" w:rsidRPr="00A57DCB" w:rsidRDefault="00580E61"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345951">
              <w:rPr>
                <w:rFonts w:ascii="Times New Roman" w:hAnsi="Times New Roman"/>
                <w:color w:val="000000" w:themeColor="text1"/>
                <w:sz w:val="21"/>
                <w:szCs w:val="21"/>
                <w:lang w:val="fr-CA"/>
              </w:rPr>
              <w:t xml:space="preserve">Risque d’exposition à des agents pathogènes contenus dans les déchets organiques et autres zoonoses </w:t>
            </w:r>
          </w:p>
        </w:tc>
      </w:tr>
      <w:tr w:rsidR="00E01DB2" w:rsidRPr="00843722" w:rsidTr="00D656EF">
        <w:trPr>
          <w:trHeight w:val="1985"/>
        </w:trPr>
        <w:tc>
          <w:tcPr>
            <w:tcW w:w="1631" w:type="dxa"/>
            <w:shd w:val="clear" w:color="auto" w:fill="EDEDED" w:themeFill="accent3" w:themeFillTint="33"/>
            <w:vAlign w:val="center"/>
          </w:tcPr>
          <w:p w:rsidR="00E01DB2" w:rsidRDefault="00E01DB2" w:rsidP="00A76F4A">
            <w:pPr>
              <w:ind w:right="12"/>
              <w:jc w:val="center"/>
              <w:rPr>
                <w:b/>
                <w:sz w:val="21"/>
                <w:szCs w:val="21"/>
              </w:rPr>
            </w:pPr>
            <w:r>
              <w:rPr>
                <w:b/>
                <w:sz w:val="21"/>
                <w:szCs w:val="21"/>
              </w:rPr>
              <w:t>O</w:t>
            </w:r>
            <w:r w:rsidRPr="00843722">
              <w:rPr>
                <w:b/>
                <w:sz w:val="21"/>
                <w:szCs w:val="21"/>
              </w:rPr>
              <w:t>uverture de routes d’accès aux zones de production agricole</w:t>
            </w:r>
          </w:p>
        </w:tc>
        <w:tc>
          <w:tcPr>
            <w:tcW w:w="8288" w:type="dxa"/>
            <w:vAlign w:val="center"/>
          </w:tcPr>
          <w:p w:rsidR="000E1D86" w:rsidRDefault="00CA190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 xml:space="preserve">Risque d’accident de circulation entre les piétons et </w:t>
            </w:r>
            <w:r w:rsidR="00C14882">
              <w:rPr>
                <w:rFonts w:ascii="Times New Roman" w:hAnsi="Times New Roman"/>
                <w:color w:val="000000" w:themeColor="text1"/>
                <w:sz w:val="21"/>
                <w:szCs w:val="21"/>
                <w:lang w:val="fr-CA"/>
              </w:rPr>
              <w:t>automobilistes</w:t>
            </w:r>
            <w:r>
              <w:rPr>
                <w:rFonts w:ascii="Times New Roman" w:hAnsi="Times New Roman"/>
                <w:color w:val="000000" w:themeColor="text1"/>
                <w:sz w:val="21"/>
                <w:szCs w:val="21"/>
                <w:lang w:val="fr-CA"/>
              </w:rPr>
              <w:t xml:space="preserve"> ou entre les </w:t>
            </w:r>
            <w:r w:rsidR="00C14882">
              <w:rPr>
                <w:rFonts w:ascii="Times New Roman" w:hAnsi="Times New Roman"/>
                <w:color w:val="000000" w:themeColor="text1"/>
                <w:sz w:val="21"/>
                <w:szCs w:val="21"/>
                <w:lang w:val="fr-CA"/>
              </w:rPr>
              <w:t>automobilistes</w:t>
            </w:r>
            <w:r>
              <w:rPr>
                <w:rFonts w:ascii="Times New Roman" w:hAnsi="Times New Roman"/>
                <w:color w:val="000000" w:themeColor="text1"/>
                <w:sz w:val="21"/>
                <w:szCs w:val="21"/>
                <w:lang w:val="fr-CA"/>
              </w:rPr>
              <w:t xml:space="preserve"> et les motos </w:t>
            </w:r>
            <w:r w:rsidR="00A57DCB">
              <w:rPr>
                <w:rFonts w:ascii="Times New Roman" w:hAnsi="Times New Roman"/>
                <w:color w:val="000000" w:themeColor="text1"/>
                <w:sz w:val="21"/>
                <w:szCs w:val="21"/>
                <w:lang w:val="fr-CA"/>
              </w:rPr>
              <w:t xml:space="preserve">taxis </w:t>
            </w:r>
          </w:p>
          <w:p w:rsidR="00E01DB2" w:rsidRPr="00843722" w:rsidRDefault="00E01DB2"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d’accidents au niveau des cheptels et les hommes liés au passage des véhicules ;</w:t>
            </w:r>
          </w:p>
          <w:p w:rsidR="00E01DB2" w:rsidRPr="00843722" w:rsidRDefault="00E01DB2"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Risques d’inondation due aux manques ouvrages de traverser des eaux pluviales au niveau des pistes ;</w:t>
            </w:r>
          </w:p>
          <w:p w:rsidR="00E01DB2" w:rsidRPr="00843722" w:rsidRDefault="00E01DB2"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Recrudescence des maladies respiratoires liés au passage des </w:t>
            </w:r>
            <w:r w:rsidR="00B74C05" w:rsidRPr="00843722">
              <w:rPr>
                <w:rFonts w:ascii="Times New Roman" w:hAnsi="Times New Roman"/>
                <w:color w:val="000000" w:themeColor="text1"/>
                <w:sz w:val="21"/>
                <w:szCs w:val="21"/>
                <w:lang w:val="fr-CA"/>
              </w:rPr>
              <w:t>véhicules ;</w:t>
            </w:r>
          </w:p>
          <w:p w:rsidR="00C93DAB" w:rsidRDefault="00C93DAB"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345951">
              <w:rPr>
                <w:rFonts w:ascii="Times New Roman" w:hAnsi="Times New Roman"/>
                <w:color w:val="000000" w:themeColor="text1"/>
                <w:sz w:val="21"/>
                <w:szCs w:val="21"/>
                <w:lang w:val="fr-CA"/>
              </w:rPr>
              <w:t>Risque d’augmentation de la pression sur les parcours naturels (surpâturage) ;</w:t>
            </w:r>
          </w:p>
          <w:p w:rsidR="00CA1906" w:rsidRPr="00345951" w:rsidRDefault="00CA1906"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 xml:space="preserve">Risque de perturbation de la </w:t>
            </w:r>
            <w:r w:rsidR="00C14882">
              <w:rPr>
                <w:rFonts w:ascii="Times New Roman" w:hAnsi="Times New Roman"/>
                <w:color w:val="000000" w:themeColor="text1"/>
                <w:sz w:val="21"/>
                <w:szCs w:val="21"/>
                <w:lang w:val="fr-CA"/>
              </w:rPr>
              <w:t>tranquillité de la population due à l’augmentation du trafic</w:t>
            </w:r>
          </w:p>
          <w:p w:rsidR="00E01DB2" w:rsidRPr="00843722" w:rsidRDefault="00AF5072"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Pr>
                <w:rFonts w:ascii="Times New Roman" w:hAnsi="Times New Roman"/>
                <w:color w:val="000000" w:themeColor="text1"/>
                <w:sz w:val="21"/>
                <w:szCs w:val="21"/>
                <w:lang w:val="fr-CA"/>
              </w:rPr>
              <w:t xml:space="preserve">Risque de dégradation rapide des routes d’accès si les charges à l’essieu </w:t>
            </w:r>
            <w:r w:rsidR="00592B71">
              <w:rPr>
                <w:rFonts w:ascii="Times New Roman" w:hAnsi="Times New Roman"/>
                <w:color w:val="000000" w:themeColor="text1"/>
                <w:sz w:val="21"/>
                <w:szCs w:val="21"/>
                <w:lang w:val="fr-CA"/>
              </w:rPr>
              <w:t>n’auront</w:t>
            </w:r>
            <w:r>
              <w:rPr>
                <w:rFonts w:ascii="Times New Roman" w:hAnsi="Times New Roman"/>
                <w:color w:val="000000" w:themeColor="text1"/>
                <w:sz w:val="21"/>
                <w:szCs w:val="21"/>
                <w:lang w:val="fr-CA"/>
              </w:rPr>
              <w:t xml:space="preserve"> pas respecté pas les camionneurs</w:t>
            </w:r>
          </w:p>
        </w:tc>
      </w:tr>
      <w:tr w:rsidR="00E01DB2" w:rsidRPr="00843722" w:rsidTr="00D656EF">
        <w:trPr>
          <w:trHeight w:val="1623"/>
        </w:trPr>
        <w:tc>
          <w:tcPr>
            <w:tcW w:w="1631" w:type="dxa"/>
            <w:shd w:val="clear" w:color="auto" w:fill="EDEDED" w:themeFill="accent3" w:themeFillTint="33"/>
            <w:vAlign w:val="center"/>
          </w:tcPr>
          <w:p w:rsidR="00AF5072" w:rsidRDefault="00AF5072" w:rsidP="00A76F4A">
            <w:pPr>
              <w:ind w:right="12"/>
              <w:jc w:val="center"/>
              <w:rPr>
                <w:b/>
                <w:sz w:val="21"/>
                <w:szCs w:val="21"/>
              </w:rPr>
            </w:pPr>
            <w:r w:rsidRPr="00843722">
              <w:rPr>
                <w:b/>
                <w:sz w:val="21"/>
                <w:szCs w:val="21"/>
              </w:rPr>
              <w:t>Soutien aux Filets de Sécurité communautaires</w:t>
            </w:r>
          </w:p>
          <w:p w:rsidR="00E01DB2" w:rsidRPr="00345951" w:rsidRDefault="00AF5072" w:rsidP="00A76F4A">
            <w:pPr>
              <w:ind w:right="12"/>
              <w:jc w:val="center"/>
              <w:rPr>
                <w:b/>
                <w:sz w:val="21"/>
                <w:szCs w:val="21"/>
                <w:lang w:val="fr-CA"/>
              </w:rPr>
            </w:pPr>
            <w:r>
              <w:rPr>
                <w:b/>
                <w:sz w:val="21"/>
                <w:szCs w:val="21"/>
              </w:rPr>
              <w:t xml:space="preserve"> </w:t>
            </w:r>
            <w:r w:rsidR="00F52100">
              <w:rPr>
                <w:b/>
                <w:sz w:val="21"/>
                <w:szCs w:val="21"/>
              </w:rPr>
              <w:t>(</w:t>
            </w:r>
            <w:r w:rsidR="00F52100">
              <w:rPr>
                <w:b/>
              </w:rPr>
              <w:t>Communs</w:t>
            </w:r>
            <w:r w:rsidRPr="005857A6">
              <w:rPr>
                <w:b/>
              </w:rPr>
              <w:t xml:space="preserve"> aux différents travaux</w:t>
            </w:r>
            <w:r>
              <w:rPr>
                <w:b/>
              </w:rPr>
              <w:t>)</w:t>
            </w:r>
          </w:p>
        </w:tc>
        <w:tc>
          <w:tcPr>
            <w:tcW w:w="8288" w:type="dxa"/>
            <w:vAlign w:val="center"/>
          </w:tcPr>
          <w:p w:rsidR="00E01DB2" w:rsidRPr="00843722" w:rsidRDefault="00E01DB2"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 xml:space="preserve">Recrudescence des maladies respiratoires liés au passage des </w:t>
            </w:r>
            <w:r w:rsidR="000E1D86" w:rsidRPr="00843722">
              <w:rPr>
                <w:rFonts w:ascii="Times New Roman" w:hAnsi="Times New Roman"/>
                <w:color w:val="000000" w:themeColor="text1"/>
                <w:sz w:val="21"/>
                <w:szCs w:val="21"/>
                <w:lang w:val="fr-CA"/>
              </w:rPr>
              <w:t>véhicules ;</w:t>
            </w:r>
          </w:p>
          <w:p w:rsidR="00E01DB2" w:rsidRPr="00843722" w:rsidRDefault="00E01DB2"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pollution des eaux de surface due aux productions de déchets solides et liquides ;</w:t>
            </w:r>
          </w:p>
          <w:p w:rsidR="00106110" w:rsidRDefault="00106110"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rPr>
            </w:pPr>
            <w:r w:rsidRPr="00843722">
              <w:rPr>
                <w:rFonts w:ascii="Times New Roman" w:hAnsi="Times New Roman"/>
                <w:color w:val="000000" w:themeColor="text1"/>
                <w:sz w:val="21"/>
                <w:szCs w:val="21"/>
              </w:rPr>
              <w:t>Risque la violence basée sur le Genre, abus et exploitation sexuelle</w:t>
            </w:r>
          </w:p>
          <w:p w:rsidR="00AF5072" w:rsidRPr="009B4CEA" w:rsidRDefault="00AF5072"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d’expansion du SIDA et des maladies sexuellement transmissibles ;</w:t>
            </w:r>
          </w:p>
          <w:p w:rsidR="00AF5072" w:rsidRPr="00345951" w:rsidRDefault="00AF5072" w:rsidP="00A76F4A">
            <w:pPr>
              <w:pStyle w:val="PargrafodaLista"/>
              <w:numPr>
                <w:ilvl w:val="0"/>
                <w:numId w:val="60"/>
              </w:numPr>
              <w:spacing w:line="240" w:lineRule="auto"/>
              <w:ind w:left="151" w:right="12" w:hanging="142"/>
              <w:jc w:val="both"/>
              <w:rPr>
                <w:rFonts w:ascii="Times New Roman" w:hAnsi="Times New Roman"/>
                <w:color w:val="000000" w:themeColor="text1"/>
                <w:sz w:val="21"/>
                <w:szCs w:val="21"/>
                <w:lang w:val="fr-CA"/>
              </w:rPr>
            </w:pPr>
            <w:r w:rsidRPr="00843722">
              <w:rPr>
                <w:rFonts w:ascii="Times New Roman" w:hAnsi="Times New Roman"/>
                <w:color w:val="000000" w:themeColor="text1"/>
                <w:sz w:val="21"/>
                <w:szCs w:val="21"/>
                <w:lang w:val="fr-CA"/>
              </w:rPr>
              <w:t>Risque de propagation de la COVID 19 ;</w:t>
            </w:r>
          </w:p>
          <w:p w:rsidR="00E01DB2" w:rsidRPr="00345951" w:rsidRDefault="00E01DB2" w:rsidP="00A76F4A">
            <w:pPr>
              <w:ind w:right="12"/>
              <w:jc w:val="both"/>
              <w:rPr>
                <w:color w:val="000000" w:themeColor="text1"/>
                <w:sz w:val="21"/>
                <w:szCs w:val="21"/>
                <w:lang w:val="fr-CA"/>
              </w:rPr>
            </w:pPr>
          </w:p>
        </w:tc>
      </w:tr>
    </w:tbl>
    <w:p w:rsidR="00B541C8" w:rsidRPr="00B541C8" w:rsidRDefault="00B541C8" w:rsidP="00A76F4A">
      <w:pPr>
        <w:ind w:right="12"/>
      </w:pPr>
      <w:bookmarkStart w:id="306" w:name="_Toc55460157"/>
      <w:bookmarkStart w:id="307" w:name="_Toc55465550"/>
    </w:p>
    <w:p w:rsidR="00242A77" w:rsidRPr="00A05698" w:rsidRDefault="00242A77" w:rsidP="00A76F4A">
      <w:pPr>
        <w:pStyle w:val="PargrafodaLista"/>
        <w:numPr>
          <w:ilvl w:val="1"/>
          <w:numId w:val="282"/>
        </w:numPr>
        <w:spacing w:after="120" w:line="240" w:lineRule="auto"/>
        <w:ind w:right="12"/>
        <w:outlineLvl w:val="1"/>
        <w:rPr>
          <w:rFonts w:ascii="Times New Roman" w:hAnsi="Times New Roman"/>
          <w:b/>
          <w:bCs/>
          <w:sz w:val="24"/>
          <w:szCs w:val="24"/>
        </w:rPr>
      </w:pPr>
      <w:bookmarkStart w:id="308" w:name="_Toc75432304"/>
      <w:r w:rsidRPr="00A05698">
        <w:rPr>
          <w:rFonts w:ascii="Times New Roman" w:hAnsi="Times New Roman"/>
          <w:b/>
          <w:bCs/>
          <w:sz w:val="24"/>
          <w:szCs w:val="24"/>
        </w:rPr>
        <w:t>Atténuation et/ou évitement des impacts négatifs du projet</w:t>
      </w:r>
      <w:bookmarkEnd w:id="306"/>
      <w:bookmarkEnd w:id="307"/>
      <w:bookmarkEnd w:id="308"/>
    </w:p>
    <w:p w:rsidR="00242A77" w:rsidRPr="00A05698" w:rsidRDefault="00EF2F13" w:rsidP="00A76F4A">
      <w:pPr>
        <w:ind w:right="12"/>
        <w:jc w:val="both"/>
      </w:pPr>
      <w:r w:rsidRPr="00A05698">
        <w:t xml:space="preserve">Pour procéder à </w:t>
      </w:r>
      <w:r w:rsidR="00242A77" w:rsidRPr="00A05698">
        <w:t xml:space="preserve">une bonne gestion des impacts négatifs du projet </w:t>
      </w:r>
      <w:r w:rsidR="00E408CB" w:rsidRPr="00A05698">
        <w:t xml:space="preserve">d’urgence de </w:t>
      </w:r>
      <w:r w:rsidR="008B0C0B" w:rsidRPr="00A05698">
        <w:t>la sécurité alim</w:t>
      </w:r>
      <w:r w:rsidR="00242A77" w:rsidRPr="00A05698">
        <w:t>en</w:t>
      </w:r>
      <w:r w:rsidR="008B0C0B" w:rsidRPr="00A05698">
        <w:t xml:space="preserve">taire </w:t>
      </w:r>
      <w:r w:rsidR="001D477B" w:rsidRPr="00A05698">
        <w:t xml:space="preserve">dans toute les phases </w:t>
      </w:r>
      <w:r w:rsidR="00DD1CDA" w:rsidRPr="00A05698">
        <w:t>d’</w:t>
      </w:r>
      <w:r w:rsidR="009D28BD" w:rsidRPr="00A05698">
        <w:t>exécution</w:t>
      </w:r>
      <w:r w:rsidR="002D6354" w:rsidRPr="00A05698">
        <w:t>s</w:t>
      </w:r>
      <w:r w:rsidR="009D28BD" w:rsidRPr="00A05698">
        <w:t xml:space="preserve"> et d’exploitation </w:t>
      </w:r>
      <w:r w:rsidR="00242A77" w:rsidRPr="00A05698">
        <w:t>des</w:t>
      </w:r>
      <w:r w:rsidR="002D6354" w:rsidRPr="00A05698">
        <w:t xml:space="preserve"> </w:t>
      </w:r>
      <w:r w:rsidR="0036057A" w:rsidRPr="00A05698">
        <w:t>activités</w:t>
      </w:r>
      <w:r w:rsidR="002D6354" w:rsidRPr="00A05698">
        <w:t xml:space="preserve"> </w:t>
      </w:r>
      <w:r w:rsidR="00AA4B8A" w:rsidRPr="00A05698">
        <w:t xml:space="preserve">prévues </w:t>
      </w:r>
      <w:r w:rsidR="000458A8" w:rsidRPr="00A05698">
        <w:t xml:space="preserve">dans chacune des </w:t>
      </w:r>
      <w:r w:rsidR="0036057A" w:rsidRPr="00A05698">
        <w:t>composantes</w:t>
      </w:r>
      <w:r w:rsidR="00242A77" w:rsidRPr="00A05698">
        <w:t>, les mesures suivantes sont prévues :</w:t>
      </w:r>
    </w:p>
    <w:p w:rsidR="0070386B" w:rsidRPr="000C372B" w:rsidRDefault="0036057A" w:rsidP="00A76F4A">
      <w:pPr>
        <w:pStyle w:val="Cabealho6"/>
        <w:numPr>
          <w:ilvl w:val="5"/>
          <w:numId w:val="281"/>
        </w:numPr>
        <w:spacing w:line="240" w:lineRule="auto"/>
        <w:ind w:right="12"/>
        <w:jc w:val="both"/>
        <w:rPr>
          <w:rFonts w:ascii="Times New Roman" w:hAnsi="Times New Roman"/>
          <w:b/>
          <w:i w:val="0"/>
          <w:iCs w:val="0"/>
          <w:sz w:val="24"/>
          <w:szCs w:val="24"/>
        </w:rPr>
      </w:pPr>
      <w:r w:rsidRPr="000C372B">
        <w:rPr>
          <w:rFonts w:ascii="Times New Roman" w:hAnsi="Times New Roman"/>
          <w:b/>
          <w:i w:val="0"/>
          <w:iCs w:val="0"/>
          <w:color w:val="auto"/>
          <w:sz w:val="24"/>
          <w:szCs w:val="24"/>
        </w:rPr>
        <w:t>Soutien à la production agricole</w:t>
      </w:r>
      <w:r w:rsidR="000C372B" w:rsidRPr="000C372B">
        <w:rPr>
          <w:rFonts w:ascii="Times New Roman" w:hAnsi="Times New Roman"/>
          <w:b/>
          <w:i w:val="0"/>
          <w:iCs w:val="0"/>
          <w:color w:val="auto"/>
          <w:sz w:val="24"/>
          <w:szCs w:val="24"/>
        </w:rPr>
        <w:t xml:space="preserve"> et à la réhabilitation des rizières</w:t>
      </w:r>
    </w:p>
    <w:p w:rsidR="0070386B" w:rsidRDefault="00111B0E" w:rsidP="00A76F4A">
      <w:pPr>
        <w:ind w:right="12"/>
        <w:jc w:val="both"/>
      </w:pPr>
      <w:r w:rsidRPr="00A05698">
        <w:t>Pour atteindre les ob</w:t>
      </w:r>
      <w:r w:rsidR="00003562" w:rsidRPr="00A05698">
        <w:t xml:space="preserve">jectifs de la composante 1, </w:t>
      </w:r>
      <w:r w:rsidR="008240D5" w:rsidRPr="00A05698">
        <w:t>ces mesures</w:t>
      </w:r>
      <w:r w:rsidR="00E15683" w:rsidRPr="00A05698">
        <w:t xml:space="preserve"> ci-dessous ont été </w:t>
      </w:r>
      <w:r w:rsidR="005E67DC" w:rsidRPr="00A05698">
        <w:t>proposées</w:t>
      </w:r>
      <w:r w:rsidR="008240D5" w:rsidRPr="00A05698">
        <w:t xml:space="preserve"> pour </w:t>
      </w:r>
      <w:r w:rsidR="003F2213" w:rsidRPr="00A05698">
        <w:t>atténuer</w:t>
      </w:r>
      <w:r w:rsidR="008240D5" w:rsidRPr="00A05698">
        <w:t xml:space="preserve"> </w:t>
      </w:r>
      <w:r w:rsidR="004657F5" w:rsidRPr="00A05698">
        <w:t>les différents impacts</w:t>
      </w:r>
      <w:r w:rsidR="005C1162" w:rsidRPr="00A05698">
        <w:t xml:space="preserve"> lister ci-dess</w:t>
      </w:r>
      <w:r w:rsidR="0097333C">
        <w:t>o</w:t>
      </w:r>
      <w:r w:rsidR="005C1162" w:rsidRPr="00A05698">
        <w:t>us</w:t>
      </w:r>
      <w:r w:rsidR="004657F5" w:rsidRPr="00A05698">
        <w:t> :</w:t>
      </w:r>
    </w:p>
    <w:p w:rsidR="00B541C8" w:rsidRPr="00A05698" w:rsidRDefault="00B541C8" w:rsidP="00A76F4A">
      <w:pPr>
        <w:ind w:left="-284" w:right="12"/>
        <w:jc w:val="both"/>
      </w:pPr>
    </w:p>
    <w:tbl>
      <w:tblPr>
        <w:tblStyle w:val="TableauGrille1Clair-Accentuation61"/>
        <w:tblW w:w="10485" w:type="dxa"/>
        <w:jc w:val="center"/>
        <w:tblLayout w:type="fixed"/>
        <w:tblLook w:val="04A0" w:firstRow="1" w:lastRow="0" w:firstColumn="1" w:lastColumn="0" w:noHBand="0" w:noVBand="1"/>
      </w:tblPr>
      <w:tblGrid>
        <w:gridCol w:w="1555"/>
        <w:gridCol w:w="3827"/>
        <w:gridCol w:w="5103"/>
      </w:tblGrid>
      <w:tr w:rsidR="00773C01" w:rsidRPr="00DD5FB8" w:rsidTr="00DD5FB8">
        <w:trPr>
          <w:cnfStyle w:val="100000000000" w:firstRow="1" w:lastRow="0" w:firstColumn="0" w:lastColumn="0" w:oddVBand="0" w:evenVBand="0" w:oddHBand="0" w:evenHBand="0" w:firstRowFirstColumn="0" w:firstRowLastColumn="0" w:lastRowFirstColumn="0" w:lastRowLastColumn="0"/>
          <w:trHeight w:val="124"/>
          <w:tblHeade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2EFD9" w:themeFill="accent6" w:themeFillTint="33"/>
            <w:vAlign w:val="center"/>
          </w:tcPr>
          <w:p w:rsidR="00773C01" w:rsidRPr="00DD5FB8" w:rsidRDefault="00773C01" w:rsidP="00A76F4A">
            <w:pPr>
              <w:autoSpaceDE w:val="0"/>
              <w:autoSpaceDN w:val="0"/>
              <w:adjustRightInd w:val="0"/>
              <w:ind w:right="12"/>
              <w:jc w:val="center"/>
              <w:rPr>
                <w:color w:val="000000" w:themeColor="text1"/>
              </w:rPr>
            </w:pPr>
            <w:r w:rsidRPr="00DD5FB8">
              <w:rPr>
                <w:color w:val="000000" w:themeColor="text1"/>
              </w:rPr>
              <w:t>Activités</w:t>
            </w:r>
          </w:p>
        </w:tc>
        <w:tc>
          <w:tcPr>
            <w:tcW w:w="3827" w:type="dxa"/>
            <w:shd w:val="clear" w:color="auto" w:fill="E2EFD9" w:themeFill="accent6" w:themeFillTint="33"/>
            <w:vAlign w:val="center"/>
          </w:tcPr>
          <w:p w:rsidR="00773C01" w:rsidRPr="00DD5FB8" w:rsidRDefault="00773C01" w:rsidP="00A76F4A">
            <w:pPr>
              <w:autoSpaceDE w:val="0"/>
              <w:autoSpaceDN w:val="0"/>
              <w:adjustRightInd w:val="0"/>
              <w:ind w:right="12"/>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D5FB8">
              <w:rPr>
                <w:color w:val="000000" w:themeColor="text1"/>
              </w:rPr>
              <w:t xml:space="preserve">Impacts négatifs potentiels </w:t>
            </w:r>
          </w:p>
        </w:tc>
        <w:tc>
          <w:tcPr>
            <w:tcW w:w="5103" w:type="dxa"/>
            <w:shd w:val="clear" w:color="auto" w:fill="E2EFD9" w:themeFill="accent6" w:themeFillTint="33"/>
            <w:vAlign w:val="center"/>
          </w:tcPr>
          <w:p w:rsidR="00773C01" w:rsidRPr="00DD5FB8" w:rsidRDefault="00106911" w:rsidP="00A76F4A">
            <w:pPr>
              <w:autoSpaceDE w:val="0"/>
              <w:autoSpaceDN w:val="0"/>
              <w:adjustRightInd w:val="0"/>
              <w:ind w:right="12"/>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D5FB8">
              <w:rPr>
                <w:color w:val="000000" w:themeColor="text1"/>
              </w:rPr>
              <w:t>Atténuation et/ou évitement</w:t>
            </w:r>
          </w:p>
        </w:tc>
      </w:tr>
      <w:tr w:rsidR="00DA7577" w:rsidRPr="00DD5FB8" w:rsidTr="00DD5FB8">
        <w:trPr>
          <w:trHeight w:val="53"/>
          <w:jc w:val="center"/>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E2EFD9" w:themeFill="accent6" w:themeFillTint="33"/>
            <w:vAlign w:val="center"/>
          </w:tcPr>
          <w:p w:rsidR="004E0DC2" w:rsidRPr="00DD5FB8" w:rsidRDefault="004E0DC2" w:rsidP="00A76F4A">
            <w:pPr>
              <w:pStyle w:val="Cabealho6"/>
              <w:numPr>
                <w:ilvl w:val="0"/>
                <w:numId w:val="0"/>
              </w:numPr>
              <w:spacing w:line="240" w:lineRule="auto"/>
              <w:ind w:right="12"/>
              <w:jc w:val="both"/>
              <w:outlineLvl w:val="5"/>
              <w:rPr>
                <w:rFonts w:ascii="Times New Roman" w:hAnsi="Times New Roman"/>
                <w:i w:val="0"/>
                <w:iCs w:val="0"/>
                <w:sz w:val="24"/>
                <w:szCs w:val="24"/>
              </w:rPr>
            </w:pPr>
            <w:r w:rsidRPr="00DD5FB8">
              <w:rPr>
                <w:rFonts w:ascii="Times New Roman" w:hAnsi="Times New Roman"/>
                <w:i w:val="0"/>
                <w:iCs w:val="0"/>
                <w:color w:val="auto"/>
                <w:sz w:val="24"/>
                <w:szCs w:val="24"/>
              </w:rPr>
              <w:t>Soutien à la production agricole</w:t>
            </w:r>
            <w:r w:rsidR="000C372B" w:rsidRPr="00DD5FB8">
              <w:rPr>
                <w:rFonts w:ascii="Times New Roman" w:hAnsi="Times New Roman"/>
                <w:i w:val="0"/>
                <w:iCs w:val="0"/>
                <w:color w:val="auto"/>
                <w:sz w:val="24"/>
                <w:szCs w:val="24"/>
              </w:rPr>
              <w:t xml:space="preserve"> et à la réhabilitation des rizières</w:t>
            </w:r>
          </w:p>
          <w:p w:rsidR="00DA7577" w:rsidRPr="00DD5FB8" w:rsidRDefault="00DA7577" w:rsidP="00A76F4A">
            <w:pPr>
              <w:spacing w:before="60" w:after="60"/>
              <w:ind w:right="12"/>
              <w:jc w:val="center"/>
              <w:rPr>
                <w:color w:val="000000" w:themeColor="text1"/>
              </w:rPr>
            </w:pPr>
          </w:p>
        </w:tc>
        <w:tc>
          <w:tcPr>
            <w:tcW w:w="8930" w:type="dxa"/>
            <w:gridSpan w:val="2"/>
            <w:shd w:val="clear" w:color="auto" w:fill="DEEAF6" w:themeFill="accent1" w:themeFillTint="33"/>
            <w:vAlign w:val="center"/>
          </w:tcPr>
          <w:p w:rsidR="00DA7577" w:rsidRPr="00DD5FB8" w:rsidRDefault="00D50484" w:rsidP="00A76F4A">
            <w:pPr>
              <w:autoSpaceDE w:val="0"/>
              <w:autoSpaceDN w:val="0"/>
              <w:adjustRightInd w:val="0"/>
              <w:ind w:right="12"/>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DD5FB8">
              <w:rPr>
                <w:b/>
                <w:color w:val="000000" w:themeColor="text1"/>
              </w:rPr>
              <w:t>E</w:t>
            </w:r>
            <w:r w:rsidR="00DA7577" w:rsidRPr="00DD5FB8">
              <w:rPr>
                <w:b/>
                <w:color w:val="000000" w:themeColor="text1"/>
              </w:rPr>
              <w:t xml:space="preserve">n phase </w:t>
            </w:r>
            <w:r w:rsidR="004D44D7" w:rsidRPr="00DD5FB8">
              <w:rPr>
                <w:b/>
                <w:color w:val="000000" w:themeColor="text1"/>
              </w:rPr>
              <w:t>travaux</w:t>
            </w:r>
          </w:p>
        </w:tc>
      </w:tr>
      <w:tr w:rsidR="002B2401" w:rsidRPr="00DD5FB8" w:rsidTr="00DD5FB8">
        <w:trPr>
          <w:trHeight w:val="557"/>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DA7577" w:rsidRPr="00DD5FB8" w:rsidRDefault="00DA7577" w:rsidP="00A76F4A">
            <w:pPr>
              <w:spacing w:before="60" w:after="60"/>
              <w:ind w:right="12"/>
              <w:jc w:val="center"/>
            </w:pPr>
          </w:p>
        </w:tc>
        <w:tc>
          <w:tcPr>
            <w:tcW w:w="3827" w:type="dxa"/>
            <w:shd w:val="clear" w:color="auto" w:fill="auto"/>
          </w:tcPr>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Risque de mauvais ciblages des acteurs concernés par ce projet ;</w:t>
            </w:r>
          </w:p>
        </w:tc>
        <w:tc>
          <w:tcPr>
            <w:tcW w:w="5103" w:type="dxa"/>
            <w:vMerge w:val="restart"/>
          </w:tcPr>
          <w:p w:rsidR="007F13A0"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 xml:space="preserve">Impliquer les acteurs concernés (Services techniques, autorités, chefs de village, associations) par le projet PUSA dans les processus de ciblages des </w:t>
            </w:r>
            <w:r w:rsidR="00A57DCB" w:rsidRPr="00DD5FB8">
              <w:rPr>
                <w:rFonts w:ascii="Times New Roman" w:hAnsi="Times New Roman"/>
                <w:color w:val="000000" w:themeColor="text1"/>
                <w:sz w:val="24"/>
                <w:szCs w:val="24"/>
                <w:lang w:val="fr-CA"/>
              </w:rPr>
              <w:t>bénéficiers ;</w:t>
            </w:r>
          </w:p>
          <w:p w:rsidR="004D44D7" w:rsidRPr="00DD5FB8" w:rsidRDefault="004D44D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Mettre en place et respecter les critères de ciblages et de proposer des mesures de vérification transparente du respect des critères</w:t>
            </w:r>
          </w:p>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Organiser des journées d’information et de sensibilisation des acteurs surtout au niveau local,</w:t>
            </w:r>
          </w:p>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 xml:space="preserve">Procéder à une meilleure cible des zones et des populations les plus </w:t>
            </w:r>
            <w:r w:rsidR="00A57DCB" w:rsidRPr="00DD5FB8">
              <w:rPr>
                <w:rFonts w:ascii="Times New Roman" w:hAnsi="Times New Roman"/>
                <w:color w:val="000000" w:themeColor="text1"/>
                <w:sz w:val="24"/>
                <w:szCs w:val="24"/>
                <w:lang w:val="fr-CA"/>
              </w:rPr>
              <w:t>vulnérables ;</w:t>
            </w:r>
          </w:p>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Impliquer les femmes dans les procédures de cibles,</w:t>
            </w:r>
          </w:p>
        </w:tc>
      </w:tr>
      <w:tr w:rsidR="002B2401" w:rsidRPr="00DD5FB8" w:rsidTr="00DD5FB8">
        <w:trPr>
          <w:trHeight w:val="1256"/>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DA7577" w:rsidRPr="00DD5FB8" w:rsidRDefault="00DA7577" w:rsidP="00A76F4A">
            <w:pPr>
              <w:spacing w:before="60" w:after="60"/>
              <w:ind w:right="12"/>
              <w:jc w:val="center"/>
            </w:pPr>
          </w:p>
        </w:tc>
        <w:tc>
          <w:tcPr>
            <w:tcW w:w="3827" w:type="dxa"/>
            <w:shd w:val="clear" w:color="auto" w:fill="auto"/>
          </w:tcPr>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Le risque d’absence d’équité et de transparence, ainsi que la discrimination dans la procédure d’allocation et d’appui aux bénéficiaires pourraient entraîner des conflits sociaux pouvant compromettre l’atteinte des résultats escomptés par le projet </w:t>
            </w:r>
          </w:p>
        </w:tc>
        <w:tc>
          <w:tcPr>
            <w:tcW w:w="5103" w:type="dxa"/>
            <w:vMerge/>
          </w:tcPr>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r>
      <w:tr w:rsidR="002B2401" w:rsidRPr="00DD5FB8" w:rsidTr="00DD5FB8">
        <w:trPr>
          <w:trHeight w:val="460"/>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DA7577" w:rsidRPr="00DD5FB8" w:rsidRDefault="00DA7577" w:rsidP="00A76F4A">
            <w:pPr>
              <w:spacing w:before="60" w:after="60"/>
              <w:ind w:right="12"/>
              <w:jc w:val="center"/>
            </w:pPr>
          </w:p>
        </w:tc>
        <w:tc>
          <w:tcPr>
            <w:tcW w:w="3827" w:type="dxa"/>
            <w:shd w:val="clear" w:color="auto" w:fill="auto"/>
          </w:tcPr>
          <w:p w:rsidR="00DA7577" w:rsidRPr="00DD5FB8" w:rsidRDefault="00DA7577"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Risque de conflit entre les différents acteurs concernés par les soutiens du projet ;</w:t>
            </w:r>
          </w:p>
        </w:tc>
        <w:tc>
          <w:tcPr>
            <w:tcW w:w="5103" w:type="dxa"/>
          </w:tcPr>
          <w:p w:rsidR="00DA7577" w:rsidRPr="00DD5FB8" w:rsidRDefault="00DA7577"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 xml:space="preserve">Veiller à une bonne gestion du projet </w:t>
            </w:r>
            <w:r w:rsidR="004D44D7" w:rsidRPr="00DD5FB8">
              <w:rPr>
                <w:rFonts w:ascii="Times New Roman" w:hAnsi="Times New Roman"/>
                <w:color w:val="000000" w:themeColor="text1"/>
                <w:sz w:val="24"/>
                <w:szCs w:val="24"/>
                <w:lang w:val="fr-CA"/>
              </w:rPr>
              <w:t>en impliquant l’ensemble des acteurs concernés sans discrimination et de favoriser la transmission des informations entre eux</w:t>
            </w:r>
            <w:r w:rsidR="00675971" w:rsidRPr="00DD5FB8">
              <w:rPr>
                <w:rFonts w:ascii="Times New Roman" w:hAnsi="Times New Roman"/>
                <w:color w:val="000000" w:themeColor="text1"/>
                <w:sz w:val="24"/>
                <w:szCs w:val="24"/>
                <w:lang w:val="fr-CA"/>
              </w:rPr>
              <w:t xml:space="preserve"> de façon transparente.</w:t>
            </w:r>
          </w:p>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 xml:space="preserve">Éviter autant que possible les phénomènes de frustration au niveau des bénéficiaires </w:t>
            </w:r>
            <w:r w:rsidR="0030414A" w:rsidRPr="00DD5FB8">
              <w:rPr>
                <w:rFonts w:ascii="Times New Roman" w:hAnsi="Times New Roman"/>
                <w:color w:val="000000" w:themeColor="text1"/>
                <w:sz w:val="24"/>
                <w:szCs w:val="24"/>
                <w:lang w:val="fr-CA"/>
              </w:rPr>
              <w:t xml:space="preserve">en impliquant l’ensemble des autorités au niveau locale et de tenir informer les bénéficiaires </w:t>
            </w:r>
            <w:r w:rsidRPr="00DD5FB8">
              <w:rPr>
                <w:rFonts w:ascii="Times New Roman" w:hAnsi="Times New Roman"/>
                <w:color w:val="000000" w:themeColor="text1"/>
                <w:sz w:val="24"/>
                <w:szCs w:val="24"/>
                <w:lang w:val="fr-CA"/>
              </w:rPr>
              <w:t>;</w:t>
            </w:r>
          </w:p>
        </w:tc>
      </w:tr>
      <w:tr w:rsidR="002B2401" w:rsidRPr="00DD5FB8" w:rsidTr="00DD5FB8">
        <w:trPr>
          <w:trHeight w:val="1201"/>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DA7577" w:rsidRPr="00DD5FB8" w:rsidRDefault="00DA7577" w:rsidP="00A76F4A">
            <w:pPr>
              <w:spacing w:before="60" w:after="60"/>
              <w:ind w:right="12"/>
              <w:jc w:val="center"/>
            </w:pPr>
          </w:p>
        </w:tc>
        <w:tc>
          <w:tcPr>
            <w:tcW w:w="3827" w:type="dxa"/>
            <w:shd w:val="clear" w:color="auto" w:fill="auto"/>
          </w:tcPr>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Risque de distribution de mauvais semence ou d’engrais ou de matériel ;</w:t>
            </w:r>
          </w:p>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Risque de retard de la mise en œuvre des distributions des semence et d’engrais ;</w:t>
            </w:r>
          </w:p>
        </w:tc>
        <w:tc>
          <w:tcPr>
            <w:tcW w:w="5103" w:type="dxa"/>
          </w:tcPr>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Veiller à la qualité des semences certifiés de même que les pesticides et engrais ;</w:t>
            </w:r>
          </w:p>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Impliquer les services de l’agriculture ;</w:t>
            </w:r>
          </w:p>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Distribuer des semences adapter à la zone d’intervention du projet ;</w:t>
            </w:r>
          </w:p>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Veiller à la qualité des matériels à distribuer;</w:t>
            </w:r>
          </w:p>
        </w:tc>
      </w:tr>
      <w:tr w:rsidR="002B2401" w:rsidRPr="00DD5FB8" w:rsidTr="00DD5FB8">
        <w:trPr>
          <w:trHeight w:val="715"/>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DA7577" w:rsidRPr="00DD5FB8" w:rsidRDefault="00DA7577" w:rsidP="00A76F4A">
            <w:pPr>
              <w:spacing w:before="60" w:after="60"/>
              <w:ind w:right="12"/>
              <w:jc w:val="center"/>
            </w:pPr>
          </w:p>
        </w:tc>
        <w:tc>
          <w:tcPr>
            <w:tcW w:w="3827" w:type="dxa"/>
            <w:shd w:val="clear" w:color="auto" w:fill="auto"/>
          </w:tcPr>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Risque de détournement des objectifs du projet ;</w:t>
            </w:r>
          </w:p>
          <w:p w:rsidR="00DA7577" w:rsidRPr="00DD5FB8" w:rsidRDefault="00DA7577" w:rsidP="00A76F4A">
            <w:pPr>
              <w:pStyle w:val="PargrafodaLista"/>
              <w:spacing w:line="240" w:lineRule="auto"/>
              <w:ind w:left="151" w:right="1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c>
          <w:tcPr>
            <w:tcW w:w="5103" w:type="dxa"/>
          </w:tcPr>
          <w:p w:rsidR="00DA7577" w:rsidRPr="00DD5FB8" w:rsidRDefault="00DA7577"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Veiller à la revalorisation du secteur de production, et de la commercialisation de la noix de cajou surtout en se période de la pandémie de la Covid 19</w:t>
            </w:r>
            <w:r w:rsidR="00371AC7" w:rsidRPr="00DD5FB8">
              <w:rPr>
                <w:rFonts w:ascii="Times New Roman" w:hAnsi="Times New Roman"/>
                <w:color w:val="000000" w:themeColor="text1"/>
                <w:sz w:val="24"/>
                <w:szCs w:val="24"/>
                <w:lang w:val="fr-CA"/>
              </w:rPr>
              <w:t xml:space="preserve"> </w:t>
            </w:r>
          </w:p>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Organiser des journées d’information et de sensibilisation des acteurs surtout au niveau local,</w:t>
            </w:r>
          </w:p>
        </w:tc>
      </w:tr>
      <w:tr w:rsidR="002B2401" w:rsidRPr="00DD5FB8" w:rsidTr="00DD5FB8">
        <w:trPr>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DA7577" w:rsidRPr="00DD5FB8" w:rsidRDefault="00DA7577" w:rsidP="00A76F4A">
            <w:pPr>
              <w:spacing w:before="60" w:after="60"/>
              <w:ind w:right="12"/>
              <w:jc w:val="center"/>
            </w:pPr>
          </w:p>
        </w:tc>
        <w:tc>
          <w:tcPr>
            <w:tcW w:w="3827" w:type="dxa"/>
            <w:shd w:val="clear" w:color="auto" w:fill="auto"/>
          </w:tcPr>
          <w:p w:rsidR="00DA7577" w:rsidRPr="00DD5FB8" w:rsidRDefault="00DA7577"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 xml:space="preserve">Risque d’abandon des cultures vivrières en faveur l’exploitation de l’anacardier ; </w:t>
            </w:r>
          </w:p>
          <w:p w:rsidR="00DA7577" w:rsidRPr="00DD5FB8" w:rsidRDefault="00DA7577" w:rsidP="00A76F4A">
            <w:pPr>
              <w:pStyle w:val="PargrafodaLista"/>
              <w:spacing w:line="240" w:lineRule="auto"/>
              <w:ind w:left="151" w:right="1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c>
          <w:tcPr>
            <w:tcW w:w="5103" w:type="dxa"/>
          </w:tcPr>
          <w:p w:rsidR="00DA7577" w:rsidRPr="00DD5FB8" w:rsidRDefault="00DA7577" w:rsidP="00A76F4A">
            <w:pPr>
              <w:ind w:right="12"/>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DD5FB8">
              <w:rPr>
                <w:color w:val="000000" w:themeColor="text1"/>
                <w:lang w:val="fr-CA"/>
              </w:rPr>
              <w:t>- Booster la production des produits céréaliers dans les zones à forte taux d’insécurité alimentaire et/ou cette vulnérabilité,</w:t>
            </w:r>
          </w:p>
          <w:p w:rsidR="00DA7577" w:rsidRPr="00DD5FB8" w:rsidRDefault="00DA7577" w:rsidP="00A76F4A">
            <w:pPr>
              <w:ind w:right="12"/>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DD5FB8">
              <w:rPr>
                <w:color w:val="000000" w:themeColor="text1"/>
                <w:lang w:val="fr-CA"/>
              </w:rPr>
              <w:t>-Revaloriser les cultures vivrières à l’aider des renforcements et d’appuis en matériel et d’aménagement hydro agricole ;</w:t>
            </w:r>
          </w:p>
        </w:tc>
      </w:tr>
      <w:tr w:rsidR="002B2401" w:rsidRPr="00DD5FB8" w:rsidTr="00DD5FB8">
        <w:trPr>
          <w:trHeight w:val="907"/>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DA7577" w:rsidRPr="00DD5FB8" w:rsidRDefault="00DA7577" w:rsidP="00A76F4A">
            <w:pPr>
              <w:spacing w:before="60" w:after="60"/>
              <w:ind w:right="12"/>
              <w:jc w:val="center"/>
            </w:pPr>
          </w:p>
        </w:tc>
        <w:tc>
          <w:tcPr>
            <w:tcW w:w="3827" w:type="dxa"/>
            <w:shd w:val="clear" w:color="auto" w:fill="auto"/>
          </w:tcPr>
          <w:p w:rsidR="00DA7577" w:rsidRPr="00DD5FB8" w:rsidRDefault="00DA7577"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Risque de propagation de la pandémie de la Covid-19 ;</w:t>
            </w:r>
          </w:p>
          <w:p w:rsidR="00DA7577" w:rsidRPr="00DD5FB8" w:rsidRDefault="00DA7577" w:rsidP="00A76F4A">
            <w:pPr>
              <w:pStyle w:val="PargrafodaLista"/>
              <w:spacing w:after="0" w:line="240" w:lineRule="auto"/>
              <w:ind w:left="151"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c>
          <w:tcPr>
            <w:tcW w:w="5103" w:type="dxa"/>
          </w:tcPr>
          <w:p w:rsidR="00DA7577" w:rsidRPr="00DD5FB8" w:rsidRDefault="00DA7577" w:rsidP="00A76F4A">
            <w:pPr>
              <w:spacing w:line="271" w:lineRule="auto"/>
              <w:ind w:right="12"/>
              <w:cnfStyle w:val="000000000000" w:firstRow="0" w:lastRow="0" w:firstColumn="0" w:lastColumn="0" w:oddVBand="0" w:evenVBand="0" w:oddHBand="0" w:evenHBand="0" w:firstRowFirstColumn="0" w:firstRowLastColumn="0" w:lastRowFirstColumn="0" w:lastRowLastColumn="0"/>
            </w:pPr>
            <w:r w:rsidRPr="00DD5FB8">
              <w:t>- Organiser des campagnes de sensibilisation contre la COVID 19 ;</w:t>
            </w:r>
          </w:p>
          <w:p w:rsidR="00DA7577" w:rsidRPr="00DD5FB8" w:rsidRDefault="00DA7577" w:rsidP="00A76F4A">
            <w:pPr>
              <w:spacing w:line="271" w:lineRule="auto"/>
              <w:ind w:right="12"/>
              <w:cnfStyle w:val="000000000000" w:firstRow="0" w:lastRow="0" w:firstColumn="0" w:lastColumn="0" w:oddVBand="0" w:evenVBand="0" w:oddHBand="0" w:evenHBand="0" w:firstRowFirstColumn="0" w:firstRowLastColumn="0" w:lastRowFirstColumn="0" w:lastRowLastColumn="0"/>
            </w:pPr>
            <w:r w:rsidRPr="00DD5FB8">
              <w:t>- Exiger le port de masque obligatoire ;</w:t>
            </w:r>
          </w:p>
          <w:p w:rsidR="00DA7577" w:rsidRPr="00DD5FB8" w:rsidRDefault="00DA7577" w:rsidP="00A76F4A">
            <w:pPr>
              <w:spacing w:line="271" w:lineRule="auto"/>
              <w:ind w:right="12"/>
              <w:cnfStyle w:val="000000000000" w:firstRow="0" w:lastRow="0" w:firstColumn="0" w:lastColumn="0" w:oddVBand="0" w:evenVBand="0" w:oddHBand="0" w:evenHBand="0" w:firstRowFirstColumn="0" w:firstRowLastColumn="0" w:lastRowFirstColumn="0" w:lastRowLastColumn="0"/>
            </w:pPr>
            <w:r w:rsidRPr="00DD5FB8">
              <w:lastRenderedPageBreak/>
              <w:t>- Distribuer des masques de protection et des gels antiseptiques ;</w:t>
            </w:r>
          </w:p>
          <w:p w:rsidR="00DA7577" w:rsidRPr="00DD5FB8" w:rsidRDefault="00DA7577" w:rsidP="00A76F4A">
            <w:pPr>
              <w:spacing w:line="271" w:lineRule="auto"/>
              <w:ind w:right="12"/>
              <w:cnfStyle w:val="000000000000" w:firstRow="0" w:lastRow="0" w:firstColumn="0" w:lastColumn="0" w:oddVBand="0" w:evenVBand="0" w:oddHBand="0" w:evenHBand="0" w:firstRowFirstColumn="0" w:firstRowLastColumn="0" w:lastRowFirstColumn="0" w:lastRowLastColumn="0"/>
            </w:pPr>
            <w:r w:rsidRPr="00DD5FB8">
              <w:t>-Mettre en place des pictogrammes de sensibilisation contre la Covid 19 ;</w:t>
            </w:r>
          </w:p>
        </w:tc>
      </w:tr>
      <w:tr w:rsidR="00AE3DE8" w:rsidRPr="00DD5FB8" w:rsidTr="00DD5FB8">
        <w:trPr>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AE3DE8" w:rsidRPr="00DD5FB8" w:rsidRDefault="00AE3DE8" w:rsidP="00A76F4A">
            <w:pPr>
              <w:pStyle w:val="PargrafodaLista"/>
              <w:spacing w:line="240" w:lineRule="auto"/>
              <w:ind w:right="12"/>
              <w:jc w:val="center"/>
              <w:rPr>
                <w:rFonts w:ascii="Times New Roman" w:hAnsi="Times New Roman"/>
                <w:color w:val="000000" w:themeColor="text1"/>
                <w:sz w:val="24"/>
                <w:szCs w:val="24"/>
              </w:rPr>
            </w:pPr>
          </w:p>
        </w:tc>
        <w:tc>
          <w:tcPr>
            <w:tcW w:w="8930" w:type="dxa"/>
            <w:gridSpan w:val="2"/>
            <w:shd w:val="clear" w:color="auto" w:fill="DEEAF6" w:themeFill="accent1" w:themeFillTint="33"/>
          </w:tcPr>
          <w:p w:rsidR="00AE3DE8" w:rsidRPr="00DD5FB8" w:rsidRDefault="00AE3DE8" w:rsidP="00A76F4A">
            <w:pPr>
              <w:autoSpaceDE w:val="0"/>
              <w:autoSpaceDN w:val="0"/>
              <w:adjustRightInd w:val="0"/>
              <w:ind w:right="12"/>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DD5FB8">
              <w:rPr>
                <w:b/>
                <w:color w:val="000000" w:themeColor="text1"/>
              </w:rPr>
              <w:t xml:space="preserve">En phase d’exploitation </w:t>
            </w:r>
          </w:p>
        </w:tc>
      </w:tr>
      <w:tr w:rsidR="003D66BE" w:rsidRPr="00DD5FB8" w:rsidTr="00DD5FB8">
        <w:trPr>
          <w:trHeight w:val="200"/>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3D66BE" w:rsidRPr="00DD5FB8" w:rsidRDefault="003D66BE" w:rsidP="00A76F4A">
            <w:pPr>
              <w:pStyle w:val="PargrafodaLista"/>
              <w:spacing w:line="240" w:lineRule="auto"/>
              <w:ind w:right="12"/>
              <w:jc w:val="center"/>
              <w:rPr>
                <w:rFonts w:ascii="Times New Roman" w:hAnsi="Times New Roman"/>
                <w:color w:val="000000" w:themeColor="text1"/>
                <w:sz w:val="24"/>
                <w:szCs w:val="24"/>
              </w:rPr>
            </w:pPr>
          </w:p>
        </w:tc>
        <w:tc>
          <w:tcPr>
            <w:tcW w:w="3827" w:type="dxa"/>
            <w:shd w:val="clear" w:color="auto" w:fill="FFFFFF" w:themeFill="background1"/>
          </w:tcPr>
          <w:p w:rsidR="003D66BE" w:rsidRPr="00DD5FB8" w:rsidRDefault="003D66BE"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rPr>
              <w:t>Risque de pollution des eaux dans les zones d’intervention du projet pourrait être noter à cause des utilisations irrationnelle d’engrais et pesticides.</w:t>
            </w:r>
          </w:p>
        </w:tc>
        <w:tc>
          <w:tcPr>
            <w:tcW w:w="5103" w:type="dxa"/>
            <w:vMerge w:val="restart"/>
            <w:shd w:val="clear" w:color="auto" w:fill="FFFFFF" w:themeFill="background1"/>
            <w:vAlign w:val="center"/>
          </w:tcPr>
          <w:p w:rsidR="003D66BE" w:rsidRPr="00DD5FB8" w:rsidRDefault="003D66BE" w:rsidP="00A76F4A">
            <w:pPr>
              <w:autoSpaceDE w:val="0"/>
              <w:autoSpaceDN w:val="0"/>
              <w:adjustRightInd w:val="0"/>
              <w:ind w:right="12"/>
              <w:cnfStyle w:val="000000000000" w:firstRow="0" w:lastRow="0" w:firstColumn="0" w:lastColumn="0" w:oddVBand="0" w:evenVBand="0" w:oddHBand="0" w:evenHBand="0" w:firstRowFirstColumn="0" w:firstRowLastColumn="0" w:lastRowFirstColumn="0" w:lastRowLastColumn="0"/>
              <w:rPr>
                <w:color w:val="000000" w:themeColor="text1"/>
              </w:rPr>
            </w:pPr>
            <w:r w:rsidRPr="00DD5FB8">
              <w:rPr>
                <w:color w:val="000000" w:themeColor="text1"/>
              </w:rPr>
              <w:t>- Sensibiliser les populations sur les risques d'accidents et les risques sanitaires due à l’utilisation des pesticides ;</w:t>
            </w:r>
          </w:p>
          <w:p w:rsidR="002A470E" w:rsidRPr="00DD5FB8" w:rsidRDefault="002A470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Mettre en place un plan de gestion intégrée des nuisibles</w:t>
            </w:r>
          </w:p>
          <w:p w:rsidR="003D66BE" w:rsidRPr="00DD5FB8" w:rsidRDefault="003D66B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Elimination des pesticides obsolètes ;</w:t>
            </w:r>
          </w:p>
          <w:p w:rsidR="003D66BE" w:rsidRPr="00DD5FB8" w:rsidRDefault="003D66B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Organiser des journées de sensibilisation contre les risques ou danger avec l’utilisation des pesticides et des engrais ;</w:t>
            </w:r>
          </w:p>
          <w:p w:rsidR="003D66BE" w:rsidRPr="00DD5FB8" w:rsidRDefault="003D66B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Formation en gestion intégrée des pesticides ;</w:t>
            </w:r>
          </w:p>
          <w:p w:rsidR="003D66BE" w:rsidRPr="00DD5FB8" w:rsidRDefault="003D66B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Respecter des doses de pesticides prescrites ;</w:t>
            </w:r>
          </w:p>
          <w:p w:rsidR="003D66BE" w:rsidRPr="00DD5FB8" w:rsidRDefault="003D66B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Promotion de l’usage de la fumure organique ;</w:t>
            </w:r>
          </w:p>
          <w:p w:rsidR="003D66BE" w:rsidRPr="00DD5FB8" w:rsidRDefault="003D66B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Mettre en place un bon système de drainage des eaux au niveau des rizières ;</w:t>
            </w:r>
          </w:p>
          <w:p w:rsidR="003D66BE" w:rsidRPr="00DD5FB8" w:rsidRDefault="003D66B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Renforcer en EPI aux agricultures ;</w:t>
            </w:r>
          </w:p>
          <w:p w:rsidR="003D66BE" w:rsidRPr="00DD5FB8" w:rsidRDefault="003D66B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Veiller à la santé des agricultures dans </w:t>
            </w:r>
            <w:r w:rsidR="001B6BD8" w:rsidRPr="00DD5FB8">
              <w:rPr>
                <w:rFonts w:ascii="Times New Roman" w:hAnsi="Times New Roman"/>
                <w:color w:val="000000" w:themeColor="text1"/>
                <w:sz w:val="24"/>
                <w:szCs w:val="24"/>
              </w:rPr>
              <w:t>les zones concernées</w:t>
            </w:r>
            <w:r w:rsidRPr="00DD5FB8">
              <w:rPr>
                <w:rFonts w:ascii="Times New Roman" w:hAnsi="Times New Roman"/>
                <w:color w:val="000000" w:themeColor="text1"/>
                <w:sz w:val="24"/>
                <w:szCs w:val="24"/>
              </w:rPr>
              <w:t xml:space="preserve"> par le projet ;</w:t>
            </w:r>
          </w:p>
          <w:p w:rsidR="001B6BD8" w:rsidRPr="00DD5FB8" w:rsidRDefault="001B6BD8"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Veiller à l’utilisation des pesticides et d’engrais </w:t>
            </w:r>
            <w:r w:rsidR="00ED5393" w:rsidRPr="00DD5FB8">
              <w:rPr>
                <w:rFonts w:ascii="Times New Roman" w:hAnsi="Times New Roman"/>
                <w:color w:val="000000" w:themeColor="text1"/>
                <w:sz w:val="24"/>
                <w:szCs w:val="24"/>
              </w:rPr>
              <w:t>certifiés et homologué ;</w:t>
            </w:r>
          </w:p>
        </w:tc>
      </w:tr>
      <w:tr w:rsidR="003D66BE" w:rsidRPr="00DD5FB8" w:rsidTr="00DD5FB8">
        <w:trPr>
          <w:trHeight w:val="694"/>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3D66BE" w:rsidRPr="00DD5FB8" w:rsidRDefault="003D66BE" w:rsidP="00A76F4A">
            <w:pPr>
              <w:pStyle w:val="PargrafodaLista"/>
              <w:spacing w:line="240" w:lineRule="auto"/>
              <w:ind w:right="12"/>
              <w:jc w:val="center"/>
              <w:rPr>
                <w:rFonts w:ascii="Times New Roman" w:hAnsi="Times New Roman"/>
                <w:color w:val="000000" w:themeColor="text1"/>
                <w:sz w:val="24"/>
                <w:szCs w:val="24"/>
              </w:rPr>
            </w:pPr>
          </w:p>
        </w:tc>
        <w:tc>
          <w:tcPr>
            <w:tcW w:w="3827" w:type="dxa"/>
            <w:shd w:val="clear" w:color="auto" w:fill="FFFFFF" w:themeFill="background1"/>
          </w:tcPr>
          <w:p w:rsidR="003D66BE" w:rsidRPr="00DD5FB8" w:rsidRDefault="003D66B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Ces utilisations des engrais et pesticides pourraient engendrer des dégâts sur l’environnement (</w:t>
            </w:r>
            <w:r w:rsidRPr="00DD5FB8">
              <w:rPr>
                <w:rFonts w:ascii="Times New Roman" w:hAnsi="Times New Roman"/>
                <w:color w:val="000000" w:themeColor="text1"/>
                <w:sz w:val="24"/>
                <w:szCs w:val="24"/>
              </w:rPr>
              <w:t xml:space="preserve">dégradation de la fertilité des sols) </w:t>
            </w:r>
            <w:r w:rsidRPr="00DD5FB8">
              <w:rPr>
                <w:rFonts w:ascii="Times New Roman" w:hAnsi="Times New Roman"/>
                <w:color w:val="000000" w:themeColor="text1"/>
                <w:sz w:val="24"/>
                <w:szCs w:val="24"/>
                <w:lang w:val="fr-CA"/>
              </w:rPr>
              <w:t xml:space="preserve">et la santé des populations. </w:t>
            </w:r>
          </w:p>
          <w:p w:rsidR="00ED5393" w:rsidRPr="00DD5FB8" w:rsidRDefault="00ED5393"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rPr>
              <w:t xml:space="preserve">Intensification culturale pourrait entraîner une augmentation de l’utilisation des pesticides d’où le </w:t>
            </w:r>
            <w:r w:rsidRPr="00DD5FB8">
              <w:rPr>
                <w:rFonts w:ascii="Times New Roman" w:hAnsi="Times New Roman"/>
                <w:color w:val="000000" w:themeColor="text1"/>
                <w:sz w:val="24"/>
                <w:szCs w:val="24"/>
                <w:lang w:val="fr-CA"/>
              </w:rPr>
              <w:t>risque de développement de maladies liées à l’eau (Paludisme, Bilharziose, maladies diarrhéiques, dermatoses, etc.) ;</w:t>
            </w:r>
          </w:p>
          <w:p w:rsidR="003D66BE" w:rsidRPr="00DD5FB8" w:rsidRDefault="00852843"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lang w:val="fr-CA"/>
              </w:rPr>
              <w:t xml:space="preserve">Risque d’apparition et/ou prolifération de plantes aquatiques envahissantes (typhas, riz sauvage, etc.) modifiant l’hydraulicité des cours d’eau </w:t>
            </w:r>
            <w:r w:rsidRPr="00DD5FB8">
              <w:rPr>
                <w:rFonts w:ascii="Times New Roman" w:hAnsi="Times New Roman"/>
                <w:color w:val="000000" w:themeColor="text1"/>
                <w:sz w:val="24"/>
                <w:szCs w:val="24"/>
              </w:rPr>
              <w:t>à cause des utilisations irrationnelle d’engrais et pesticides.</w:t>
            </w:r>
          </w:p>
          <w:p w:rsidR="00511A8C" w:rsidRPr="00DD5FB8" w:rsidRDefault="00511A8C"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Risque de pollution du sol, des eaux de surface et de la nappe phréatique par les pestes et pesticides ;</w:t>
            </w:r>
          </w:p>
        </w:tc>
        <w:tc>
          <w:tcPr>
            <w:tcW w:w="5103" w:type="dxa"/>
            <w:vMerge/>
            <w:shd w:val="clear" w:color="auto" w:fill="FFFFFF" w:themeFill="background1"/>
            <w:vAlign w:val="center"/>
          </w:tcPr>
          <w:p w:rsidR="003D66BE" w:rsidRPr="00DD5FB8" w:rsidRDefault="003D66BE" w:rsidP="00A76F4A">
            <w:pPr>
              <w:autoSpaceDE w:val="0"/>
              <w:autoSpaceDN w:val="0"/>
              <w:adjustRightInd w:val="0"/>
              <w:ind w:right="12"/>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0C7C31" w:rsidRPr="00DD5FB8" w:rsidTr="00DD5FB8">
        <w:trPr>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0C7C31" w:rsidRPr="00DD5FB8" w:rsidRDefault="000C7C31" w:rsidP="00A76F4A">
            <w:pPr>
              <w:pStyle w:val="PargrafodaLista"/>
              <w:spacing w:line="240" w:lineRule="auto"/>
              <w:ind w:right="12"/>
              <w:jc w:val="center"/>
              <w:rPr>
                <w:rFonts w:ascii="Times New Roman" w:hAnsi="Times New Roman"/>
                <w:color w:val="000000" w:themeColor="text1"/>
                <w:sz w:val="24"/>
                <w:szCs w:val="24"/>
              </w:rPr>
            </w:pPr>
          </w:p>
        </w:tc>
        <w:tc>
          <w:tcPr>
            <w:tcW w:w="3827" w:type="dxa"/>
            <w:shd w:val="clear" w:color="auto" w:fill="FFFFFF" w:themeFill="background1"/>
          </w:tcPr>
          <w:p w:rsidR="000C7C31" w:rsidRPr="00DD5FB8" w:rsidRDefault="006A54D9"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lang w:val="fr-CA"/>
              </w:rPr>
              <w:t>Les risques d’abattage des arbres lors des travaux d’aménagement des périmètres (agricoles ou des rizières)</w:t>
            </w:r>
            <w:r w:rsidRPr="00DD5FB8">
              <w:rPr>
                <w:rFonts w:ascii="Times New Roman" w:hAnsi="Times New Roman"/>
                <w:color w:val="000000" w:themeColor="text1"/>
                <w:sz w:val="24"/>
                <w:szCs w:val="24"/>
              </w:rPr>
              <w:t xml:space="preserve"> pourraient réduire les ressources forestières. </w:t>
            </w:r>
          </w:p>
          <w:p w:rsidR="002B6A1A" w:rsidRPr="00DD5FB8" w:rsidRDefault="002B6A1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L’intensification des cultures </w:t>
            </w:r>
            <w:r w:rsidR="006B7C2B" w:rsidRPr="00DD5FB8">
              <w:rPr>
                <w:rFonts w:ascii="Times New Roman" w:hAnsi="Times New Roman"/>
                <w:color w:val="000000" w:themeColor="text1"/>
                <w:sz w:val="24"/>
                <w:szCs w:val="24"/>
              </w:rPr>
              <w:t xml:space="preserve">(comme l’anacardier) pourrait </w:t>
            </w:r>
            <w:r w:rsidR="00AA7843" w:rsidRPr="00DD5FB8">
              <w:rPr>
                <w:rFonts w:ascii="Times New Roman" w:hAnsi="Times New Roman"/>
                <w:color w:val="000000" w:themeColor="text1"/>
                <w:sz w:val="24"/>
                <w:szCs w:val="24"/>
              </w:rPr>
              <w:t>accélère</w:t>
            </w:r>
            <w:r w:rsidR="006B7C2B" w:rsidRPr="00DD5FB8">
              <w:rPr>
                <w:rFonts w:ascii="Times New Roman" w:hAnsi="Times New Roman"/>
                <w:color w:val="000000" w:themeColor="text1"/>
                <w:sz w:val="24"/>
                <w:szCs w:val="24"/>
              </w:rPr>
              <w:t xml:space="preserve"> </w:t>
            </w:r>
            <w:r w:rsidR="00AA7843" w:rsidRPr="00DD5FB8">
              <w:rPr>
                <w:rFonts w:ascii="Times New Roman" w:hAnsi="Times New Roman"/>
                <w:color w:val="000000" w:themeColor="text1"/>
                <w:sz w:val="24"/>
                <w:szCs w:val="24"/>
              </w:rPr>
              <w:t>ce phénomène de déboisement dans les zones d’intervention du projet ;</w:t>
            </w:r>
          </w:p>
          <w:p w:rsidR="00AA7843" w:rsidRPr="00DD5FB8" w:rsidRDefault="00AA7843" w:rsidP="00A76F4A">
            <w:pPr>
              <w:pStyle w:val="PargrafodaLista"/>
              <w:spacing w:line="240" w:lineRule="auto"/>
              <w:ind w:left="151" w:righ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5103" w:type="dxa"/>
            <w:shd w:val="clear" w:color="auto" w:fill="FFFFFF" w:themeFill="background1"/>
            <w:vAlign w:val="center"/>
          </w:tcPr>
          <w:p w:rsidR="006A54D9" w:rsidRPr="00DD5FB8" w:rsidRDefault="006A54D9"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Déboiser uniquement les zones à aménager pour extension de la riziculture dans les zones d’interventions du PUSA</w:t>
            </w:r>
          </w:p>
          <w:p w:rsidR="006A54D9" w:rsidRPr="00DD5FB8" w:rsidRDefault="006A54D9"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 Maintenir l'équilibre des écosystèmes dans les zones rizicoles ;</w:t>
            </w:r>
          </w:p>
          <w:p w:rsidR="006A54D9" w:rsidRPr="00DD5FB8" w:rsidRDefault="006A54D9"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Eviter autant que possible </w:t>
            </w:r>
            <w:r w:rsidR="00AC0B3B" w:rsidRPr="00DD5FB8">
              <w:rPr>
                <w:rFonts w:ascii="Times New Roman" w:hAnsi="Times New Roman"/>
                <w:color w:val="000000" w:themeColor="text1"/>
                <w:sz w:val="24"/>
                <w:szCs w:val="24"/>
              </w:rPr>
              <w:t>de couper des arbres sans autorisation ;</w:t>
            </w:r>
          </w:p>
          <w:p w:rsidR="0064615B" w:rsidRPr="00DD5FB8" w:rsidRDefault="0064615B"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-Effectuer une demande d’autorisations spéciales auprès des Services des Eaux et Forêts ;</w:t>
            </w:r>
          </w:p>
          <w:p w:rsidR="000C7C31" w:rsidRPr="00DD5FB8" w:rsidRDefault="0064615B"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Etablir un protocole d’accord pour le reboisement compensatoire ;</w:t>
            </w:r>
          </w:p>
        </w:tc>
      </w:tr>
      <w:tr w:rsidR="00423FE4" w:rsidRPr="00DD5FB8" w:rsidTr="00DD5FB8">
        <w:trPr>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423FE4" w:rsidRPr="00DD5FB8" w:rsidRDefault="00423FE4" w:rsidP="00A76F4A">
            <w:pPr>
              <w:pStyle w:val="PargrafodaLista"/>
              <w:spacing w:line="240" w:lineRule="auto"/>
              <w:ind w:right="12"/>
              <w:jc w:val="center"/>
              <w:rPr>
                <w:rFonts w:ascii="Times New Roman" w:hAnsi="Times New Roman"/>
                <w:color w:val="000000" w:themeColor="text1"/>
                <w:sz w:val="24"/>
                <w:szCs w:val="24"/>
              </w:rPr>
            </w:pPr>
          </w:p>
        </w:tc>
        <w:tc>
          <w:tcPr>
            <w:tcW w:w="3827" w:type="dxa"/>
            <w:shd w:val="clear" w:color="auto" w:fill="FFFFFF" w:themeFill="background1"/>
          </w:tcPr>
          <w:p w:rsidR="00423FE4" w:rsidRPr="00DD5FB8" w:rsidRDefault="002B6A1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rPr>
              <w:t xml:space="preserve">L'aménagement des périmètres agricoles pourrait entraîner également la perte des pâturages et cela peut être à l'origine des </w:t>
            </w:r>
            <w:r w:rsidRPr="00DD5FB8">
              <w:rPr>
                <w:rFonts w:ascii="Times New Roman" w:hAnsi="Times New Roman"/>
                <w:color w:val="000000" w:themeColor="text1"/>
                <w:sz w:val="24"/>
                <w:szCs w:val="24"/>
              </w:rPr>
              <w:lastRenderedPageBreak/>
              <w:t>conflits entre les éleveurs et les agriculteurs.</w:t>
            </w:r>
          </w:p>
          <w:p w:rsidR="00D430A7" w:rsidRPr="00DD5FB8" w:rsidRDefault="00D430A7"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rPr>
              <w:t xml:space="preserve">Risque </w:t>
            </w:r>
            <w:r w:rsidR="003B7565" w:rsidRPr="00DD5FB8">
              <w:rPr>
                <w:rFonts w:ascii="Times New Roman" w:hAnsi="Times New Roman"/>
                <w:color w:val="000000" w:themeColor="text1"/>
                <w:sz w:val="24"/>
                <w:szCs w:val="24"/>
              </w:rPr>
              <w:t>de dégradation</w:t>
            </w:r>
            <w:r w:rsidR="00F1582A" w:rsidRPr="00DD5FB8">
              <w:rPr>
                <w:rFonts w:ascii="Times New Roman" w:hAnsi="Times New Roman"/>
                <w:color w:val="000000" w:themeColor="text1"/>
                <w:sz w:val="24"/>
                <w:szCs w:val="24"/>
              </w:rPr>
              <w:t xml:space="preserve"> des couloirs de </w:t>
            </w:r>
            <w:r w:rsidR="00957382" w:rsidRPr="00DD5FB8">
              <w:rPr>
                <w:rFonts w:ascii="Times New Roman" w:hAnsi="Times New Roman"/>
                <w:color w:val="000000" w:themeColor="text1"/>
                <w:sz w:val="24"/>
                <w:szCs w:val="24"/>
              </w:rPr>
              <w:t>pâturages</w:t>
            </w:r>
          </w:p>
        </w:tc>
        <w:tc>
          <w:tcPr>
            <w:tcW w:w="5103" w:type="dxa"/>
            <w:shd w:val="clear" w:color="auto" w:fill="FFFFFF" w:themeFill="background1"/>
            <w:vAlign w:val="center"/>
          </w:tcPr>
          <w:p w:rsidR="00423FE4" w:rsidRPr="00DD5FB8" w:rsidRDefault="00D87F7F"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lastRenderedPageBreak/>
              <w:t>Organiser</w:t>
            </w:r>
            <w:r w:rsidR="00367809" w:rsidRPr="00DD5FB8">
              <w:rPr>
                <w:rFonts w:ascii="Times New Roman" w:hAnsi="Times New Roman"/>
                <w:color w:val="000000" w:themeColor="text1"/>
                <w:sz w:val="24"/>
                <w:szCs w:val="24"/>
              </w:rPr>
              <w:t xml:space="preserve"> des </w:t>
            </w:r>
            <w:r w:rsidR="003F0B71" w:rsidRPr="00DD5FB8">
              <w:rPr>
                <w:rFonts w:ascii="Times New Roman" w:hAnsi="Times New Roman"/>
                <w:color w:val="000000" w:themeColor="text1"/>
                <w:sz w:val="24"/>
                <w:szCs w:val="24"/>
              </w:rPr>
              <w:t>journées d’</w:t>
            </w:r>
            <w:r w:rsidR="00CF4BD0" w:rsidRPr="00DD5FB8">
              <w:rPr>
                <w:rFonts w:ascii="Times New Roman" w:hAnsi="Times New Roman"/>
                <w:color w:val="000000" w:themeColor="text1"/>
                <w:sz w:val="24"/>
                <w:szCs w:val="24"/>
              </w:rPr>
              <w:t>information</w:t>
            </w:r>
            <w:r w:rsidR="003F0B71" w:rsidRPr="00DD5FB8">
              <w:rPr>
                <w:rFonts w:ascii="Times New Roman" w:hAnsi="Times New Roman"/>
                <w:color w:val="000000" w:themeColor="text1"/>
                <w:sz w:val="24"/>
                <w:szCs w:val="24"/>
              </w:rPr>
              <w:t xml:space="preserve"> et de sensibilisation </w:t>
            </w:r>
            <w:r w:rsidR="00DF11A8" w:rsidRPr="00DD5FB8">
              <w:rPr>
                <w:rFonts w:ascii="Times New Roman" w:hAnsi="Times New Roman"/>
                <w:color w:val="000000" w:themeColor="text1"/>
                <w:sz w:val="24"/>
                <w:szCs w:val="24"/>
              </w:rPr>
              <w:t xml:space="preserve">par rapport à la nécessite </w:t>
            </w:r>
            <w:r w:rsidR="00680A26" w:rsidRPr="00DD5FB8">
              <w:rPr>
                <w:rFonts w:ascii="Times New Roman" w:hAnsi="Times New Roman"/>
                <w:color w:val="000000" w:themeColor="text1"/>
                <w:sz w:val="24"/>
                <w:szCs w:val="24"/>
              </w:rPr>
              <w:t xml:space="preserve">de ces </w:t>
            </w:r>
            <w:r w:rsidR="00CF4BD0" w:rsidRPr="00DD5FB8">
              <w:rPr>
                <w:rFonts w:ascii="Times New Roman" w:hAnsi="Times New Roman"/>
                <w:color w:val="000000" w:themeColor="text1"/>
                <w:sz w:val="24"/>
                <w:szCs w:val="24"/>
              </w:rPr>
              <w:t>aménagements</w:t>
            </w:r>
            <w:r w:rsidR="00680A26" w:rsidRPr="00DD5FB8">
              <w:rPr>
                <w:rFonts w:ascii="Times New Roman" w:hAnsi="Times New Roman"/>
                <w:color w:val="000000" w:themeColor="text1"/>
                <w:sz w:val="24"/>
                <w:szCs w:val="24"/>
              </w:rPr>
              <w:t xml:space="preserve"> mais aussi orienter </w:t>
            </w:r>
            <w:r w:rsidR="00CF4BD0" w:rsidRPr="00DD5FB8">
              <w:rPr>
                <w:rFonts w:ascii="Times New Roman" w:hAnsi="Times New Roman"/>
                <w:color w:val="000000" w:themeColor="text1"/>
                <w:sz w:val="24"/>
                <w:szCs w:val="24"/>
              </w:rPr>
              <w:t>les éleveurs</w:t>
            </w:r>
            <w:r w:rsidR="00680A26" w:rsidRPr="00DD5FB8">
              <w:rPr>
                <w:rFonts w:ascii="Times New Roman" w:hAnsi="Times New Roman"/>
                <w:color w:val="000000" w:themeColor="text1"/>
                <w:sz w:val="24"/>
                <w:szCs w:val="24"/>
              </w:rPr>
              <w:t xml:space="preserve"> dans les</w:t>
            </w:r>
            <w:r w:rsidRPr="00DD5FB8">
              <w:rPr>
                <w:rFonts w:ascii="Times New Roman" w:hAnsi="Times New Roman"/>
                <w:color w:val="000000" w:themeColor="text1"/>
                <w:sz w:val="24"/>
                <w:szCs w:val="24"/>
              </w:rPr>
              <w:t xml:space="preserve"> autres zones ;</w:t>
            </w:r>
          </w:p>
          <w:p w:rsidR="003746FD" w:rsidRPr="00DD5FB8" w:rsidRDefault="00D44CFA"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lastRenderedPageBreak/>
              <w:t>Per</w:t>
            </w:r>
            <w:r w:rsidR="008365A4" w:rsidRPr="00DD5FB8">
              <w:rPr>
                <w:rFonts w:ascii="Times New Roman" w:hAnsi="Times New Roman"/>
                <w:color w:val="000000" w:themeColor="text1"/>
                <w:sz w:val="24"/>
                <w:szCs w:val="24"/>
              </w:rPr>
              <w:t>met</w:t>
            </w:r>
            <w:r w:rsidR="007637FF" w:rsidRPr="00DD5FB8">
              <w:rPr>
                <w:rFonts w:ascii="Times New Roman" w:hAnsi="Times New Roman"/>
                <w:color w:val="000000" w:themeColor="text1"/>
                <w:sz w:val="24"/>
                <w:szCs w:val="24"/>
              </w:rPr>
              <w:t xml:space="preserve"> aux </w:t>
            </w:r>
            <w:r w:rsidR="008365A4" w:rsidRPr="00DD5FB8">
              <w:rPr>
                <w:rFonts w:ascii="Times New Roman" w:hAnsi="Times New Roman"/>
                <w:color w:val="000000" w:themeColor="text1"/>
                <w:sz w:val="24"/>
                <w:szCs w:val="24"/>
              </w:rPr>
              <w:t>électeurs</w:t>
            </w:r>
            <w:r w:rsidR="007637FF" w:rsidRPr="00DD5FB8">
              <w:rPr>
                <w:rFonts w:ascii="Times New Roman" w:hAnsi="Times New Roman"/>
                <w:color w:val="000000" w:themeColor="text1"/>
                <w:sz w:val="24"/>
                <w:szCs w:val="24"/>
              </w:rPr>
              <w:t xml:space="preserve"> d’</w:t>
            </w:r>
            <w:r w:rsidR="008365A4" w:rsidRPr="00DD5FB8">
              <w:rPr>
                <w:rFonts w:ascii="Times New Roman" w:hAnsi="Times New Roman"/>
                <w:color w:val="000000" w:themeColor="text1"/>
                <w:sz w:val="24"/>
                <w:szCs w:val="24"/>
              </w:rPr>
              <w:t xml:space="preserve">accéder au </w:t>
            </w:r>
            <w:r w:rsidR="008922DA" w:rsidRPr="00DD5FB8">
              <w:rPr>
                <w:rFonts w:ascii="Times New Roman" w:hAnsi="Times New Roman"/>
                <w:color w:val="000000" w:themeColor="text1"/>
                <w:sz w:val="24"/>
                <w:szCs w:val="24"/>
              </w:rPr>
              <w:t>périmètre</w:t>
            </w:r>
            <w:r w:rsidR="000B5B9E" w:rsidRPr="00DD5FB8">
              <w:rPr>
                <w:rFonts w:ascii="Times New Roman" w:hAnsi="Times New Roman"/>
                <w:color w:val="000000" w:themeColor="text1"/>
                <w:sz w:val="24"/>
                <w:szCs w:val="24"/>
              </w:rPr>
              <w:t xml:space="preserve"> agricole </w:t>
            </w:r>
            <w:r w:rsidR="008922DA" w:rsidRPr="00DD5FB8">
              <w:rPr>
                <w:rFonts w:ascii="Times New Roman" w:hAnsi="Times New Roman"/>
                <w:color w:val="000000" w:themeColor="text1"/>
                <w:sz w:val="24"/>
                <w:szCs w:val="24"/>
              </w:rPr>
              <w:t>après</w:t>
            </w:r>
            <w:r w:rsidR="000B5B9E" w:rsidRPr="00DD5FB8">
              <w:rPr>
                <w:rFonts w:ascii="Times New Roman" w:hAnsi="Times New Roman"/>
                <w:color w:val="000000" w:themeColor="text1"/>
                <w:sz w:val="24"/>
                <w:szCs w:val="24"/>
              </w:rPr>
              <w:t xml:space="preserve"> les récoltes</w:t>
            </w:r>
            <w:r w:rsidR="00C612B2" w:rsidRPr="00DD5FB8">
              <w:rPr>
                <w:rFonts w:ascii="Times New Roman" w:hAnsi="Times New Roman"/>
                <w:color w:val="000000" w:themeColor="text1"/>
                <w:sz w:val="24"/>
                <w:szCs w:val="24"/>
              </w:rPr>
              <w:t> ;</w:t>
            </w:r>
          </w:p>
          <w:p w:rsidR="00C612B2" w:rsidRPr="00DD5FB8" w:rsidRDefault="00C612B2"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Si possib</w:t>
            </w:r>
            <w:r w:rsidR="009A48A3" w:rsidRPr="00DD5FB8">
              <w:rPr>
                <w:rFonts w:ascii="Times New Roman" w:hAnsi="Times New Roman"/>
                <w:color w:val="000000" w:themeColor="text1"/>
                <w:sz w:val="24"/>
                <w:szCs w:val="24"/>
              </w:rPr>
              <w:t>le mettre en place des fermes agro pastorale ;</w:t>
            </w:r>
          </w:p>
        </w:tc>
      </w:tr>
      <w:tr w:rsidR="008922DA" w:rsidRPr="00DD5FB8" w:rsidTr="00DD5FB8">
        <w:trPr>
          <w:trHeight w:val="600"/>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8922DA" w:rsidRPr="00DD5FB8" w:rsidRDefault="008922DA" w:rsidP="00A76F4A">
            <w:pPr>
              <w:pStyle w:val="PargrafodaLista"/>
              <w:spacing w:line="240" w:lineRule="auto"/>
              <w:ind w:right="12"/>
              <w:jc w:val="center"/>
              <w:rPr>
                <w:rFonts w:ascii="Times New Roman" w:hAnsi="Times New Roman"/>
                <w:color w:val="000000" w:themeColor="text1"/>
                <w:sz w:val="24"/>
                <w:szCs w:val="24"/>
              </w:rPr>
            </w:pPr>
          </w:p>
        </w:tc>
        <w:tc>
          <w:tcPr>
            <w:tcW w:w="3827" w:type="dxa"/>
            <w:shd w:val="clear" w:color="auto" w:fill="FFFFFF" w:themeFill="background1"/>
          </w:tcPr>
          <w:p w:rsidR="00A12216" w:rsidRPr="00DD5FB8" w:rsidRDefault="00A12216"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Risque de pollution et eutrophisation des eaux (cours d’eau) et du sol par les eaux de drainage, entraînant aussi une détérioration des conditions de vie des poissons et autres espèces aquatiques ;</w:t>
            </w:r>
          </w:p>
          <w:p w:rsidR="008922DA" w:rsidRPr="00DD5FB8" w:rsidRDefault="00A12216"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Risque d’inondation des périmètres agricoles ;</w:t>
            </w:r>
          </w:p>
        </w:tc>
        <w:tc>
          <w:tcPr>
            <w:tcW w:w="5103" w:type="dxa"/>
            <w:shd w:val="clear" w:color="auto" w:fill="FFFFFF" w:themeFill="background1"/>
            <w:vAlign w:val="center"/>
          </w:tcPr>
          <w:p w:rsidR="00957382" w:rsidRPr="00DD5FB8" w:rsidRDefault="00957382"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Mettre en place un bon dispositif de drainage favoriser une transparence hydrologique ;</w:t>
            </w:r>
          </w:p>
          <w:p w:rsidR="007B0B3F" w:rsidRPr="00DD5FB8" w:rsidRDefault="007B0B3F"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Sensibilisation des acteurs</w:t>
            </w:r>
            <w:r w:rsidRPr="00DD5FB8">
              <w:rPr>
                <w:rFonts w:ascii="Times New Roman" w:eastAsia="MS Mincho" w:hAnsi="Times New Roman"/>
                <w:color w:val="000000" w:themeColor="text1"/>
                <w:sz w:val="24"/>
                <w:szCs w:val="24"/>
              </w:rPr>
              <w:t xml:space="preserve"> </w:t>
            </w:r>
            <w:r w:rsidRPr="00DD5FB8">
              <w:rPr>
                <w:rFonts w:ascii="Times New Roman" w:hAnsi="Times New Roman"/>
                <w:color w:val="000000" w:themeColor="text1"/>
                <w:sz w:val="24"/>
                <w:szCs w:val="24"/>
              </w:rPr>
              <w:t xml:space="preserve">Protection des points d'eau </w:t>
            </w:r>
          </w:p>
          <w:p w:rsidR="00426132" w:rsidRPr="00DD5FB8" w:rsidRDefault="00CB1AF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rPr>
              <w:t xml:space="preserve">Mettre des </w:t>
            </w:r>
            <w:r w:rsidR="00BA2F61" w:rsidRPr="00DD5FB8">
              <w:rPr>
                <w:rFonts w:ascii="Times New Roman" w:hAnsi="Times New Roman"/>
                <w:color w:val="000000" w:themeColor="text1"/>
                <w:sz w:val="24"/>
                <w:szCs w:val="24"/>
              </w:rPr>
              <w:t>digues</w:t>
            </w:r>
            <w:r w:rsidRPr="00DD5FB8">
              <w:rPr>
                <w:rFonts w:ascii="Times New Roman" w:hAnsi="Times New Roman"/>
                <w:color w:val="000000" w:themeColor="text1"/>
                <w:sz w:val="24"/>
                <w:szCs w:val="24"/>
              </w:rPr>
              <w:t xml:space="preserve"> de </w:t>
            </w:r>
            <w:r w:rsidR="00BA2F61" w:rsidRPr="00DD5FB8">
              <w:rPr>
                <w:rFonts w:ascii="Times New Roman" w:hAnsi="Times New Roman"/>
                <w:color w:val="000000" w:themeColor="text1"/>
                <w:sz w:val="24"/>
                <w:szCs w:val="24"/>
              </w:rPr>
              <w:t>rétention d’</w:t>
            </w:r>
            <w:r w:rsidR="005E7FCD" w:rsidRPr="00DD5FB8">
              <w:rPr>
                <w:rFonts w:ascii="Times New Roman" w:hAnsi="Times New Roman"/>
                <w:color w:val="000000" w:themeColor="text1"/>
                <w:sz w:val="24"/>
                <w:szCs w:val="24"/>
              </w:rPr>
              <w:t>eau au niveau des vallées,</w:t>
            </w:r>
            <w:r w:rsidR="00426132" w:rsidRPr="00DD5FB8">
              <w:rPr>
                <w:rFonts w:ascii="Times New Roman" w:hAnsi="Times New Roman"/>
                <w:color w:val="000000" w:themeColor="text1"/>
                <w:sz w:val="24"/>
                <w:szCs w:val="24"/>
                <w:lang w:val="fr-CA"/>
              </w:rPr>
              <w:t xml:space="preserve"> </w:t>
            </w:r>
          </w:p>
          <w:p w:rsidR="00426132" w:rsidRPr="00DD5FB8" w:rsidRDefault="00426132"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r w:rsidRPr="00DD5FB8">
              <w:rPr>
                <w:rFonts w:ascii="Times New Roman" w:hAnsi="Times New Roman"/>
                <w:color w:val="000000" w:themeColor="text1"/>
                <w:sz w:val="24"/>
                <w:szCs w:val="24"/>
                <w:lang w:val="fr-CA"/>
              </w:rPr>
              <w:t>Veiller à l’aménagement des rizières pour éviter les phénomènes d’inondation ;</w:t>
            </w:r>
          </w:p>
          <w:p w:rsidR="00BF05DF" w:rsidRPr="00DD5FB8" w:rsidRDefault="005E7FCD"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Eviter </w:t>
            </w:r>
            <w:r w:rsidR="00D128C5" w:rsidRPr="00DD5FB8">
              <w:rPr>
                <w:rFonts w:ascii="Times New Roman" w:hAnsi="Times New Roman"/>
                <w:color w:val="000000" w:themeColor="text1"/>
                <w:sz w:val="24"/>
                <w:szCs w:val="24"/>
              </w:rPr>
              <w:t>autant que possible que </w:t>
            </w:r>
            <w:r w:rsidR="00BF05DF" w:rsidRPr="00DD5FB8">
              <w:rPr>
                <w:rFonts w:ascii="Times New Roman" w:hAnsi="Times New Roman"/>
                <w:color w:val="000000" w:themeColor="text1"/>
                <w:sz w:val="24"/>
                <w:szCs w:val="24"/>
              </w:rPr>
              <w:t>les eaux chargées</w:t>
            </w:r>
            <w:r w:rsidR="00D128C5" w:rsidRPr="00DD5FB8">
              <w:rPr>
                <w:rFonts w:ascii="Times New Roman" w:hAnsi="Times New Roman"/>
                <w:color w:val="000000" w:themeColor="text1"/>
                <w:sz w:val="24"/>
                <w:szCs w:val="24"/>
              </w:rPr>
              <w:t xml:space="preserve"> de </w:t>
            </w:r>
            <w:r w:rsidR="004B71C0" w:rsidRPr="00DD5FB8">
              <w:rPr>
                <w:rFonts w:ascii="Times New Roman" w:hAnsi="Times New Roman"/>
                <w:color w:val="000000" w:themeColor="text1"/>
                <w:sz w:val="24"/>
                <w:szCs w:val="24"/>
              </w:rPr>
              <w:t xml:space="preserve">polluant </w:t>
            </w:r>
            <w:r w:rsidR="00BF05DF" w:rsidRPr="00DD5FB8">
              <w:rPr>
                <w:rFonts w:ascii="Times New Roman" w:hAnsi="Times New Roman"/>
                <w:color w:val="000000" w:themeColor="text1"/>
                <w:sz w:val="24"/>
                <w:szCs w:val="24"/>
              </w:rPr>
              <w:t>se retrouve</w:t>
            </w:r>
            <w:r w:rsidR="00E7007F" w:rsidRPr="00DD5FB8">
              <w:rPr>
                <w:rFonts w:ascii="Times New Roman" w:hAnsi="Times New Roman"/>
                <w:color w:val="000000" w:themeColor="text1"/>
                <w:sz w:val="24"/>
                <w:szCs w:val="24"/>
              </w:rPr>
              <w:t xml:space="preserve"> dans </w:t>
            </w:r>
            <w:r w:rsidR="00BF05DF" w:rsidRPr="00DD5FB8">
              <w:rPr>
                <w:rFonts w:ascii="Times New Roman" w:hAnsi="Times New Roman"/>
                <w:color w:val="000000" w:themeColor="text1"/>
                <w:sz w:val="24"/>
                <w:szCs w:val="24"/>
              </w:rPr>
              <w:t>les cours d’eau ou fleuve ;</w:t>
            </w:r>
          </w:p>
        </w:tc>
      </w:tr>
      <w:tr w:rsidR="00076D03" w:rsidRPr="00DD5FB8" w:rsidTr="00DD5FB8">
        <w:trPr>
          <w:trHeight w:val="78"/>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076D03" w:rsidRPr="00DD5FB8" w:rsidRDefault="00076D03" w:rsidP="00A76F4A">
            <w:pPr>
              <w:pStyle w:val="PargrafodaLista"/>
              <w:spacing w:line="240" w:lineRule="auto"/>
              <w:ind w:right="12"/>
              <w:jc w:val="center"/>
              <w:rPr>
                <w:rFonts w:ascii="Times New Roman" w:hAnsi="Times New Roman"/>
                <w:color w:val="000000" w:themeColor="text1"/>
                <w:sz w:val="24"/>
                <w:szCs w:val="24"/>
              </w:rPr>
            </w:pPr>
          </w:p>
        </w:tc>
        <w:tc>
          <w:tcPr>
            <w:tcW w:w="3827" w:type="dxa"/>
            <w:shd w:val="clear" w:color="auto" w:fill="FFFFFF" w:themeFill="background1"/>
          </w:tcPr>
          <w:p w:rsidR="00B73AAE" w:rsidRPr="00DD5FB8" w:rsidRDefault="00B73AAE" w:rsidP="00A76F4A">
            <w:pPr>
              <w:numPr>
                <w:ilvl w:val="0"/>
                <w:numId w:val="60"/>
              </w:numPr>
              <w:ind w:left="151" w:right="12" w:hanging="142"/>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DD5FB8">
              <w:rPr>
                <w:color w:val="000000" w:themeColor="text1"/>
                <w:lang w:val="fr-CA"/>
              </w:rPr>
              <w:t>Risque de prolifération des IST/VIH SIDA et à la propagation de la Covid 19 à cause de l’</w:t>
            </w:r>
            <w:r w:rsidRPr="00DD5FB8">
              <w:rPr>
                <w:rFonts w:eastAsia="Calibri"/>
                <w:color w:val="000000" w:themeColor="text1"/>
              </w:rPr>
              <w:t>attraction des populations étrangères ;</w:t>
            </w:r>
          </w:p>
          <w:p w:rsidR="00076D03" w:rsidRPr="00DD5FB8" w:rsidRDefault="00076D03"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fr-CA"/>
              </w:rPr>
            </w:pPr>
          </w:p>
        </w:tc>
        <w:tc>
          <w:tcPr>
            <w:tcW w:w="5103" w:type="dxa"/>
            <w:shd w:val="clear" w:color="auto" w:fill="FFFFFF" w:themeFill="background1"/>
            <w:vAlign w:val="center"/>
          </w:tcPr>
          <w:p w:rsidR="00B73AAE" w:rsidRPr="00DD5FB8" w:rsidRDefault="00B73AAE" w:rsidP="00A76F4A">
            <w:pPr>
              <w:pStyle w:val="PargrafodaLista"/>
              <w:numPr>
                <w:ilvl w:val="0"/>
                <w:numId w:val="60"/>
              </w:numPr>
              <w:spacing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Organiser des campagnes de sensibilisation contre le SIDA ;</w:t>
            </w:r>
          </w:p>
          <w:p w:rsidR="000E2036" w:rsidRPr="00DD5FB8" w:rsidRDefault="00B73AAE" w:rsidP="00A76F4A">
            <w:pPr>
              <w:pStyle w:val="PargrafodaLista"/>
              <w:numPr>
                <w:ilvl w:val="0"/>
                <w:numId w:val="60"/>
              </w:numPr>
              <w:spacing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Organiser des campagnes de sensi</w:t>
            </w:r>
            <w:r w:rsidR="000E2036" w:rsidRPr="00DD5FB8">
              <w:rPr>
                <w:rFonts w:ascii="Times New Roman" w:hAnsi="Times New Roman"/>
                <w:color w:val="000000" w:themeColor="text1"/>
                <w:sz w:val="24"/>
                <w:szCs w:val="24"/>
              </w:rPr>
              <w:t xml:space="preserve">bilisation contre la COVID 19 </w:t>
            </w:r>
          </w:p>
          <w:p w:rsidR="00B73AAE" w:rsidRPr="00DD5FB8" w:rsidRDefault="000E2036" w:rsidP="00A76F4A">
            <w:pPr>
              <w:pStyle w:val="PargrafodaLista"/>
              <w:numPr>
                <w:ilvl w:val="0"/>
                <w:numId w:val="60"/>
              </w:numPr>
              <w:spacing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 E</w:t>
            </w:r>
            <w:r w:rsidR="00B73AAE" w:rsidRPr="00DD5FB8">
              <w:rPr>
                <w:rFonts w:ascii="Times New Roman" w:hAnsi="Times New Roman"/>
                <w:color w:val="000000" w:themeColor="text1"/>
                <w:sz w:val="24"/>
                <w:szCs w:val="24"/>
              </w:rPr>
              <w:t>xiger le port de masque obligatoire ;</w:t>
            </w:r>
          </w:p>
          <w:p w:rsidR="00B73AAE" w:rsidRPr="00DD5FB8" w:rsidRDefault="00B73AAE" w:rsidP="00A76F4A">
            <w:pPr>
              <w:pStyle w:val="PargrafodaLista"/>
              <w:numPr>
                <w:ilvl w:val="0"/>
                <w:numId w:val="60"/>
              </w:numPr>
              <w:spacing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Distribuer des préservatifs ;</w:t>
            </w:r>
          </w:p>
          <w:p w:rsidR="00076D03" w:rsidRPr="00DD5FB8" w:rsidRDefault="00B73AAE"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Distribuer des masques de protection</w:t>
            </w:r>
            <w:r w:rsidR="000E2036" w:rsidRPr="00DD5FB8">
              <w:rPr>
                <w:rFonts w:ascii="Times New Roman" w:hAnsi="Times New Roman"/>
                <w:color w:val="000000" w:themeColor="text1"/>
                <w:sz w:val="24"/>
                <w:szCs w:val="24"/>
              </w:rPr>
              <w:t xml:space="preserve"> et des gels antiseptiques ;</w:t>
            </w:r>
          </w:p>
          <w:p w:rsidR="000E2036" w:rsidRPr="00DD5FB8" w:rsidRDefault="000E2036"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Mettre des pictogrammes pour </w:t>
            </w:r>
            <w:r w:rsidR="00CF2BFE" w:rsidRPr="00DD5FB8">
              <w:rPr>
                <w:rFonts w:ascii="Times New Roman" w:hAnsi="Times New Roman"/>
                <w:color w:val="000000" w:themeColor="text1"/>
                <w:sz w:val="24"/>
                <w:szCs w:val="24"/>
              </w:rPr>
              <w:t xml:space="preserve">rappeler les mesures barrières ; </w:t>
            </w:r>
          </w:p>
        </w:tc>
      </w:tr>
      <w:tr w:rsidR="007F271A" w:rsidRPr="00DD5FB8" w:rsidTr="00DD5FB8">
        <w:trPr>
          <w:trHeight w:val="1522"/>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vAlign w:val="center"/>
          </w:tcPr>
          <w:p w:rsidR="007F271A" w:rsidRPr="00DD5FB8" w:rsidRDefault="007F271A" w:rsidP="00A76F4A">
            <w:pPr>
              <w:pStyle w:val="PargrafodaLista"/>
              <w:spacing w:line="240" w:lineRule="auto"/>
              <w:ind w:right="12"/>
              <w:jc w:val="center"/>
              <w:rPr>
                <w:rFonts w:ascii="Times New Roman" w:hAnsi="Times New Roman"/>
                <w:color w:val="000000" w:themeColor="text1"/>
                <w:sz w:val="24"/>
                <w:szCs w:val="24"/>
              </w:rPr>
            </w:pPr>
          </w:p>
        </w:tc>
        <w:tc>
          <w:tcPr>
            <w:tcW w:w="3827" w:type="dxa"/>
            <w:shd w:val="clear" w:color="auto" w:fill="FFFFFF" w:themeFill="background1"/>
          </w:tcPr>
          <w:p w:rsidR="0090666C" w:rsidRPr="00DD5FB8" w:rsidRDefault="0090666C" w:rsidP="00A76F4A">
            <w:pPr>
              <w:numPr>
                <w:ilvl w:val="0"/>
                <w:numId w:val="60"/>
              </w:numPr>
              <w:ind w:left="151" w:right="12" w:hanging="142"/>
              <w:jc w:val="both"/>
              <w:cnfStyle w:val="000000000000" w:firstRow="0" w:lastRow="0" w:firstColumn="0" w:lastColumn="0" w:oddVBand="0" w:evenVBand="0" w:oddHBand="0" w:evenHBand="0" w:firstRowFirstColumn="0" w:firstRowLastColumn="0" w:lastRowFirstColumn="0" w:lastRowLastColumn="0"/>
              <w:rPr>
                <w:color w:val="000000" w:themeColor="text1"/>
                <w:lang w:val="fr-CA"/>
              </w:rPr>
            </w:pPr>
            <w:r w:rsidRPr="00DD5FB8">
              <w:t>Risques d'EAS / HS</w:t>
            </w:r>
          </w:p>
        </w:tc>
        <w:tc>
          <w:tcPr>
            <w:tcW w:w="5103" w:type="dxa"/>
            <w:shd w:val="clear" w:color="auto" w:fill="FFFFFF" w:themeFill="background1"/>
            <w:vAlign w:val="center"/>
          </w:tcPr>
          <w:p w:rsidR="00BE0ED0" w:rsidRPr="00DD5FB8" w:rsidRDefault="00BE0ED0" w:rsidP="00A76F4A">
            <w:pPr>
              <w:pStyle w:val="PargrafodaLista"/>
              <w:numPr>
                <w:ilvl w:val="0"/>
                <w:numId w:val="60"/>
              </w:numPr>
              <w:spacing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Appuyer les programmes intégrant la mobilisation communautaire sur la VBG ; </w:t>
            </w:r>
          </w:p>
          <w:p w:rsidR="00BE0ED0" w:rsidRPr="00DD5FB8" w:rsidRDefault="00BE0ED0" w:rsidP="00A76F4A">
            <w:pPr>
              <w:pStyle w:val="PargrafodaLista"/>
              <w:numPr>
                <w:ilvl w:val="0"/>
                <w:numId w:val="60"/>
              </w:numPr>
              <w:spacing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Appuyer les activités ayant une large représentation de la communauté de base ; </w:t>
            </w:r>
          </w:p>
          <w:p w:rsidR="007F271A" w:rsidRPr="00DD5FB8" w:rsidRDefault="00BE0ED0" w:rsidP="00A76F4A">
            <w:pPr>
              <w:pStyle w:val="PargrafodaLista"/>
              <w:numPr>
                <w:ilvl w:val="0"/>
                <w:numId w:val="60"/>
              </w:numPr>
              <w:spacing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Lutter contre tous types de discrimination </w:t>
            </w:r>
            <w:r w:rsidR="00746942" w:rsidRPr="00DD5FB8">
              <w:rPr>
                <w:rFonts w:ascii="Times New Roman" w:hAnsi="Times New Roman"/>
                <w:color w:val="000000" w:themeColor="text1"/>
                <w:sz w:val="24"/>
                <w:szCs w:val="24"/>
              </w:rPr>
              <w:t>envers</w:t>
            </w:r>
            <w:r w:rsidR="00683833" w:rsidRPr="00DD5FB8">
              <w:rPr>
                <w:rFonts w:ascii="Times New Roman" w:hAnsi="Times New Roman"/>
                <w:color w:val="000000" w:themeColor="text1"/>
                <w:sz w:val="24"/>
                <w:szCs w:val="24"/>
              </w:rPr>
              <w:t xml:space="preserve"> les femmes ou personnes handicapés</w:t>
            </w:r>
            <w:r w:rsidRPr="00DD5FB8">
              <w:rPr>
                <w:rFonts w:ascii="Times New Roman" w:hAnsi="Times New Roman"/>
                <w:color w:val="000000" w:themeColor="text1"/>
                <w:sz w:val="24"/>
                <w:szCs w:val="24"/>
              </w:rPr>
              <w:t> ;</w:t>
            </w:r>
          </w:p>
          <w:p w:rsidR="0090666C" w:rsidRPr="00DD5FB8" w:rsidRDefault="00672614" w:rsidP="00A76F4A">
            <w:pPr>
              <w:pStyle w:val="PargrafodaLista"/>
              <w:numPr>
                <w:ilvl w:val="0"/>
                <w:numId w:val="60"/>
              </w:numPr>
              <w:spacing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Organiser</w:t>
            </w:r>
            <w:r w:rsidR="00BE0ED0" w:rsidRPr="00DD5FB8">
              <w:rPr>
                <w:rFonts w:ascii="Times New Roman" w:hAnsi="Times New Roman"/>
                <w:color w:val="000000" w:themeColor="text1"/>
                <w:sz w:val="24"/>
                <w:szCs w:val="24"/>
              </w:rPr>
              <w:t xml:space="preserve"> des journées de sensibilisation et </w:t>
            </w:r>
            <w:r w:rsidR="00150F91" w:rsidRPr="00DD5FB8">
              <w:rPr>
                <w:rFonts w:ascii="Times New Roman" w:hAnsi="Times New Roman"/>
                <w:color w:val="000000" w:themeColor="text1"/>
                <w:sz w:val="24"/>
                <w:szCs w:val="24"/>
              </w:rPr>
              <w:t>d’information</w:t>
            </w:r>
            <w:r w:rsidR="00BE0ED0" w:rsidRPr="00DD5FB8">
              <w:rPr>
                <w:rFonts w:ascii="Times New Roman" w:hAnsi="Times New Roman"/>
                <w:color w:val="000000" w:themeColor="text1"/>
                <w:sz w:val="24"/>
                <w:szCs w:val="24"/>
              </w:rPr>
              <w:t xml:space="preserve"> </w:t>
            </w:r>
          </w:p>
          <w:p w:rsidR="00196F91" w:rsidRPr="00DD5FB8" w:rsidRDefault="00196F91" w:rsidP="00A76F4A">
            <w:pPr>
              <w:pStyle w:val="PargrafodaLista"/>
              <w:numPr>
                <w:ilvl w:val="0"/>
                <w:numId w:val="60"/>
              </w:numPr>
              <w:spacing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sz w:val="24"/>
                <w:szCs w:val="24"/>
              </w:rPr>
              <w:t>Sensibilisation des travailleurs et de la communauté en matière de risques de VBG, y compris EAS/HS et leurs conséquences, ainsi que les comportements interdits par les travailleurs vers la communauté, et les mécanismes de gestion de plaintes sensible à l’EAS/HS</w:t>
            </w:r>
          </w:p>
          <w:p w:rsidR="0090666C" w:rsidRPr="00DD5FB8" w:rsidRDefault="00CA5C04" w:rsidP="00A76F4A">
            <w:pPr>
              <w:pStyle w:val="PargrafodaLista"/>
              <w:numPr>
                <w:ilvl w:val="0"/>
                <w:numId w:val="60"/>
              </w:numPr>
              <w:spacing w:after="0" w:line="240" w:lineRule="auto"/>
              <w:ind w:left="151" w:right="12" w:hanging="1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D5FB8">
              <w:rPr>
                <w:rFonts w:ascii="Times New Roman" w:hAnsi="Times New Roman"/>
                <w:sz w:val="24"/>
                <w:szCs w:val="24"/>
              </w:rPr>
              <w:t>Les</w:t>
            </w:r>
            <w:r w:rsidR="0090666C" w:rsidRPr="00DD5FB8">
              <w:rPr>
                <w:rFonts w:ascii="Times New Roman" w:hAnsi="Times New Roman"/>
                <w:sz w:val="24"/>
                <w:szCs w:val="24"/>
              </w:rPr>
              <w:t xml:space="preserve"> mesures d'atténuation comme le code de conduite interdisant l'EAS / HS (avec sanctions) pour le personnel associé au projet,</w:t>
            </w:r>
            <w:r w:rsidR="00196F91" w:rsidRPr="00DD5FB8">
              <w:rPr>
                <w:rFonts w:ascii="Times New Roman" w:hAnsi="Times New Roman"/>
                <w:sz w:val="24"/>
                <w:szCs w:val="24"/>
              </w:rPr>
              <w:t xml:space="preserve"> y compris le personnel de l’UGP</w:t>
            </w:r>
            <w:r w:rsidR="0090666C" w:rsidRPr="00DD5FB8">
              <w:rPr>
                <w:rFonts w:ascii="Times New Roman" w:hAnsi="Times New Roman"/>
                <w:sz w:val="24"/>
                <w:szCs w:val="24"/>
              </w:rPr>
              <w:t xml:space="preserve"> la sensibilisation, les MGP sensibles à l'EAS / HS</w:t>
            </w:r>
            <w:r w:rsidR="00196F91" w:rsidRPr="00DD5FB8">
              <w:rPr>
                <w:rFonts w:ascii="Times New Roman" w:hAnsi="Times New Roman"/>
                <w:sz w:val="24"/>
                <w:szCs w:val="24"/>
              </w:rPr>
              <w:t xml:space="preserve"> mis à disposition par le projet. Ainsi que les services de prise en charge pour les potentielles survivantes dans le cas </w:t>
            </w:r>
            <w:r w:rsidR="00196F91" w:rsidRPr="00DD5FB8">
              <w:rPr>
                <w:rFonts w:ascii="Times New Roman" w:hAnsi="Times New Roman"/>
                <w:sz w:val="24"/>
                <w:szCs w:val="24"/>
              </w:rPr>
              <w:lastRenderedPageBreak/>
              <w:t>échéant dans les zones d’intervention du projet.</w:t>
            </w:r>
          </w:p>
        </w:tc>
      </w:tr>
      <w:tr w:rsidR="00DA7577" w:rsidRPr="00DD5FB8" w:rsidTr="00DD5FB8">
        <w:trPr>
          <w:trHeight w:val="552"/>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rsidR="00DA7577" w:rsidRPr="00DD5FB8" w:rsidRDefault="00DA7577" w:rsidP="00A76F4A">
            <w:pPr>
              <w:pStyle w:val="PargrafodaLista"/>
              <w:spacing w:line="240" w:lineRule="auto"/>
              <w:ind w:right="12"/>
              <w:jc w:val="center"/>
              <w:rPr>
                <w:rFonts w:ascii="Times New Roman" w:hAnsi="Times New Roman"/>
                <w:i/>
                <w:color w:val="000000" w:themeColor="text1"/>
                <w:sz w:val="24"/>
                <w:szCs w:val="24"/>
                <w:lang w:eastAsia="en-US"/>
              </w:rPr>
            </w:pPr>
          </w:p>
        </w:tc>
        <w:tc>
          <w:tcPr>
            <w:tcW w:w="3827" w:type="dxa"/>
          </w:tcPr>
          <w:p w:rsidR="00DA7577" w:rsidRPr="00DD5FB8" w:rsidRDefault="00013E28"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u w:val="single"/>
                <w:lang w:val="fr-CA"/>
              </w:rPr>
            </w:pPr>
            <w:r w:rsidRPr="00DD5FB8">
              <w:rPr>
                <w:rFonts w:ascii="Times New Roman" w:hAnsi="Times New Roman"/>
                <w:color w:val="000000" w:themeColor="text1"/>
                <w:sz w:val="24"/>
                <w:szCs w:val="24"/>
                <w:lang w:val="fr-CA"/>
              </w:rPr>
              <w:t xml:space="preserve">-Risque d’augmentation </w:t>
            </w:r>
            <w:r w:rsidR="00385739" w:rsidRPr="00DD5FB8">
              <w:rPr>
                <w:rFonts w:ascii="Times New Roman" w:hAnsi="Times New Roman"/>
                <w:color w:val="000000" w:themeColor="text1"/>
                <w:sz w:val="24"/>
                <w:szCs w:val="24"/>
                <w:lang w:val="fr-CA"/>
              </w:rPr>
              <w:t>des problèmes</w:t>
            </w:r>
            <w:r w:rsidRPr="00DD5FB8">
              <w:rPr>
                <w:rFonts w:ascii="Times New Roman" w:hAnsi="Times New Roman"/>
                <w:color w:val="000000" w:themeColor="text1"/>
                <w:sz w:val="24"/>
                <w:szCs w:val="24"/>
                <w:lang w:val="fr-CA"/>
              </w:rPr>
              <w:t xml:space="preserve"> de commercialisation des pro</w:t>
            </w:r>
            <w:r w:rsidR="00DB723D" w:rsidRPr="00DD5FB8">
              <w:rPr>
                <w:rFonts w:ascii="Times New Roman" w:hAnsi="Times New Roman"/>
                <w:color w:val="000000" w:themeColor="text1"/>
                <w:sz w:val="24"/>
                <w:szCs w:val="24"/>
                <w:lang w:val="fr-CA"/>
              </w:rPr>
              <w:t xml:space="preserve">duits agricoles </w:t>
            </w:r>
            <w:r w:rsidR="00385739" w:rsidRPr="00DD5FB8">
              <w:rPr>
                <w:rFonts w:ascii="Times New Roman" w:hAnsi="Times New Roman"/>
                <w:color w:val="000000" w:themeColor="text1"/>
                <w:sz w:val="24"/>
                <w:szCs w:val="24"/>
                <w:lang w:val="fr-CA"/>
              </w:rPr>
              <w:t>au niveau des marchés locaux;</w:t>
            </w:r>
          </w:p>
        </w:tc>
        <w:tc>
          <w:tcPr>
            <w:tcW w:w="5103" w:type="dxa"/>
          </w:tcPr>
          <w:p w:rsidR="00672614" w:rsidRPr="00DD5FB8" w:rsidRDefault="00DA7577" w:rsidP="00A76F4A">
            <w:pPr>
              <w:pStyle w:val="PargrafodaLista"/>
              <w:numPr>
                <w:ilvl w:val="0"/>
                <w:numId w:val="60"/>
              </w:numPr>
              <w:spacing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DD5FB8">
              <w:rPr>
                <w:rFonts w:ascii="Times New Roman" w:hAnsi="Times New Roman"/>
                <w:color w:val="000000" w:themeColor="text1"/>
                <w:sz w:val="24"/>
                <w:szCs w:val="24"/>
              </w:rPr>
              <w:t xml:space="preserve">Sensibilisation et formation des producteurs (de riz, de maïs, de noix de cajou, de manioc, etc.)  </w:t>
            </w:r>
            <w:r w:rsidR="000C6B55" w:rsidRPr="00DD5FB8">
              <w:rPr>
                <w:rFonts w:ascii="Times New Roman" w:hAnsi="Times New Roman"/>
                <w:color w:val="000000" w:themeColor="text1"/>
                <w:sz w:val="24"/>
                <w:szCs w:val="24"/>
              </w:rPr>
              <w:t xml:space="preserve">à la transformation ces produits pour faciliter son </w:t>
            </w:r>
            <w:r w:rsidR="007F271A" w:rsidRPr="00DD5FB8">
              <w:rPr>
                <w:rFonts w:ascii="Times New Roman" w:hAnsi="Times New Roman"/>
                <w:color w:val="000000" w:themeColor="text1"/>
                <w:sz w:val="24"/>
                <w:szCs w:val="24"/>
              </w:rPr>
              <w:t>écoulement</w:t>
            </w:r>
            <w:r w:rsidR="000C6B55" w:rsidRPr="00DD5FB8">
              <w:rPr>
                <w:rFonts w:ascii="Times New Roman" w:hAnsi="Times New Roman"/>
                <w:color w:val="000000" w:themeColor="text1"/>
                <w:sz w:val="24"/>
                <w:szCs w:val="24"/>
              </w:rPr>
              <w:t> ;</w:t>
            </w:r>
          </w:p>
          <w:p w:rsidR="00DA7577" w:rsidRPr="00DD5FB8" w:rsidRDefault="00426132" w:rsidP="00A76F4A">
            <w:pPr>
              <w:pStyle w:val="PargrafodaLista"/>
              <w:numPr>
                <w:ilvl w:val="0"/>
                <w:numId w:val="60"/>
              </w:numPr>
              <w:spacing w:after="0" w:line="240" w:lineRule="auto"/>
              <w:ind w:left="151" w:right="1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r-CA"/>
              </w:rPr>
            </w:pPr>
            <w:r w:rsidRPr="00DD5FB8">
              <w:rPr>
                <w:rFonts w:ascii="Times New Roman" w:hAnsi="Times New Roman"/>
                <w:sz w:val="24"/>
                <w:szCs w:val="24"/>
                <w:lang w:val="fr-CA"/>
              </w:rPr>
              <w:t>Discuter avec l’ensemble des acteurs intervenant dans la commercialisation des produits agricoles pour mettre en place des mécanismes de valorisation de ces produits pour mieux facilité écoulement.</w:t>
            </w:r>
          </w:p>
        </w:tc>
      </w:tr>
    </w:tbl>
    <w:p w:rsidR="00606B84" w:rsidRDefault="00606B84" w:rsidP="00A76F4A">
      <w:pPr>
        <w:pStyle w:val="Cabealho6"/>
        <w:numPr>
          <w:ilvl w:val="5"/>
          <w:numId w:val="109"/>
        </w:numPr>
        <w:spacing w:line="240" w:lineRule="auto"/>
        <w:ind w:left="0" w:right="12"/>
        <w:jc w:val="center"/>
        <w:rPr>
          <w:rFonts w:ascii="Times New Roman" w:hAnsi="Times New Roman"/>
          <w:b/>
          <w:i w:val="0"/>
          <w:iCs w:val="0"/>
          <w:color w:val="auto"/>
          <w:sz w:val="24"/>
          <w:szCs w:val="24"/>
        </w:rPr>
      </w:pPr>
      <w:r w:rsidRPr="0097333C">
        <w:rPr>
          <w:rFonts w:ascii="Times New Roman" w:hAnsi="Times New Roman"/>
          <w:b/>
          <w:i w:val="0"/>
          <w:iCs w:val="0"/>
          <w:color w:val="auto"/>
          <w:sz w:val="24"/>
          <w:szCs w:val="24"/>
        </w:rPr>
        <w:t>Soutien aux Filets de Sécurité communautaires (la création d’emploi, la réhabilitation des structures de stockage, l’ouverture de routes d’accès aux zones de production agricole, la construction de marchés locaux, etc.)</w:t>
      </w:r>
    </w:p>
    <w:p w:rsidR="00420E8C" w:rsidRPr="00420E8C" w:rsidRDefault="00420E8C" w:rsidP="00420E8C"/>
    <w:p w:rsidR="00FC6E36" w:rsidRDefault="005816FB" w:rsidP="00A76F4A">
      <w:pPr>
        <w:ind w:right="12"/>
        <w:jc w:val="both"/>
      </w:pPr>
      <w:r w:rsidRPr="00A05698">
        <w:t>Ce</w:t>
      </w:r>
      <w:r w:rsidR="009C10C4" w:rsidRPr="00A05698">
        <w:t xml:space="preserve"> composante 2 du projet PUSA, pourrait engendre plusieurs impacts lors de sa mise en </w:t>
      </w:r>
      <w:r w:rsidR="00F57FCA" w:rsidRPr="00A05698">
        <w:t>œuvre et mise en service</w:t>
      </w:r>
      <w:r w:rsidR="002D60C4" w:rsidRPr="00A05698">
        <w:t xml:space="preserve">s </w:t>
      </w:r>
      <w:r w:rsidR="006564A0" w:rsidRPr="00A05698">
        <w:t>des différentes infrastructures</w:t>
      </w:r>
      <w:r w:rsidR="002D60C4" w:rsidRPr="00A05698">
        <w:t xml:space="preserve">. </w:t>
      </w:r>
      <w:r w:rsidR="000109BE" w:rsidRPr="00A05698">
        <w:t xml:space="preserve">Ainsi, pour </w:t>
      </w:r>
      <w:r w:rsidR="006564A0" w:rsidRPr="00A05698">
        <w:t>atténuer</w:t>
      </w:r>
      <w:r w:rsidR="000109BE" w:rsidRPr="00A05698">
        <w:t xml:space="preserve"> </w:t>
      </w:r>
      <w:r w:rsidR="000E1A4B" w:rsidRPr="00A05698">
        <w:t>ces impacts négatifs</w:t>
      </w:r>
      <w:r w:rsidR="006564A0" w:rsidRPr="00A05698">
        <w:t xml:space="preserve"> </w:t>
      </w:r>
      <w:r w:rsidR="00C37E30" w:rsidRPr="00A05698">
        <w:t xml:space="preserve">ou </w:t>
      </w:r>
      <w:r w:rsidR="006564A0" w:rsidRPr="00A05698">
        <w:t>même</w:t>
      </w:r>
      <w:r w:rsidR="00C37E30" w:rsidRPr="00A05698">
        <w:t xml:space="preserve"> les </w:t>
      </w:r>
      <w:r w:rsidR="006564A0" w:rsidRPr="00A05698">
        <w:t>éviter</w:t>
      </w:r>
      <w:r w:rsidR="00FC6E36" w:rsidRPr="00A05698">
        <w:t>, ces mesures ci-dessous ont été proposé</w:t>
      </w:r>
      <w:r w:rsidR="00C37E30" w:rsidRPr="00A05698">
        <w:t>s dans le tableau ci-dessous :</w:t>
      </w:r>
    </w:p>
    <w:p w:rsidR="00056358" w:rsidRPr="00A05698" w:rsidRDefault="00056358" w:rsidP="00A76F4A">
      <w:pPr>
        <w:ind w:right="12"/>
        <w:jc w:val="both"/>
      </w:pPr>
    </w:p>
    <w:tbl>
      <w:tblPr>
        <w:tblpPr w:leftFromText="141" w:rightFromText="141" w:vertAnchor="text" w:tblpXSpec="center"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46"/>
        <w:gridCol w:w="3262"/>
        <w:gridCol w:w="5241"/>
      </w:tblGrid>
      <w:tr w:rsidR="00EA03EB" w:rsidRPr="00420E8C" w:rsidTr="00056358">
        <w:trPr>
          <w:trHeight w:val="326"/>
          <w:tblHeader/>
        </w:trPr>
        <w:tc>
          <w:tcPr>
            <w:tcW w:w="1846" w:type="dxa"/>
            <w:tcBorders>
              <w:top w:val="single" w:sz="4" w:space="0" w:color="auto"/>
            </w:tcBorders>
            <w:shd w:val="clear" w:color="auto" w:fill="E2EFD9" w:themeFill="accent6" w:themeFillTint="33"/>
            <w:vAlign w:val="center"/>
          </w:tcPr>
          <w:p w:rsidR="00EA03EB" w:rsidRPr="00420E8C" w:rsidRDefault="00EA03EB" w:rsidP="00A76F4A">
            <w:pPr>
              <w:ind w:right="12"/>
              <w:jc w:val="center"/>
              <w:rPr>
                <w:rFonts w:eastAsia="Calibri"/>
                <w:b/>
                <w:bCs/>
              </w:rPr>
            </w:pPr>
            <w:r w:rsidRPr="00420E8C">
              <w:rPr>
                <w:rFonts w:eastAsia="Calibri"/>
                <w:b/>
                <w:bCs/>
                <w:color w:val="000000"/>
              </w:rPr>
              <w:t>Activités</w:t>
            </w:r>
          </w:p>
        </w:tc>
        <w:tc>
          <w:tcPr>
            <w:tcW w:w="3262" w:type="dxa"/>
            <w:tcBorders>
              <w:top w:val="single" w:sz="4" w:space="0" w:color="auto"/>
            </w:tcBorders>
            <w:shd w:val="clear" w:color="auto" w:fill="E2EFD9" w:themeFill="accent6" w:themeFillTint="33"/>
            <w:vAlign w:val="center"/>
          </w:tcPr>
          <w:p w:rsidR="00EA03EB" w:rsidRPr="00420E8C" w:rsidRDefault="00EA03EB" w:rsidP="00A76F4A">
            <w:pPr>
              <w:ind w:right="12"/>
              <w:jc w:val="center"/>
              <w:rPr>
                <w:rFonts w:eastAsia="Calibri"/>
                <w:b/>
                <w:bCs/>
              </w:rPr>
            </w:pPr>
            <w:r w:rsidRPr="00420E8C">
              <w:rPr>
                <w:b/>
                <w:color w:val="000000" w:themeColor="text1"/>
              </w:rPr>
              <w:t xml:space="preserve">Impacts négatifs potentiels </w:t>
            </w:r>
          </w:p>
        </w:tc>
        <w:tc>
          <w:tcPr>
            <w:tcW w:w="5241" w:type="dxa"/>
            <w:tcBorders>
              <w:top w:val="single" w:sz="4" w:space="0" w:color="auto"/>
            </w:tcBorders>
            <w:shd w:val="clear" w:color="auto" w:fill="E2EFD9" w:themeFill="accent6" w:themeFillTint="33"/>
            <w:vAlign w:val="center"/>
          </w:tcPr>
          <w:p w:rsidR="00EA03EB" w:rsidRPr="00420E8C" w:rsidRDefault="00EA03EB" w:rsidP="00A76F4A">
            <w:pPr>
              <w:ind w:right="12"/>
              <w:jc w:val="center"/>
              <w:rPr>
                <w:rFonts w:eastAsia="Calibri"/>
                <w:b/>
                <w:bCs/>
                <w:color w:val="000000"/>
              </w:rPr>
            </w:pPr>
            <w:r w:rsidRPr="00420E8C">
              <w:rPr>
                <w:b/>
                <w:color w:val="000000" w:themeColor="text1"/>
              </w:rPr>
              <w:t>Atténuation et/ou évitement</w:t>
            </w:r>
          </w:p>
        </w:tc>
      </w:tr>
      <w:tr w:rsidR="008D6540" w:rsidRPr="00420E8C" w:rsidTr="00056358">
        <w:trPr>
          <w:trHeight w:val="326"/>
        </w:trPr>
        <w:tc>
          <w:tcPr>
            <w:tcW w:w="1846" w:type="dxa"/>
            <w:vMerge w:val="restart"/>
            <w:tcBorders>
              <w:top w:val="single" w:sz="4" w:space="0" w:color="auto"/>
            </w:tcBorders>
            <w:shd w:val="clear" w:color="auto" w:fill="E2EFD9" w:themeFill="accent6" w:themeFillTint="33"/>
            <w:vAlign w:val="center"/>
          </w:tcPr>
          <w:p w:rsidR="008D6540" w:rsidRPr="00420E8C" w:rsidRDefault="008D6540" w:rsidP="00A76F4A">
            <w:pPr>
              <w:ind w:right="12"/>
              <w:jc w:val="center"/>
              <w:rPr>
                <w:rFonts w:eastAsia="Calibri"/>
                <w:b/>
                <w:bCs/>
                <w:color w:val="000000"/>
              </w:rPr>
            </w:pPr>
            <w:r w:rsidRPr="00420E8C">
              <w:rPr>
                <w:b/>
              </w:rPr>
              <w:t xml:space="preserve">Soutien aux Filets de Sécurité communautaires  ( Communs aux différents travaux) </w:t>
            </w:r>
          </w:p>
        </w:tc>
        <w:tc>
          <w:tcPr>
            <w:tcW w:w="8503" w:type="dxa"/>
            <w:gridSpan w:val="2"/>
            <w:tcBorders>
              <w:top w:val="single" w:sz="4" w:space="0" w:color="auto"/>
            </w:tcBorders>
            <w:shd w:val="clear" w:color="auto" w:fill="FFF2CC" w:themeFill="accent4" w:themeFillTint="33"/>
            <w:vAlign w:val="center"/>
          </w:tcPr>
          <w:p w:rsidR="008D6540" w:rsidRPr="00420E8C" w:rsidRDefault="008D6540" w:rsidP="00A76F4A">
            <w:pPr>
              <w:ind w:right="12"/>
              <w:jc w:val="center"/>
              <w:rPr>
                <w:b/>
                <w:color w:val="000000" w:themeColor="text1"/>
              </w:rPr>
            </w:pPr>
            <w:r w:rsidRPr="00420E8C">
              <w:rPr>
                <w:b/>
                <w:color w:val="000000" w:themeColor="text1"/>
              </w:rPr>
              <w:t>En phase de travaux</w:t>
            </w:r>
          </w:p>
        </w:tc>
      </w:tr>
      <w:tr w:rsidR="008D6540" w:rsidRPr="00420E8C" w:rsidTr="00056358">
        <w:trPr>
          <w:trHeight w:val="879"/>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 xml:space="preserve">Risque d’émission de poussières ;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d’émissions de gaz d’échappement</w:t>
            </w:r>
          </w:p>
          <w:p w:rsidR="008D6540" w:rsidRPr="00420E8C" w:rsidRDefault="008D6540" w:rsidP="00A76F4A">
            <w:pPr>
              <w:pStyle w:val="PargrafodaLista"/>
              <w:spacing w:after="0" w:line="240" w:lineRule="auto"/>
              <w:ind w:left="151" w:right="12"/>
              <w:jc w:val="both"/>
              <w:rPr>
                <w:rFonts w:ascii="Times New Roman" w:hAnsi="Times New Roman"/>
                <w:b/>
                <w:color w:val="000000" w:themeColor="text1"/>
                <w:sz w:val="24"/>
                <w:szCs w:val="24"/>
              </w:rPr>
            </w:pP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Bâcher tous les camions de transport des matériaux (sable, carrière, etc.)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Informer et sensibiliser les usagers riverains des sites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Exiger la protection obligatoire du personnel par des EPI adéquats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Bien arroser le sol du chantier afin d’éviter l’envol de poussières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Faire l’entretien des véhicules et engins conformément aux normes en la matière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b/>
                <w:color w:val="000000" w:themeColor="text1"/>
                <w:sz w:val="24"/>
                <w:szCs w:val="24"/>
              </w:rPr>
            </w:pPr>
            <w:r w:rsidRPr="00420E8C">
              <w:rPr>
                <w:rFonts w:ascii="Times New Roman" w:hAnsi="Times New Roman"/>
                <w:color w:val="000000" w:themeColor="text1"/>
                <w:sz w:val="24"/>
                <w:szCs w:val="24"/>
              </w:rPr>
              <w:t>Vérifier que les véhicules (camions) et les engins lourds sont en bon état pour réduire la production de gaz d’échappement</w:t>
            </w:r>
          </w:p>
        </w:tc>
      </w:tr>
      <w:tr w:rsidR="008D6540" w:rsidRPr="00420E8C" w:rsidTr="00056358">
        <w:trPr>
          <w:trHeight w:val="3477"/>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 xml:space="preserve">Risque de pollution des sols dû aux déversements accidentels d’huiles ou d’hydrocarbures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Risques de perturbation du système de drainage naturel des eaux</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pollution des eaux de surface liée aux déversements accidentels de produits d’hydrocarbures</w:t>
            </w:r>
          </w:p>
          <w:p w:rsidR="008D6540" w:rsidRPr="00420E8C" w:rsidRDefault="008D6540" w:rsidP="00A76F4A">
            <w:pPr>
              <w:pStyle w:val="PargrafodaLista"/>
              <w:spacing w:after="0" w:line="240" w:lineRule="auto"/>
              <w:ind w:left="151" w:right="12"/>
              <w:jc w:val="both"/>
              <w:rPr>
                <w:rFonts w:ascii="Times New Roman" w:hAnsi="Times New Roman"/>
                <w:b/>
                <w:color w:val="000000" w:themeColor="text1"/>
                <w:sz w:val="24"/>
                <w:szCs w:val="24"/>
              </w:rPr>
            </w:pP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Veiller à la collecte et l’enlèvement réguliers des gravats et des déchets issus du chantier ;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Prévoir un système d’évacuation des eaux usées et des eaux de pluies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Assurer une gestion écologique des déchets de chantier (solides et liquides)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Sensibiliser le personnel de travaux sur la gestion des déchets de chantier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Mettre en place un dallage en béton ou un bac de rétention pour stockage des huiles usées sur site. La quantité stockée ne devra pas aussi dépasser 20 litres et une durée d’une semaine au niveau du chantier.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Assainir les bases de chantier régulièrement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Stocker toutes les matières polluantes (huiles usées, peinture, etc.) dans des bacs de rétention dans un local bien étanche ;</w:t>
            </w:r>
          </w:p>
        </w:tc>
      </w:tr>
      <w:tr w:rsidR="008D6540" w:rsidRPr="00420E8C" w:rsidTr="00056358">
        <w:trPr>
          <w:trHeight w:val="326"/>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de perte relativement faible de végétation et de la faune</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de modification de l’aspect du paysage ;</w:t>
            </w: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Effectuer une demande d’autorisations spéciales auprès des Services des Eaux et Forêts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Etablir un protocole d’accord pour le reboisement compensatoire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Adopter une configuration intégrant son environnement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Clôturer les sites de chantier</w:t>
            </w:r>
          </w:p>
        </w:tc>
      </w:tr>
      <w:tr w:rsidR="008D6540" w:rsidRPr="00420E8C" w:rsidTr="00056358">
        <w:trPr>
          <w:trHeight w:val="1772"/>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de conflits sociaux liés à des mouvements de revendication au sein de la communauté, si le choix des sites pour l’implantation des infrastructures n’est pas fait sur une base consensuelle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Risques de frustrations au niveau local (non utilisation de la main d’œuvre résidente)</w:t>
            </w:r>
          </w:p>
          <w:p w:rsidR="008D6540" w:rsidRPr="00420E8C" w:rsidRDefault="008D6540" w:rsidP="00A76F4A">
            <w:pPr>
              <w:ind w:left="9" w:right="12"/>
              <w:jc w:val="both"/>
              <w:rPr>
                <w:color w:val="000000" w:themeColor="text1"/>
                <w:lang w:val="fr-CA"/>
              </w:rPr>
            </w:pP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Impliquer et sensibiliser les autorités locales, les chefs de village sur tout le déroulement des activités.</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Respecter les avis et les recommandations des autorités locales et des populations.</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Respecter les engagements pris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Appuyer les programmes intégrant la mobilisation communautaire sur la VBG ;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Recruter en priorité les populations riveraines pour les postes temporaires.</w:t>
            </w:r>
          </w:p>
        </w:tc>
      </w:tr>
      <w:tr w:rsidR="008D6540" w:rsidRPr="00420E8C" w:rsidTr="00056358">
        <w:trPr>
          <w:trHeight w:val="326"/>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d’accidents dus à la circulation des véhicules et camion de chantier ;</w:t>
            </w:r>
          </w:p>
          <w:p w:rsidR="008D6540" w:rsidRPr="00420E8C" w:rsidRDefault="008D6540" w:rsidP="00A76F4A">
            <w:pPr>
              <w:ind w:right="12"/>
              <w:jc w:val="both"/>
              <w:rPr>
                <w:color w:val="000000" w:themeColor="text1"/>
                <w:lang w:val="fr-CA"/>
              </w:rPr>
            </w:pP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Respecter les normes techniques en vigueur concernant l’utilisation des engins lourds et des camions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Réduire la vitesse de circulation à 30 Km/h lors de la traversée d’une agglomération ;</w:t>
            </w:r>
          </w:p>
          <w:p w:rsidR="008D6540" w:rsidRPr="00420E8C" w:rsidRDefault="008D6540" w:rsidP="00A76F4A">
            <w:pPr>
              <w:pStyle w:val="PargrafodaLista"/>
              <w:numPr>
                <w:ilvl w:val="0"/>
                <w:numId w:val="60"/>
              </w:numPr>
              <w:spacing w:after="0" w:line="240" w:lineRule="auto"/>
              <w:ind w:left="151" w:right="12" w:hanging="142"/>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Etablir un périmètre de stationnement au niveau des différents chantiers </w:t>
            </w:r>
          </w:p>
          <w:p w:rsidR="008D6540" w:rsidRPr="00420E8C" w:rsidRDefault="008D6540" w:rsidP="00A76F4A">
            <w:pPr>
              <w:pStyle w:val="PargrafodaLista"/>
              <w:numPr>
                <w:ilvl w:val="0"/>
                <w:numId w:val="60"/>
              </w:numPr>
              <w:spacing w:after="0" w:line="240" w:lineRule="auto"/>
              <w:ind w:left="151" w:right="12" w:hanging="142"/>
              <w:rPr>
                <w:rFonts w:ascii="Times New Roman" w:hAnsi="Times New Roman"/>
                <w:color w:val="000000" w:themeColor="text1"/>
                <w:sz w:val="24"/>
                <w:szCs w:val="24"/>
              </w:rPr>
            </w:pPr>
            <w:r w:rsidRPr="00420E8C">
              <w:rPr>
                <w:rFonts w:ascii="Times New Roman" w:hAnsi="Times New Roman"/>
                <w:color w:val="000000" w:themeColor="text1"/>
                <w:sz w:val="24"/>
                <w:szCs w:val="24"/>
              </w:rPr>
              <w:t>Installer des panneaux de circulation</w:t>
            </w:r>
          </w:p>
          <w:p w:rsidR="008D6540" w:rsidRPr="00420E8C" w:rsidRDefault="008D6540" w:rsidP="00A76F4A">
            <w:pPr>
              <w:pStyle w:val="PargrafodaLista"/>
              <w:numPr>
                <w:ilvl w:val="0"/>
                <w:numId w:val="60"/>
              </w:numPr>
              <w:spacing w:after="0" w:line="240" w:lineRule="auto"/>
              <w:ind w:left="151" w:right="12" w:hanging="142"/>
              <w:rPr>
                <w:rFonts w:ascii="Times New Roman" w:hAnsi="Times New Roman"/>
                <w:color w:val="000000" w:themeColor="text1"/>
                <w:sz w:val="24"/>
                <w:szCs w:val="24"/>
              </w:rPr>
            </w:pPr>
            <w:r w:rsidRPr="00420E8C">
              <w:rPr>
                <w:rFonts w:ascii="Times New Roman" w:hAnsi="Times New Roman"/>
                <w:color w:val="000000" w:themeColor="text1"/>
                <w:sz w:val="24"/>
                <w:szCs w:val="24"/>
              </w:rPr>
              <w:t>Eviter le stationnement prolongé des camions au bord des voies urbaines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Sensibiliser les conducteurs sur les risques d’accidents et au respect de la charge à l’essieu ;</w:t>
            </w:r>
          </w:p>
        </w:tc>
      </w:tr>
      <w:tr w:rsidR="008D6540" w:rsidRPr="00420E8C" w:rsidTr="00056358">
        <w:trPr>
          <w:trHeight w:val="326"/>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 xml:space="preserve">Risque de maladies </w:t>
            </w:r>
            <w:r w:rsidRPr="00420E8C">
              <w:rPr>
                <w:rFonts w:ascii="Times New Roman" w:hAnsi="Times New Roman"/>
                <w:color w:val="000000" w:themeColor="text1"/>
                <w:sz w:val="24"/>
                <w:szCs w:val="24"/>
                <w:lang w:val="fr-CA"/>
              </w:rPr>
              <w:lastRenderedPageBreak/>
              <w:t>professionnelles consécutives à des efforts physiques, des écrasements, des chocs, des gestes répétitifs, des mauvaises postures, etc.</w:t>
            </w: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lastRenderedPageBreak/>
              <w:t>Exiger le port obligatoire des EPI, etc.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lastRenderedPageBreak/>
              <w:t>Sensibiliser les Ouvriers sur les risques professionnels</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Former le personnel aux gestes de premiers secours (SST et Sécurité Incendie)</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Signer un protocole d’accord avec le centre de santé le plus proche</w:t>
            </w:r>
          </w:p>
        </w:tc>
      </w:tr>
      <w:tr w:rsidR="008D6540" w:rsidRPr="00420E8C" w:rsidTr="00056358">
        <w:trPr>
          <w:trHeight w:val="852"/>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numPr>
                <w:ilvl w:val="0"/>
                <w:numId w:val="60"/>
              </w:numPr>
              <w:ind w:left="151" w:right="12" w:hanging="142"/>
              <w:jc w:val="both"/>
              <w:rPr>
                <w:color w:val="000000" w:themeColor="text1"/>
                <w:lang w:val="fr-CA"/>
              </w:rPr>
            </w:pPr>
            <w:r w:rsidRPr="00420E8C">
              <w:rPr>
                <w:color w:val="000000" w:themeColor="text1"/>
                <w:lang w:val="fr-CA"/>
              </w:rPr>
              <w:t>Risque de prolifération des IST/VIH SIDA et à la propagation de la Covid 19 à cause de l’</w:t>
            </w:r>
            <w:r w:rsidRPr="00420E8C">
              <w:rPr>
                <w:rFonts w:eastAsia="Calibri"/>
                <w:color w:val="000000" w:themeColor="text1"/>
              </w:rPr>
              <w:t>attraction des populations étrangères et des déplacements des populations locaux;</w:t>
            </w: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Organiser des campagnes de sensibilisation contre le SIDA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Organiser des campagnes de sensibilisation contre la COVID 19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Exiger le port de masque obligatoire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Distribuer des préservatifs ;</w:t>
            </w:r>
          </w:p>
          <w:p w:rsidR="008D6540" w:rsidRPr="00420E8C" w:rsidRDefault="008D6540" w:rsidP="00A76F4A">
            <w:pPr>
              <w:pStyle w:val="PargrafodaLista"/>
              <w:numPr>
                <w:ilvl w:val="0"/>
                <w:numId w:val="60"/>
              </w:numPr>
              <w:spacing w:after="0" w:line="240" w:lineRule="auto"/>
              <w:ind w:left="151" w:right="12" w:hanging="142"/>
              <w:rPr>
                <w:rFonts w:ascii="Times New Roman" w:hAnsi="Times New Roman"/>
                <w:color w:val="000000" w:themeColor="text1"/>
                <w:sz w:val="24"/>
                <w:szCs w:val="24"/>
              </w:rPr>
            </w:pPr>
            <w:r w:rsidRPr="00420E8C">
              <w:rPr>
                <w:rFonts w:ascii="Times New Roman" w:hAnsi="Times New Roman"/>
                <w:color w:val="000000" w:themeColor="text1"/>
                <w:sz w:val="24"/>
                <w:szCs w:val="24"/>
              </w:rPr>
              <w:t>Distribuer des masques de protection et des gels antiseptiques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Mettre des pictogrammes pour rappeler les mesures barrières ;</w:t>
            </w:r>
          </w:p>
        </w:tc>
      </w:tr>
      <w:tr w:rsidR="008D6540" w:rsidRPr="00420E8C" w:rsidTr="00056358">
        <w:trPr>
          <w:trHeight w:val="852"/>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numPr>
                <w:ilvl w:val="0"/>
                <w:numId w:val="60"/>
              </w:numPr>
              <w:ind w:left="151" w:right="12" w:hanging="142"/>
              <w:jc w:val="both"/>
              <w:rPr>
                <w:color w:val="000000" w:themeColor="text1"/>
                <w:lang w:val="fr-CA"/>
              </w:rPr>
            </w:pPr>
            <w:r w:rsidRPr="00420E8C">
              <w:rPr>
                <w:color w:val="000000" w:themeColor="text1"/>
                <w:lang w:val="fr-CA"/>
              </w:rPr>
              <w:t>Risque la violence basée sur le Genre, abus et exploitation sexuelle </w:t>
            </w:r>
            <w:r w:rsidRPr="00420E8C">
              <w:t>;</w:t>
            </w: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Respecter le règlement intérieur des chantiers, ainsi que le code de conduite</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Appuyer les programmes intégrant la mobilisation communautaire sur la VBG ;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Appuyer les activités ayant une large représentation de la communauté de base ;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Lutter contre tous types de discrimination de genre ;</w:t>
            </w:r>
          </w:p>
        </w:tc>
      </w:tr>
      <w:tr w:rsidR="008D6540" w:rsidRPr="00420E8C" w:rsidTr="00056358">
        <w:trPr>
          <w:trHeight w:val="852"/>
        </w:trPr>
        <w:tc>
          <w:tcPr>
            <w:tcW w:w="1846" w:type="dxa"/>
            <w:vMerge w:val="restart"/>
            <w:shd w:val="clear" w:color="auto" w:fill="E2EFD9" w:themeFill="accent6" w:themeFillTint="33"/>
            <w:vAlign w:val="center"/>
          </w:tcPr>
          <w:p w:rsidR="008D6540" w:rsidRPr="00420E8C" w:rsidRDefault="008D6540" w:rsidP="00A76F4A">
            <w:pPr>
              <w:ind w:right="12"/>
              <w:jc w:val="center"/>
              <w:rPr>
                <w:b/>
              </w:rPr>
            </w:pPr>
            <w:r w:rsidRPr="00420E8C">
              <w:rPr>
                <w:b/>
              </w:rPr>
              <w:t>Ouverture de routes d’accès aux zones de production agricole</w:t>
            </w:r>
          </w:p>
        </w:tc>
        <w:tc>
          <w:tcPr>
            <w:tcW w:w="3262"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Risques de gènes et de perturbations de la circulation des véhicules ;</w:t>
            </w: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Respecter les normes techniques en vigueur concernant l’utilisation des engins lourds et des camions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Réduire la vitesse de circulation à 30 Km/h lors de la traversée d’une agglomération ;</w:t>
            </w:r>
          </w:p>
          <w:p w:rsidR="008D6540" w:rsidRPr="00420E8C" w:rsidRDefault="008D6540" w:rsidP="00A76F4A">
            <w:pPr>
              <w:pStyle w:val="PargrafodaLista"/>
              <w:numPr>
                <w:ilvl w:val="0"/>
                <w:numId w:val="60"/>
              </w:numPr>
              <w:spacing w:after="0" w:line="240" w:lineRule="auto"/>
              <w:ind w:left="151" w:right="12" w:hanging="142"/>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Etablir un périmètre de stationnement au niveau des différents chantiers </w:t>
            </w:r>
          </w:p>
          <w:p w:rsidR="008D6540" w:rsidRPr="00420E8C" w:rsidRDefault="008D6540" w:rsidP="00A76F4A">
            <w:pPr>
              <w:pStyle w:val="PargrafodaLista"/>
              <w:numPr>
                <w:ilvl w:val="0"/>
                <w:numId w:val="60"/>
              </w:numPr>
              <w:spacing w:after="0" w:line="240" w:lineRule="auto"/>
              <w:ind w:left="151" w:right="12" w:hanging="142"/>
              <w:rPr>
                <w:rFonts w:ascii="Times New Roman" w:hAnsi="Times New Roman"/>
                <w:color w:val="000000" w:themeColor="text1"/>
                <w:sz w:val="24"/>
                <w:szCs w:val="24"/>
              </w:rPr>
            </w:pPr>
            <w:r w:rsidRPr="00420E8C">
              <w:rPr>
                <w:rFonts w:ascii="Times New Roman" w:hAnsi="Times New Roman"/>
                <w:color w:val="000000" w:themeColor="text1"/>
                <w:sz w:val="24"/>
                <w:szCs w:val="24"/>
              </w:rPr>
              <w:t>Installer des panneaux de circulation</w:t>
            </w:r>
          </w:p>
          <w:p w:rsidR="008D6540" w:rsidRPr="00420E8C" w:rsidRDefault="008D6540" w:rsidP="00A76F4A">
            <w:pPr>
              <w:pStyle w:val="PargrafodaLista"/>
              <w:numPr>
                <w:ilvl w:val="0"/>
                <w:numId w:val="60"/>
              </w:numPr>
              <w:spacing w:after="0" w:line="240" w:lineRule="auto"/>
              <w:ind w:left="151" w:right="12" w:hanging="142"/>
              <w:rPr>
                <w:rFonts w:ascii="Times New Roman" w:hAnsi="Times New Roman"/>
                <w:color w:val="000000" w:themeColor="text1"/>
                <w:sz w:val="24"/>
                <w:szCs w:val="24"/>
              </w:rPr>
            </w:pPr>
            <w:r w:rsidRPr="00420E8C">
              <w:rPr>
                <w:rFonts w:ascii="Times New Roman" w:hAnsi="Times New Roman"/>
                <w:color w:val="000000" w:themeColor="text1"/>
                <w:sz w:val="24"/>
                <w:szCs w:val="24"/>
              </w:rPr>
              <w:t>Eviter le stationnement prolongé des camions au bord des voies urbaines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Sensibiliser les conducteurs sur les risques d’accidents et au respect de la charge à l’essieu ;</w:t>
            </w:r>
          </w:p>
        </w:tc>
      </w:tr>
      <w:tr w:rsidR="008D6540" w:rsidRPr="00420E8C" w:rsidTr="00056358">
        <w:trPr>
          <w:trHeight w:val="852"/>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ind w:right="12"/>
              <w:jc w:val="both"/>
              <w:rPr>
                <w:color w:val="000000" w:themeColor="text1"/>
                <w:lang w:val="fr-CA"/>
              </w:rPr>
            </w:pPr>
            <w:r w:rsidRPr="00420E8C">
              <w:rPr>
                <w:color w:val="000000" w:themeColor="text1"/>
                <w:lang w:val="fr-CA"/>
              </w:rPr>
              <w:t>-Risque de perte relativement</w:t>
            </w:r>
          </w:p>
          <w:p w:rsidR="008D6540" w:rsidRPr="00420E8C" w:rsidRDefault="008D6540" w:rsidP="00A76F4A">
            <w:pPr>
              <w:ind w:right="12"/>
              <w:jc w:val="both"/>
              <w:rPr>
                <w:color w:val="000000" w:themeColor="text1"/>
                <w:lang w:val="fr-CA"/>
              </w:rPr>
            </w:pPr>
            <w:r w:rsidRPr="00420E8C">
              <w:rPr>
                <w:color w:val="000000" w:themeColor="text1"/>
                <w:lang w:val="fr-CA"/>
              </w:rPr>
              <w:t>-Faible de végétation et de la faune Risque de migration des espèces avifaunes.</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de destruction des niches écologiques</w:t>
            </w: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Effectuer une demande d’autorisations spéciales auprès des Services des Eaux et Forêts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Etablir un protocole d’accord pour le reboisement compensatoire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Adopter une configuration intégrant son environnement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Clôturer les sites de chantier</w:t>
            </w:r>
          </w:p>
          <w:p w:rsidR="008D6540" w:rsidRPr="00420E8C" w:rsidRDefault="008D6540" w:rsidP="00A76F4A">
            <w:pPr>
              <w:ind w:right="12"/>
            </w:pPr>
            <w:r w:rsidRPr="00420E8C">
              <w:t>- Sécuriser les mares et les parcours du bétail dans la zone ;</w:t>
            </w:r>
          </w:p>
          <w:p w:rsidR="008D6540" w:rsidRPr="00420E8C" w:rsidRDefault="008D6540" w:rsidP="00A76F4A">
            <w:pPr>
              <w:ind w:right="12"/>
            </w:pPr>
            <w:r w:rsidRPr="00420E8C">
              <w:t>- Eviter et interdire autant que possible de tuer ou de détruire l’habitat naturel ;</w:t>
            </w:r>
          </w:p>
          <w:p w:rsidR="008D6540" w:rsidRPr="00420E8C" w:rsidRDefault="008D6540" w:rsidP="00A76F4A">
            <w:pPr>
              <w:ind w:right="12"/>
            </w:pPr>
            <w:r w:rsidRPr="00420E8C">
              <w:t xml:space="preserve">- Organiser des campagnes de sensibilisation avec </w:t>
            </w:r>
            <w:r w:rsidRPr="00420E8C">
              <w:lastRenderedPageBreak/>
              <w:t>les éleveurs pour éviter les risques d’accident de bétails ;</w:t>
            </w:r>
          </w:p>
          <w:p w:rsidR="008D6540" w:rsidRPr="00420E8C" w:rsidRDefault="008D6540" w:rsidP="00A76F4A">
            <w:pPr>
              <w:ind w:right="12"/>
            </w:pPr>
            <w:r w:rsidRPr="00420E8C">
              <w:t xml:space="preserve">- Mettre en place des panneaux de prévention contre les accidents de bétails ;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sz w:val="24"/>
                <w:szCs w:val="24"/>
              </w:rPr>
              <w:t>Informer et sensibiliser les conducteurs des camions et des engins par rapport à la présence des animaux sur l’axe</w:t>
            </w:r>
          </w:p>
        </w:tc>
      </w:tr>
      <w:tr w:rsidR="008D6540" w:rsidRPr="00420E8C" w:rsidTr="00056358">
        <w:trPr>
          <w:trHeight w:val="852"/>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 xml:space="preserve">Risque de pollution des sols dû aux déversements accidentels d’huiles ou d’hydrocarbures </w:t>
            </w:r>
          </w:p>
        </w:tc>
        <w:tc>
          <w:tcPr>
            <w:tcW w:w="5241" w:type="dxa"/>
            <w:tcBorders>
              <w:top w:val="single" w:sz="4" w:space="0" w:color="auto"/>
            </w:tcBorders>
            <w:shd w:val="clear" w:color="auto" w:fill="FFFFFF" w:themeFill="background1"/>
            <w:vAlign w:val="center"/>
          </w:tcPr>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Sensibiliser le personnel de travaux sur la gestion des déchets de chantier </w:t>
            </w:r>
          </w:p>
          <w:p w:rsidR="008D6540" w:rsidRPr="00420E8C" w:rsidRDefault="008D6540"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Mettre en place un dallage en béton ou un bac de rétention pour stockage des huiles usées sur site. La quantité stockée ne devra pas aussi dépasser 20 litres et une durée d’une semaine au niveau du chantier. </w:t>
            </w:r>
          </w:p>
        </w:tc>
      </w:tr>
      <w:tr w:rsidR="008D6540" w:rsidRPr="00420E8C" w:rsidTr="00056358">
        <w:trPr>
          <w:trHeight w:val="852"/>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ind w:right="12"/>
              <w:rPr>
                <w:color w:val="000000" w:themeColor="text1"/>
                <w:lang w:val="fr-CA"/>
              </w:rPr>
            </w:pPr>
            <w:r w:rsidRPr="00420E8C">
              <w:rPr>
                <w:rFonts w:eastAsia="Calibri"/>
              </w:rPr>
              <w:t>-Nuisances sonores</w:t>
            </w:r>
          </w:p>
        </w:tc>
        <w:tc>
          <w:tcPr>
            <w:tcW w:w="5241" w:type="dxa"/>
            <w:tcBorders>
              <w:top w:val="single" w:sz="4" w:space="0" w:color="auto"/>
            </w:tcBorders>
            <w:shd w:val="clear" w:color="auto" w:fill="FFFFFF" w:themeFill="background1"/>
            <w:vAlign w:val="center"/>
          </w:tcPr>
          <w:p w:rsidR="008D6540" w:rsidRPr="00420E8C" w:rsidRDefault="008D6540" w:rsidP="00A76F4A">
            <w:pPr>
              <w:ind w:right="12"/>
            </w:pPr>
            <w:r w:rsidRPr="00420E8C">
              <w:t xml:space="preserve">- Respecter les seuils sonores admis par rapport au milieu </w:t>
            </w:r>
          </w:p>
          <w:p w:rsidR="008D6540" w:rsidRPr="00420E8C" w:rsidRDefault="008D6540" w:rsidP="00A76F4A">
            <w:pPr>
              <w:ind w:right="12"/>
            </w:pPr>
            <w:r w:rsidRPr="00420E8C">
              <w:t>- Respecter les heures de travail ;</w:t>
            </w:r>
          </w:p>
          <w:p w:rsidR="008D6540" w:rsidRPr="00420E8C" w:rsidRDefault="008D6540" w:rsidP="00A76F4A">
            <w:pPr>
              <w:ind w:right="12"/>
            </w:pPr>
            <w:r w:rsidRPr="00420E8C">
              <w:t>- Limiter les émissions de bruit pendant les heures de repos des populations riveraines ;</w:t>
            </w:r>
          </w:p>
          <w:p w:rsidR="008D6540" w:rsidRPr="00420E8C" w:rsidRDefault="008D6540" w:rsidP="00A76F4A">
            <w:pPr>
              <w:ind w:right="12"/>
            </w:pPr>
            <w:r w:rsidRPr="00420E8C">
              <w:t>- Doter les ouvriers de casques de protection ;</w:t>
            </w:r>
          </w:p>
          <w:p w:rsidR="008D6540" w:rsidRPr="00420E8C" w:rsidRDefault="008D6540" w:rsidP="00A76F4A">
            <w:pPr>
              <w:ind w:right="12"/>
            </w:pPr>
            <w:r w:rsidRPr="00420E8C">
              <w:t>- Mettre en place des panneaux d’indication des niveaux de bruit maximum ;</w:t>
            </w:r>
          </w:p>
          <w:p w:rsidR="008D6540" w:rsidRPr="00420E8C" w:rsidRDefault="008D6540" w:rsidP="00A76F4A">
            <w:pPr>
              <w:ind w:right="12"/>
              <w:jc w:val="both"/>
              <w:rPr>
                <w:color w:val="000000" w:themeColor="text1"/>
              </w:rPr>
            </w:pPr>
            <w:r w:rsidRPr="00420E8C">
              <w:t>-Sensibiliser les ouvriers sur les risques de nuisance sonore ;</w:t>
            </w:r>
          </w:p>
        </w:tc>
      </w:tr>
      <w:tr w:rsidR="008D6540" w:rsidRPr="00420E8C" w:rsidTr="00056358">
        <w:trPr>
          <w:trHeight w:val="852"/>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ind w:right="12"/>
              <w:rPr>
                <w:rFonts w:eastAsia="Calibri"/>
              </w:rPr>
            </w:pPr>
            <w:r w:rsidRPr="00420E8C">
              <w:rPr>
                <w:rFonts w:eastAsia="Calibri"/>
              </w:rPr>
              <w:t>-Risques de perte de terres rizicoles ou des biens des personnes</w:t>
            </w:r>
          </w:p>
        </w:tc>
        <w:tc>
          <w:tcPr>
            <w:tcW w:w="5241" w:type="dxa"/>
            <w:tcBorders>
              <w:top w:val="single" w:sz="4" w:space="0" w:color="auto"/>
            </w:tcBorders>
            <w:shd w:val="clear" w:color="auto" w:fill="FFFFFF" w:themeFill="background1"/>
            <w:vAlign w:val="center"/>
          </w:tcPr>
          <w:p w:rsidR="008D6540" w:rsidRPr="00420E8C" w:rsidRDefault="008D6540" w:rsidP="00A76F4A">
            <w:pPr>
              <w:ind w:right="12"/>
            </w:pPr>
            <w:r w:rsidRPr="00420E8C">
              <w:t>- Recenser et sensibiliser les personnes affectées par le projet ;</w:t>
            </w:r>
          </w:p>
          <w:p w:rsidR="008D6540" w:rsidRPr="00420E8C" w:rsidRDefault="008D6540" w:rsidP="00A76F4A">
            <w:pPr>
              <w:ind w:right="12"/>
            </w:pPr>
            <w:r w:rsidRPr="00420E8C">
              <w:t>- Envisager la compensation financière des pertes ;</w:t>
            </w:r>
          </w:p>
          <w:p w:rsidR="008D6540" w:rsidRPr="00420E8C" w:rsidRDefault="008D6540" w:rsidP="00A76F4A">
            <w:pPr>
              <w:ind w:right="12"/>
            </w:pPr>
            <w:r w:rsidRPr="00420E8C">
              <w:t>- Impliquer les autorités administratives et locales ;</w:t>
            </w:r>
          </w:p>
        </w:tc>
      </w:tr>
      <w:tr w:rsidR="008D6540" w:rsidRPr="00420E8C" w:rsidTr="00056358">
        <w:trPr>
          <w:trHeight w:val="852"/>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ind w:right="12"/>
              <w:rPr>
                <w:rFonts w:eastAsia="Calibri"/>
              </w:rPr>
            </w:pPr>
            <w:r w:rsidRPr="00420E8C">
              <w:rPr>
                <w:rFonts w:eastAsia="Calibri"/>
              </w:rPr>
              <w:t>-Risque d’incendie ou de feu de brousse ;</w:t>
            </w:r>
          </w:p>
        </w:tc>
        <w:tc>
          <w:tcPr>
            <w:tcW w:w="5241" w:type="dxa"/>
            <w:tcBorders>
              <w:top w:val="single" w:sz="4" w:space="0" w:color="auto"/>
            </w:tcBorders>
            <w:shd w:val="clear" w:color="auto" w:fill="FFFFFF" w:themeFill="background1"/>
            <w:vAlign w:val="center"/>
          </w:tcPr>
          <w:p w:rsidR="008D6540" w:rsidRPr="00420E8C" w:rsidRDefault="008D6540" w:rsidP="00A76F4A">
            <w:pPr>
              <w:ind w:right="12"/>
            </w:pPr>
            <w:r w:rsidRPr="00420E8C">
              <w:t>- Sensibiliser les personnels par rapport à l’action de risque de déclencher un feu de brousse ;</w:t>
            </w:r>
          </w:p>
          <w:p w:rsidR="008D6540" w:rsidRPr="00420E8C" w:rsidRDefault="008D6540" w:rsidP="00A76F4A">
            <w:pPr>
              <w:ind w:right="12"/>
            </w:pPr>
            <w:r w:rsidRPr="00420E8C">
              <w:t>- Mettre en place des espaces de repos bétonnés et équipés d’extincteurs ;</w:t>
            </w:r>
          </w:p>
          <w:p w:rsidR="008D6540" w:rsidRPr="00420E8C" w:rsidRDefault="008D6540" w:rsidP="00A76F4A">
            <w:pPr>
              <w:ind w:right="12"/>
            </w:pPr>
            <w:r w:rsidRPr="00420E8C">
              <w:t>- Eviter les zones sensibles au feu ;</w:t>
            </w:r>
          </w:p>
          <w:p w:rsidR="008D6540" w:rsidRPr="00420E8C" w:rsidRDefault="008D6540" w:rsidP="00A76F4A">
            <w:pPr>
              <w:ind w:right="12"/>
            </w:pPr>
            <w:r w:rsidRPr="00420E8C">
              <w:t>- Mettre des panneaux d’interdiction de fumer dans les zones sensibles ;</w:t>
            </w:r>
          </w:p>
        </w:tc>
      </w:tr>
      <w:tr w:rsidR="008D6540" w:rsidRPr="00420E8C" w:rsidTr="00056358">
        <w:trPr>
          <w:trHeight w:val="852"/>
        </w:trPr>
        <w:tc>
          <w:tcPr>
            <w:tcW w:w="1846" w:type="dxa"/>
            <w:vMerge/>
            <w:shd w:val="clear" w:color="auto" w:fill="E2EFD9" w:themeFill="accent6" w:themeFillTint="33"/>
            <w:vAlign w:val="center"/>
          </w:tcPr>
          <w:p w:rsidR="008D6540" w:rsidRPr="00420E8C" w:rsidRDefault="008D6540" w:rsidP="00A76F4A">
            <w:pPr>
              <w:ind w:right="12"/>
              <w:jc w:val="center"/>
              <w:rPr>
                <w:b/>
              </w:rPr>
            </w:pPr>
          </w:p>
        </w:tc>
        <w:tc>
          <w:tcPr>
            <w:tcW w:w="3262" w:type="dxa"/>
            <w:tcBorders>
              <w:top w:val="single" w:sz="4" w:space="0" w:color="auto"/>
            </w:tcBorders>
            <w:shd w:val="clear" w:color="auto" w:fill="FFFFFF" w:themeFill="background1"/>
            <w:vAlign w:val="center"/>
          </w:tcPr>
          <w:p w:rsidR="008D6540" w:rsidRPr="00420E8C" w:rsidRDefault="008D6540" w:rsidP="00A76F4A">
            <w:pPr>
              <w:ind w:right="12"/>
              <w:rPr>
                <w:rFonts w:eastAsia="Calibri"/>
              </w:rPr>
            </w:pPr>
            <w:r w:rsidRPr="00420E8C">
              <w:rPr>
                <w:rFonts w:eastAsia="Calibri"/>
              </w:rPr>
              <w:t>-Risques de perturbation/dégradation des réseaux des concessionnaires (d’eau potable, d’électricité, etc.…)</w:t>
            </w:r>
          </w:p>
        </w:tc>
        <w:tc>
          <w:tcPr>
            <w:tcW w:w="5241" w:type="dxa"/>
            <w:tcBorders>
              <w:top w:val="single" w:sz="4" w:space="0" w:color="auto"/>
            </w:tcBorders>
            <w:shd w:val="clear" w:color="auto" w:fill="FFFFFF" w:themeFill="background1"/>
            <w:vAlign w:val="center"/>
          </w:tcPr>
          <w:p w:rsidR="008D6540" w:rsidRPr="00420E8C" w:rsidRDefault="008D6540" w:rsidP="00A76F4A">
            <w:pPr>
              <w:ind w:right="12"/>
            </w:pPr>
            <w:r w:rsidRPr="00420E8C">
              <w:t>- Impliquer tous les concessionnaires avant et pendant le déroulement des activités,</w:t>
            </w:r>
          </w:p>
          <w:p w:rsidR="008D6540" w:rsidRPr="00420E8C" w:rsidRDefault="008D6540" w:rsidP="00A76F4A">
            <w:pPr>
              <w:ind w:right="12"/>
            </w:pPr>
            <w:r w:rsidRPr="00420E8C">
              <w:t>- Eviter autant que possible de toucher les réseaux d’eau, d’électricité, etc.</w:t>
            </w:r>
          </w:p>
        </w:tc>
      </w:tr>
      <w:tr w:rsidR="002E43B7" w:rsidRPr="00420E8C" w:rsidTr="00056358">
        <w:trPr>
          <w:trHeight w:val="852"/>
        </w:trPr>
        <w:tc>
          <w:tcPr>
            <w:tcW w:w="1846" w:type="dxa"/>
            <w:vMerge w:val="restart"/>
            <w:shd w:val="clear" w:color="auto" w:fill="E2EFD9" w:themeFill="accent6" w:themeFillTint="33"/>
            <w:vAlign w:val="center"/>
          </w:tcPr>
          <w:p w:rsidR="002E43B7" w:rsidRPr="00420E8C" w:rsidRDefault="008D1B47" w:rsidP="00A76F4A">
            <w:pPr>
              <w:ind w:right="12"/>
              <w:jc w:val="center"/>
              <w:rPr>
                <w:b/>
              </w:rPr>
            </w:pPr>
            <w:r w:rsidRPr="00420E8C">
              <w:rPr>
                <w:b/>
              </w:rPr>
              <w:t>L</w:t>
            </w:r>
            <w:r w:rsidR="002E43B7" w:rsidRPr="00420E8C">
              <w:rPr>
                <w:b/>
              </w:rPr>
              <w:t>a</w:t>
            </w:r>
            <w:r w:rsidRPr="00420E8C">
              <w:rPr>
                <w:b/>
              </w:rPr>
              <w:t xml:space="preserve"> mise en service</w:t>
            </w:r>
            <w:r w:rsidR="002E43B7" w:rsidRPr="00420E8C">
              <w:rPr>
                <w:b/>
              </w:rPr>
              <w:t xml:space="preserve"> des structures de stockage, la const</w:t>
            </w:r>
            <w:r w:rsidR="0063530F" w:rsidRPr="00420E8C">
              <w:rPr>
                <w:b/>
              </w:rPr>
              <w:t>ruction de marchés locaux, etc.</w:t>
            </w:r>
          </w:p>
        </w:tc>
        <w:tc>
          <w:tcPr>
            <w:tcW w:w="3262" w:type="dxa"/>
            <w:tcBorders>
              <w:top w:val="single" w:sz="4" w:space="0" w:color="auto"/>
            </w:tcBorders>
            <w:shd w:val="clear" w:color="auto" w:fill="FFFFFF" w:themeFill="background1"/>
            <w:vAlign w:val="center"/>
          </w:tcPr>
          <w:p w:rsidR="002E43B7" w:rsidRPr="00420E8C" w:rsidRDefault="002E43B7" w:rsidP="00A76F4A">
            <w:pPr>
              <w:pStyle w:val="PargrafodaLista"/>
              <w:numPr>
                <w:ilvl w:val="0"/>
                <w:numId w:val="60"/>
              </w:numPr>
              <w:spacing w:line="240" w:lineRule="auto"/>
              <w:ind w:left="151" w:right="12" w:hanging="142"/>
              <w:jc w:val="both"/>
              <w:rPr>
                <w:rFonts w:ascii="Times New Roman" w:hAnsi="Times New Roman"/>
                <w:sz w:val="24"/>
                <w:szCs w:val="24"/>
              </w:rPr>
            </w:pPr>
            <w:r w:rsidRPr="00420E8C">
              <w:rPr>
                <w:rFonts w:ascii="Times New Roman" w:eastAsiaTheme="minorHAnsi" w:hAnsi="Times New Roman"/>
                <w:sz w:val="24"/>
                <w:szCs w:val="24"/>
              </w:rPr>
              <w:t>Risques de perturbation du système de drainage naturel des eaux</w:t>
            </w:r>
          </w:p>
        </w:tc>
        <w:tc>
          <w:tcPr>
            <w:tcW w:w="5241" w:type="dxa"/>
            <w:tcBorders>
              <w:top w:val="single" w:sz="4" w:space="0" w:color="auto"/>
            </w:tcBorders>
            <w:shd w:val="clear" w:color="auto" w:fill="FFFFFF" w:themeFill="background1"/>
            <w:vAlign w:val="center"/>
          </w:tcPr>
          <w:p w:rsidR="002E43B7" w:rsidRPr="00420E8C" w:rsidRDefault="002E43B7" w:rsidP="00A76F4A">
            <w:pPr>
              <w:ind w:right="12"/>
            </w:pPr>
            <w:r w:rsidRPr="00420E8C">
              <w:t>- Sécuriser les ouvrages d’art contre les déchets solides ;</w:t>
            </w:r>
          </w:p>
          <w:p w:rsidR="002E43B7" w:rsidRPr="00420E8C" w:rsidRDefault="002E43B7" w:rsidP="00A76F4A">
            <w:pPr>
              <w:ind w:right="12"/>
            </w:pPr>
            <w:r w:rsidRPr="00420E8C">
              <w:t>- Eviter les phénomènes d’ensablement des ouvrages d’art comme les ponts, les dalots ; les buses, les canaux d’évacuation des eaux, etc. ;</w:t>
            </w:r>
          </w:p>
          <w:p w:rsidR="002E43B7" w:rsidRPr="00420E8C" w:rsidRDefault="002E43B7" w:rsidP="00A76F4A">
            <w:pPr>
              <w:ind w:right="12"/>
              <w:jc w:val="both"/>
            </w:pPr>
            <w:r w:rsidRPr="00420E8C">
              <w:t>-Veiller à l’entretien et à la maintenance périodique et régulière des ouvrages d’art ;</w:t>
            </w:r>
          </w:p>
        </w:tc>
      </w:tr>
      <w:tr w:rsidR="002E43B7" w:rsidRPr="00420E8C" w:rsidTr="00056358">
        <w:trPr>
          <w:trHeight w:val="852"/>
        </w:trPr>
        <w:tc>
          <w:tcPr>
            <w:tcW w:w="1846" w:type="dxa"/>
            <w:vMerge/>
            <w:shd w:val="clear" w:color="auto" w:fill="E2EFD9" w:themeFill="accent6" w:themeFillTint="33"/>
            <w:vAlign w:val="center"/>
          </w:tcPr>
          <w:p w:rsidR="002E43B7" w:rsidRPr="00420E8C" w:rsidRDefault="002E43B7" w:rsidP="00A76F4A">
            <w:pPr>
              <w:ind w:right="12"/>
              <w:jc w:val="center"/>
              <w:rPr>
                <w:b/>
              </w:rPr>
            </w:pPr>
          </w:p>
        </w:tc>
        <w:tc>
          <w:tcPr>
            <w:tcW w:w="3262" w:type="dxa"/>
            <w:tcBorders>
              <w:top w:val="single" w:sz="4" w:space="0" w:color="auto"/>
            </w:tcBorders>
            <w:shd w:val="clear" w:color="auto" w:fill="FFFFFF" w:themeFill="background1"/>
            <w:vAlign w:val="center"/>
          </w:tcPr>
          <w:p w:rsidR="002E43B7" w:rsidRPr="00420E8C" w:rsidRDefault="002E43B7" w:rsidP="00A76F4A">
            <w:pPr>
              <w:pStyle w:val="PargrafodaLista"/>
              <w:numPr>
                <w:ilvl w:val="0"/>
                <w:numId w:val="60"/>
              </w:numPr>
              <w:spacing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de conflits sociaux liés à des mouvements de revendication au sein de la communauté, si le choix des sites pour l’implantation des infrastructures n’est pas fait sur une base consensuelle ;</w:t>
            </w:r>
          </w:p>
        </w:tc>
        <w:tc>
          <w:tcPr>
            <w:tcW w:w="5241" w:type="dxa"/>
            <w:tcBorders>
              <w:top w:val="single" w:sz="4" w:space="0" w:color="auto"/>
            </w:tcBorders>
            <w:shd w:val="clear" w:color="auto" w:fill="FFFFFF" w:themeFill="background1"/>
            <w:vAlign w:val="center"/>
          </w:tcPr>
          <w:p w:rsidR="002E43B7" w:rsidRPr="00420E8C" w:rsidRDefault="002E43B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Impliquer et sensibiliser les autorités locales, les chefs de village sur tout le déroulement des activités.</w:t>
            </w:r>
          </w:p>
          <w:p w:rsidR="002E43B7" w:rsidRPr="00420E8C" w:rsidRDefault="002E43B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Respecter les avis et les recommandations des autorités locales et des populations.</w:t>
            </w:r>
          </w:p>
          <w:p w:rsidR="002E43B7" w:rsidRPr="00420E8C" w:rsidRDefault="002E43B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Respecter les engagements pris </w:t>
            </w:r>
          </w:p>
        </w:tc>
      </w:tr>
      <w:tr w:rsidR="002E43B7" w:rsidRPr="00420E8C" w:rsidTr="00056358">
        <w:trPr>
          <w:trHeight w:val="852"/>
        </w:trPr>
        <w:tc>
          <w:tcPr>
            <w:tcW w:w="1846" w:type="dxa"/>
            <w:vMerge/>
            <w:shd w:val="clear" w:color="auto" w:fill="E2EFD9" w:themeFill="accent6" w:themeFillTint="33"/>
            <w:vAlign w:val="center"/>
          </w:tcPr>
          <w:p w:rsidR="002E43B7" w:rsidRPr="00420E8C" w:rsidRDefault="002E43B7" w:rsidP="00A76F4A">
            <w:pPr>
              <w:ind w:right="12"/>
              <w:jc w:val="center"/>
              <w:rPr>
                <w:b/>
              </w:rPr>
            </w:pPr>
          </w:p>
        </w:tc>
        <w:tc>
          <w:tcPr>
            <w:tcW w:w="3262" w:type="dxa"/>
            <w:tcBorders>
              <w:top w:val="single" w:sz="4" w:space="0" w:color="auto"/>
            </w:tcBorders>
            <w:shd w:val="clear" w:color="auto" w:fill="FFFFFF" w:themeFill="background1"/>
            <w:vAlign w:val="center"/>
          </w:tcPr>
          <w:p w:rsidR="002E43B7" w:rsidRPr="00420E8C" w:rsidRDefault="002E43B7" w:rsidP="00A76F4A">
            <w:pPr>
              <w:pStyle w:val="PargrafodaLista"/>
              <w:numPr>
                <w:ilvl w:val="0"/>
                <w:numId w:val="60"/>
              </w:numPr>
              <w:spacing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Risques de perte de terres au niveau des secteurs concernés pour la réalisation des marchés et des structures de stockage ;</w:t>
            </w:r>
          </w:p>
        </w:tc>
        <w:tc>
          <w:tcPr>
            <w:tcW w:w="5241" w:type="dxa"/>
            <w:tcBorders>
              <w:top w:val="single" w:sz="4" w:space="0" w:color="auto"/>
            </w:tcBorders>
            <w:shd w:val="clear" w:color="auto" w:fill="FFFFFF" w:themeFill="background1"/>
            <w:vAlign w:val="center"/>
          </w:tcPr>
          <w:p w:rsidR="002E43B7" w:rsidRPr="00420E8C" w:rsidRDefault="002E43B7" w:rsidP="00A76F4A">
            <w:pPr>
              <w:ind w:right="12"/>
            </w:pPr>
            <w:r w:rsidRPr="00420E8C">
              <w:t>- Recenser et sensibiliser les personnes affectées par le projet ;</w:t>
            </w:r>
          </w:p>
          <w:p w:rsidR="002E43B7" w:rsidRPr="00420E8C" w:rsidRDefault="002E43B7" w:rsidP="00A76F4A">
            <w:pPr>
              <w:ind w:right="12"/>
            </w:pPr>
            <w:r w:rsidRPr="00420E8C">
              <w:t>- Envisager la compensation financière des pertes ;</w:t>
            </w:r>
          </w:p>
          <w:p w:rsidR="002E43B7" w:rsidRPr="00420E8C" w:rsidRDefault="002E43B7" w:rsidP="00A76F4A">
            <w:pPr>
              <w:ind w:right="12"/>
            </w:pPr>
            <w:r w:rsidRPr="00420E8C">
              <w:t>- Impliquer les autorités administratives et locales ;</w:t>
            </w:r>
          </w:p>
        </w:tc>
      </w:tr>
      <w:tr w:rsidR="002E43B7" w:rsidRPr="00420E8C" w:rsidTr="00056358">
        <w:trPr>
          <w:trHeight w:val="852"/>
        </w:trPr>
        <w:tc>
          <w:tcPr>
            <w:tcW w:w="1846" w:type="dxa"/>
            <w:vMerge/>
            <w:shd w:val="clear" w:color="auto" w:fill="E2EFD9" w:themeFill="accent6" w:themeFillTint="33"/>
            <w:vAlign w:val="center"/>
          </w:tcPr>
          <w:p w:rsidR="002E43B7" w:rsidRPr="00420E8C" w:rsidRDefault="002E43B7" w:rsidP="00A76F4A">
            <w:pPr>
              <w:ind w:right="12"/>
              <w:jc w:val="center"/>
              <w:rPr>
                <w:b/>
              </w:rPr>
            </w:pPr>
          </w:p>
        </w:tc>
        <w:tc>
          <w:tcPr>
            <w:tcW w:w="3262" w:type="dxa"/>
            <w:tcBorders>
              <w:top w:val="single" w:sz="4" w:space="0" w:color="auto"/>
            </w:tcBorders>
            <w:shd w:val="clear" w:color="auto" w:fill="FFFFFF" w:themeFill="background1"/>
            <w:vAlign w:val="center"/>
          </w:tcPr>
          <w:p w:rsidR="002E43B7" w:rsidRPr="00420E8C" w:rsidRDefault="002E43B7" w:rsidP="00A76F4A">
            <w:pPr>
              <w:pStyle w:val="PargrafodaLista"/>
              <w:numPr>
                <w:ilvl w:val="0"/>
                <w:numId w:val="60"/>
              </w:numPr>
              <w:spacing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Risques de gènes et de perturbations de la circulation des véhicules ;</w:t>
            </w:r>
          </w:p>
        </w:tc>
        <w:tc>
          <w:tcPr>
            <w:tcW w:w="5241" w:type="dxa"/>
            <w:tcBorders>
              <w:top w:val="single" w:sz="4" w:space="0" w:color="auto"/>
            </w:tcBorders>
            <w:shd w:val="clear" w:color="auto" w:fill="FFFFFF" w:themeFill="background1"/>
            <w:vAlign w:val="center"/>
          </w:tcPr>
          <w:p w:rsidR="002E43B7" w:rsidRPr="00420E8C" w:rsidRDefault="002E43B7" w:rsidP="00A76F4A">
            <w:pPr>
              <w:ind w:right="12"/>
            </w:pPr>
            <w:r w:rsidRPr="00420E8C">
              <w:t xml:space="preserve">- Etablir un périmètre de sécurité au niveau des différents chantiers </w:t>
            </w:r>
          </w:p>
          <w:p w:rsidR="002E43B7" w:rsidRPr="00420E8C" w:rsidRDefault="002E43B7" w:rsidP="00A76F4A">
            <w:pPr>
              <w:ind w:right="12"/>
            </w:pPr>
            <w:r w:rsidRPr="00420E8C">
              <w:t>- Installer des panneaux de circulation</w:t>
            </w:r>
          </w:p>
          <w:p w:rsidR="002E43B7" w:rsidRPr="00420E8C" w:rsidRDefault="002E43B7" w:rsidP="00A76F4A">
            <w:pPr>
              <w:ind w:right="12"/>
            </w:pPr>
            <w:r w:rsidRPr="00420E8C">
              <w:t>- Eviter le stationnement prolongé des camions au bord des voies d’accès</w:t>
            </w:r>
          </w:p>
          <w:p w:rsidR="002E43B7" w:rsidRPr="00420E8C" w:rsidRDefault="002E43B7" w:rsidP="00A76F4A">
            <w:pPr>
              <w:ind w:right="12"/>
            </w:pPr>
            <w:r w:rsidRPr="00420E8C">
              <w:t>- Exiger le port obligatoire des EPI, etc. ;</w:t>
            </w:r>
          </w:p>
          <w:p w:rsidR="002E43B7" w:rsidRPr="00420E8C" w:rsidRDefault="002E43B7" w:rsidP="00A76F4A">
            <w:pPr>
              <w:ind w:right="12"/>
            </w:pPr>
            <w:r w:rsidRPr="00420E8C">
              <w:t>- Sensibiliser les conducteurs sur les risques professionnels</w:t>
            </w:r>
          </w:p>
        </w:tc>
      </w:tr>
      <w:tr w:rsidR="002E43B7" w:rsidRPr="00420E8C" w:rsidTr="00056358">
        <w:trPr>
          <w:trHeight w:val="67"/>
        </w:trPr>
        <w:tc>
          <w:tcPr>
            <w:tcW w:w="1846" w:type="dxa"/>
            <w:vMerge/>
            <w:shd w:val="clear" w:color="auto" w:fill="E2EFD9" w:themeFill="accent6" w:themeFillTint="33"/>
            <w:vAlign w:val="center"/>
          </w:tcPr>
          <w:p w:rsidR="002E43B7" w:rsidRPr="00420E8C" w:rsidRDefault="002E43B7" w:rsidP="00A76F4A">
            <w:pPr>
              <w:ind w:right="12"/>
              <w:jc w:val="center"/>
              <w:rPr>
                <w:b/>
                <w:u w:val="single"/>
              </w:rPr>
            </w:pPr>
          </w:p>
        </w:tc>
        <w:tc>
          <w:tcPr>
            <w:tcW w:w="8503" w:type="dxa"/>
            <w:gridSpan w:val="2"/>
            <w:tcBorders>
              <w:top w:val="single" w:sz="4" w:space="0" w:color="auto"/>
            </w:tcBorders>
            <w:shd w:val="clear" w:color="auto" w:fill="FFF2CC" w:themeFill="accent4" w:themeFillTint="33"/>
          </w:tcPr>
          <w:p w:rsidR="002E43B7" w:rsidRPr="00420E8C" w:rsidRDefault="002E43B7" w:rsidP="00A76F4A">
            <w:pPr>
              <w:ind w:right="12"/>
              <w:jc w:val="center"/>
              <w:rPr>
                <w:rFonts w:eastAsia="Calibri"/>
                <w:b/>
                <w:bCs/>
                <w:color w:val="000000"/>
              </w:rPr>
            </w:pPr>
            <w:r w:rsidRPr="00420E8C">
              <w:rPr>
                <w:b/>
                <w:color w:val="000000" w:themeColor="text1"/>
              </w:rPr>
              <w:t xml:space="preserve">En phase d’exploitation </w:t>
            </w:r>
          </w:p>
        </w:tc>
      </w:tr>
      <w:tr w:rsidR="002E43B7" w:rsidRPr="00420E8C" w:rsidTr="00056358">
        <w:trPr>
          <w:trHeight w:val="501"/>
        </w:trPr>
        <w:tc>
          <w:tcPr>
            <w:tcW w:w="1846" w:type="dxa"/>
            <w:vMerge w:val="restart"/>
            <w:shd w:val="clear" w:color="auto" w:fill="E2EFD9" w:themeFill="accent6" w:themeFillTint="33"/>
            <w:vAlign w:val="center"/>
          </w:tcPr>
          <w:p w:rsidR="002E43B7" w:rsidRPr="00420E8C" w:rsidRDefault="0063530F" w:rsidP="00A76F4A">
            <w:pPr>
              <w:ind w:right="12"/>
              <w:jc w:val="center"/>
              <w:rPr>
                <w:b/>
                <w:u w:val="single"/>
              </w:rPr>
            </w:pPr>
            <w:r w:rsidRPr="00420E8C">
              <w:rPr>
                <w:b/>
              </w:rPr>
              <w:t xml:space="preserve">la réhabilitation des structures de stockage, la construction de marchés locaux, </w:t>
            </w:r>
            <w:r w:rsidR="00B72399" w:rsidRPr="00420E8C">
              <w:rPr>
                <w:b/>
              </w:rPr>
              <w:t>etc.</w:t>
            </w:r>
          </w:p>
        </w:tc>
        <w:tc>
          <w:tcPr>
            <w:tcW w:w="3262" w:type="dxa"/>
            <w:tcBorders>
              <w:top w:val="single" w:sz="4" w:space="0" w:color="auto"/>
            </w:tcBorders>
            <w:shd w:val="clear" w:color="auto" w:fill="FFFFFF" w:themeFill="background1"/>
          </w:tcPr>
          <w:p w:rsidR="00B2770A" w:rsidRPr="00420E8C" w:rsidRDefault="00B2770A"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-Risques de contaminants de la qualité́ de l’air intérieur des infrastructures</w:t>
            </w:r>
          </w:p>
          <w:p w:rsidR="002E43B7" w:rsidRPr="00420E8C" w:rsidRDefault="00B2770A"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d’infections respiratoires dont l’asthme, les allergies respiratoires, les maux de tête et les nausées</w:t>
            </w:r>
          </w:p>
        </w:tc>
        <w:tc>
          <w:tcPr>
            <w:tcW w:w="5241" w:type="dxa"/>
            <w:tcBorders>
              <w:top w:val="single" w:sz="4" w:space="0" w:color="auto"/>
            </w:tcBorders>
            <w:shd w:val="clear" w:color="auto" w:fill="FFFFFF" w:themeFill="background1"/>
            <w:vAlign w:val="center"/>
          </w:tcPr>
          <w:p w:rsidR="00B2770A" w:rsidRPr="00420E8C" w:rsidRDefault="00B2770A" w:rsidP="00A76F4A">
            <w:pPr>
              <w:ind w:right="12"/>
            </w:pPr>
            <w:r w:rsidRPr="00420E8C">
              <w:t>-Concevoir une bonne aération des modules ;</w:t>
            </w:r>
          </w:p>
          <w:p w:rsidR="00B2770A" w:rsidRPr="00420E8C" w:rsidRDefault="00B2770A" w:rsidP="00A76F4A">
            <w:pPr>
              <w:ind w:right="12"/>
            </w:pPr>
            <w:r w:rsidRPr="00420E8C">
              <w:t>-Optimiser l’orientation des bâtiments par rapport au soleil ;</w:t>
            </w:r>
          </w:p>
          <w:p w:rsidR="00B2770A" w:rsidRPr="00420E8C" w:rsidRDefault="00B2770A" w:rsidP="00A76F4A">
            <w:pPr>
              <w:ind w:right="12"/>
            </w:pPr>
            <w:r w:rsidRPr="00420E8C">
              <w:t>-Collecte et gestion des déchets ;</w:t>
            </w:r>
          </w:p>
          <w:p w:rsidR="002E43B7" w:rsidRPr="00420E8C" w:rsidRDefault="00B2770A" w:rsidP="00A76F4A">
            <w:pPr>
              <w:ind w:right="12"/>
            </w:pPr>
            <w:r w:rsidRPr="00420E8C">
              <w:t xml:space="preserve">-Doter les techniciens de surface d’EPI adéquats. </w:t>
            </w:r>
          </w:p>
        </w:tc>
      </w:tr>
      <w:tr w:rsidR="0063530F" w:rsidRPr="00420E8C" w:rsidTr="00056358">
        <w:trPr>
          <w:trHeight w:val="501"/>
        </w:trPr>
        <w:tc>
          <w:tcPr>
            <w:tcW w:w="1846" w:type="dxa"/>
            <w:vMerge/>
            <w:shd w:val="clear" w:color="auto" w:fill="E2EFD9" w:themeFill="accent6" w:themeFillTint="33"/>
            <w:vAlign w:val="center"/>
          </w:tcPr>
          <w:p w:rsidR="0063530F" w:rsidRPr="00420E8C" w:rsidRDefault="0063530F" w:rsidP="00A76F4A">
            <w:pPr>
              <w:ind w:right="12"/>
              <w:jc w:val="center"/>
              <w:rPr>
                <w:b/>
              </w:rPr>
            </w:pPr>
          </w:p>
        </w:tc>
        <w:tc>
          <w:tcPr>
            <w:tcW w:w="3262" w:type="dxa"/>
            <w:tcBorders>
              <w:top w:val="single" w:sz="4" w:space="0" w:color="auto"/>
            </w:tcBorders>
            <w:shd w:val="clear" w:color="auto" w:fill="FFFFFF" w:themeFill="background1"/>
          </w:tcPr>
          <w:p w:rsidR="0063530F" w:rsidRPr="00420E8C" w:rsidRDefault="0063530F"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de gêner des déchets au niveau des marchés locaux ;</w:t>
            </w:r>
          </w:p>
          <w:p w:rsidR="0063530F" w:rsidRPr="00420E8C" w:rsidRDefault="0063530F" w:rsidP="00A76F4A">
            <w:pPr>
              <w:pStyle w:val="PargrafodaLista"/>
              <w:numPr>
                <w:ilvl w:val="0"/>
                <w:numId w:val="60"/>
              </w:numPr>
              <w:spacing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pollution des eaux de surface due aux productions de déchets solides et liquides ;</w:t>
            </w:r>
          </w:p>
        </w:tc>
        <w:tc>
          <w:tcPr>
            <w:tcW w:w="5241" w:type="dxa"/>
            <w:tcBorders>
              <w:top w:val="single" w:sz="4" w:space="0" w:color="auto"/>
            </w:tcBorders>
            <w:shd w:val="clear" w:color="auto" w:fill="FFFFFF" w:themeFill="background1"/>
            <w:vAlign w:val="center"/>
          </w:tcPr>
          <w:p w:rsidR="0063530F" w:rsidRPr="00420E8C" w:rsidRDefault="0063530F" w:rsidP="00A76F4A">
            <w:pPr>
              <w:ind w:right="12"/>
              <w:rPr>
                <w:color w:val="000000" w:themeColor="text1"/>
              </w:rPr>
            </w:pPr>
            <w:r w:rsidRPr="00420E8C">
              <w:rPr>
                <w:color w:val="000000" w:themeColor="text1"/>
              </w:rPr>
              <w:t>-Mettre en place des systèmes de gestion des déchets solide et liquide ;</w:t>
            </w:r>
          </w:p>
          <w:p w:rsidR="0063530F" w:rsidRPr="00420E8C" w:rsidRDefault="0063530F" w:rsidP="00A76F4A">
            <w:pPr>
              <w:ind w:right="12"/>
              <w:rPr>
                <w:color w:val="000000" w:themeColor="text1"/>
              </w:rPr>
            </w:pPr>
            <w:r w:rsidRPr="00420E8C">
              <w:rPr>
                <w:color w:val="000000" w:themeColor="text1"/>
              </w:rPr>
              <w:t>-Mettre en place et afficher les consignes d’utilisation des toilettes ;</w:t>
            </w:r>
          </w:p>
          <w:p w:rsidR="0063530F" w:rsidRPr="00420E8C" w:rsidRDefault="0063530F" w:rsidP="00A76F4A">
            <w:pPr>
              <w:ind w:right="12"/>
              <w:rPr>
                <w:color w:val="000000" w:themeColor="text1"/>
              </w:rPr>
            </w:pPr>
            <w:r w:rsidRPr="00420E8C">
              <w:rPr>
                <w:color w:val="000000" w:themeColor="text1"/>
              </w:rPr>
              <w:t>-Mettre en place un réseau de collecte des eaux usées et pluviale au niveau des marchés et magasins stockages ;</w:t>
            </w:r>
          </w:p>
          <w:p w:rsidR="0063530F" w:rsidRPr="00420E8C" w:rsidRDefault="0063530F" w:rsidP="00A76F4A">
            <w:pPr>
              <w:ind w:right="12"/>
              <w:rPr>
                <w:color w:val="000000" w:themeColor="text1"/>
              </w:rPr>
            </w:pPr>
            <w:r w:rsidRPr="00420E8C">
              <w:rPr>
                <w:color w:val="000000" w:themeColor="text1"/>
              </w:rPr>
              <w:t>-Procéder à l’enlèvement régulier des poubelles ;</w:t>
            </w:r>
          </w:p>
          <w:p w:rsidR="0063530F" w:rsidRPr="00420E8C" w:rsidRDefault="0063530F"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Accompagner l’institution pour mettre en place un système durable de gestion de déchets ; </w:t>
            </w:r>
          </w:p>
        </w:tc>
      </w:tr>
      <w:tr w:rsidR="0063530F" w:rsidRPr="00420E8C" w:rsidTr="00056358">
        <w:trPr>
          <w:trHeight w:val="515"/>
        </w:trPr>
        <w:tc>
          <w:tcPr>
            <w:tcW w:w="1846" w:type="dxa"/>
            <w:vMerge/>
            <w:shd w:val="clear" w:color="auto" w:fill="E2EFD9" w:themeFill="accent6" w:themeFillTint="33"/>
            <w:vAlign w:val="center"/>
          </w:tcPr>
          <w:p w:rsidR="0063530F" w:rsidRPr="00420E8C" w:rsidRDefault="0063530F" w:rsidP="00A76F4A">
            <w:pPr>
              <w:ind w:right="12"/>
              <w:jc w:val="center"/>
              <w:rPr>
                <w:b/>
                <w:u w:val="single"/>
              </w:rPr>
            </w:pPr>
          </w:p>
        </w:tc>
        <w:tc>
          <w:tcPr>
            <w:tcW w:w="3262" w:type="dxa"/>
            <w:tcBorders>
              <w:top w:val="single" w:sz="4" w:space="0" w:color="auto"/>
            </w:tcBorders>
            <w:shd w:val="clear" w:color="auto" w:fill="FFFFFF" w:themeFill="background1"/>
          </w:tcPr>
          <w:p w:rsidR="0063530F" w:rsidRPr="00420E8C" w:rsidRDefault="0063530F"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d’incendie au niveau des infrastructures de stockage et des marchés locaux ;</w:t>
            </w:r>
          </w:p>
          <w:p w:rsidR="0063530F" w:rsidRPr="00420E8C" w:rsidRDefault="0063530F"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 d’électrocution;</w:t>
            </w:r>
          </w:p>
        </w:tc>
        <w:tc>
          <w:tcPr>
            <w:tcW w:w="5241" w:type="dxa"/>
            <w:tcBorders>
              <w:top w:val="single" w:sz="4" w:space="0" w:color="auto"/>
            </w:tcBorders>
            <w:shd w:val="clear" w:color="auto" w:fill="FFFFFF" w:themeFill="background1"/>
            <w:vAlign w:val="center"/>
          </w:tcPr>
          <w:p w:rsidR="0063530F" w:rsidRPr="00420E8C" w:rsidRDefault="0063530F" w:rsidP="00A76F4A">
            <w:pPr>
              <w:ind w:right="12"/>
              <w:rPr>
                <w:color w:val="000000" w:themeColor="text1"/>
              </w:rPr>
            </w:pPr>
            <w:r w:rsidRPr="00420E8C">
              <w:rPr>
                <w:color w:val="000000" w:themeColor="text1"/>
              </w:rPr>
              <w:t>- Sensibiliser les ouvriers sur les risques d’électrocution,</w:t>
            </w:r>
          </w:p>
          <w:p w:rsidR="0063530F" w:rsidRPr="00420E8C" w:rsidRDefault="0063530F" w:rsidP="00A76F4A">
            <w:pPr>
              <w:ind w:right="12"/>
              <w:rPr>
                <w:color w:val="000000" w:themeColor="text1"/>
              </w:rPr>
            </w:pPr>
            <w:r w:rsidRPr="00420E8C">
              <w:rPr>
                <w:color w:val="000000" w:themeColor="text1"/>
              </w:rPr>
              <w:t>- Contrôler l’ensemble du réseau d’électricité ;</w:t>
            </w:r>
          </w:p>
          <w:p w:rsidR="0063530F" w:rsidRPr="00420E8C" w:rsidRDefault="0063530F" w:rsidP="00A76F4A">
            <w:pPr>
              <w:ind w:right="12"/>
              <w:rPr>
                <w:color w:val="000000" w:themeColor="text1"/>
              </w:rPr>
            </w:pPr>
            <w:r w:rsidRPr="00420E8C">
              <w:rPr>
                <w:color w:val="000000" w:themeColor="text1"/>
              </w:rPr>
              <w:t>- Équiper les ouvriers en EPI adapter ;</w:t>
            </w:r>
          </w:p>
          <w:p w:rsidR="00B2770A" w:rsidRPr="00420E8C" w:rsidRDefault="0063530F" w:rsidP="00A76F4A">
            <w:pPr>
              <w:ind w:right="12"/>
              <w:rPr>
                <w:color w:val="000000" w:themeColor="text1"/>
              </w:rPr>
            </w:pPr>
            <w:r w:rsidRPr="00420E8C">
              <w:rPr>
                <w:color w:val="000000" w:themeColor="text1"/>
              </w:rPr>
              <w:t>- Éviter les zones sensibles au feu ;</w:t>
            </w:r>
          </w:p>
          <w:p w:rsidR="0063530F" w:rsidRPr="00420E8C" w:rsidRDefault="0063530F" w:rsidP="00A76F4A">
            <w:pPr>
              <w:ind w:right="12"/>
              <w:rPr>
                <w:color w:val="000000" w:themeColor="text1"/>
              </w:rPr>
            </w:pPr>
            <w:r w:rsidRPr="00420E8C">
              <w:rPr>
                <w:b/>
                <w:color w:val="000000" w:themeColor="text1"/>
              </w:rPr>
              <w:t xml:space="preserve">- </w:t>
            </w:r>
            <w:r w:rsidRPr="00420E8C">
              <w:rPr>
                <w:color w:val="000000" w:themeColor="text1"/>
              </w:rPr>
              <w:t>Mettre des panneaux d’interdiction de fumer dans les zones sensibles ;</w:t>
            </w:r>
          </w:p>
        </w:tc>
      </w:tr>
      <w:tr w:rsidR="008D1B47" w:rsidRPr="00420E8C" w:rsidTr="00056358">
        <w:trPr>
          <w:trHeight w:val="515"/>
        </w:trPr>
        <w:tc>
          <w:tcPr>
            <w:tcW w:w="1846" w:type="dxa"/>
            <w:vMerge w:val="restart"/>
            <w:shd w:val="clear" w:color="auto" w:fill="E2EFD9" w:themeFill="accent6" w:themeFillTint="33"/>
            <w:vAlign w:val="center"/>
          </w:tcPr>
          <w:p w:rsidR="008D1B47" w:rsidRPr="00420E8C" w:rsidRDefault="00AA2F14" w:rsidP="00A76F4A">
            <w:pPr>
              <w:ind w:right="12"/>
              <w:jc w:val="center"/>
              <w:rPr>
                <w:b/>
                <w:u w:val="single"/>
              </w:rPr>
            </w:pPr>
            <w:r w:rsidRPr="00420E8C">
              <w:rPr>
                <w:b/>
              </w:rPr>
              <w:t xml:space="preserve">Ouverture de routes d’accès aux zones de production </w:t>
            </w:r>
            <w:r w:rsidRPr="00420E8C">
              <w:rPr>
                <w:b/>
              </w:rPr>
              <w:lastRenderedPageBreak/>
              <w:t>agricole</w:t>
            </w:r>
          </w:p>
        </w:tc>
        <w:tc>
          <w:tcPr>
            <w:tcW w:w="3262" w:type="dxa"/>
            <w:tcBorders>
              <w:top w:val="single" w:sz="4" w:space="0" w:color="auto"/>
            </w:tcBorders>
            <w:shd w:val="clear" w:color="auto" w:fill="FFFFFF" w:themeFill="background1"/>
          </w:tcPr>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lastRenderedPageBreak/>
              <w:t xml:space="preserve">Risques d’accidents au niveau des cheptels et les hommes liés au passage des véhicules ; </w:t>
            </w:r>
          </w:p>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 xml:space="preserve">Recrudescence des maladies </w:t>
            </w:r>
            <w:r w:rsidRPr="00420E8C">
              <w:rPr>
                <w:rFonts w:ascii="Times New Roman" w:hAnsi="Times New Roman"/>
                <w:color w:val="000000" w:themeColor="text1"/>
                <w:sz w:val="24"/>
                <w:szCs w:val="24"/>
                <w:lang w:val="fr-CA"/>
              </w:rPr>
              <w:lastRenderedPageBreak/>
              <w:t>respiratoires liés au passage des véhicules;</w:t>
            </w:r>
          </w:p>
        </w:tc>
        <w:tc>
          <w:tcPr>
            <w:tcW w:w="5241" w:type="dxa"/>
            <w:tcBorders>
              <w:top w:val="single" w:sz="4" w:space="0" w:color="auto"/>
            </w:tcBorders>
            <w:shd w:val="clear" w:color="auto" w:fill="FFFFFF" w:themeFill="background1"/>
            <w:vAlign w:val="center"/>
          </w:tcPr>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lastRenderedPageBreak/>
              <w:t xml:space="preserve">Mettre en place des panneaux de signalisation et de limitation de vitesse ; </w:t>
            </w:r>
          </w:p>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Mettre des panneaux d’indication de présence des animaux ;</w:t>
            </w:r>
          </w:p>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lastRenderedPageBreak/>
              <w:t>Organiser des journées de sensibiliser par rapport à la sécuritaire routière ;</w:t>
            </w:r>
          </w:p>
        </w:tc>
      </w:tr>
      <w:tr w:rsidR="008D1B47" w:rsidRPr="00420E8C" w:rsidTr="00056358">
        <w:trPr>
          <w:trHeight w:val="515"/>
        </w:trPr>
        <w:tc>
          <w:tcPr>
            <w:tcW w:w="1846" w:type="dxa"/>
            <w:vMerge/>
            <w:shd w:val="clear" w:color="auto" w:fill="E2EFD9" w:themeFill="accent6" w:themeFillTint="33"/>
            <w:vAlign w:val="center"/>
          </w:tcPr>
          <w:p w:rsidR="008D1B47" w:rsidRPr="00420E8C" w:rsidRDefault="008D1B47" w:rsidP="00A76F4A">
            <w:pPr>
              <w:ind w:right="12"/>
              <w:jc w:val="center"/>
              <w:rPr>
                <w:b/>
                <w:u w:val="single"/>
              </w:rPr>
            </w:pPr>
          </w:p>
        </w:tc>
        <w:tc>
          <w:tcPr>
            <w:tcW w:w="3262" w:type="dxa"/>
            <w:tcBorders>
              <w:top w:val="single" w:sz="4" w:space="0" w:color="auto"/>
            </w:tcBorders>
            <w:shd w:val="clear" w:color="auto" w:fill="FFFFFF" w:themeFill="background1"/>
          </w:tcPr>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lang w:val="fr-CA"/>
              </w:rPr>
              <w:t>Risques d’inondation due aux manques ouvrages de traverser des eaux pluviales au niveau des pistes ;</w:t>
            </w:r>
          </w:p>
        </w:tc>
        <w:tc>
          <w:tcPr>
            <w:tcW w:w="5241" w:type="dxa"/>
            <w:tcBorders>
              <w:top w:val="single" w:sz="4" w:space="0" w:color="auto"/>
            </w:tcBorders>
            <w:shd w:val="clear" w:color="auto" w:fill="FFFFFF" w:themeFill="background1"/>
            <w:vAlign w:val="center"/>
          </w:tcPr>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Mettre et Sécuriser les ouvrages d’art contre l’ensablement pour éviter les phénomènes d’inondation ;</w:t>
            </w:r>
          </w:p>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Entretenir les ouvrages d’art comme les ponts, les dalots ; les buses, les canaux d’évacuation des eaux, etc. ;</w:t>
            </w:r>
          </w:p>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Veiller à la maintenance périodique et régulière des ouvrages d’art ;</w:t>
            </w:r>
          </w:p>
        </w:tc>
      </w:tr>
      <w:tr w:rsidR="008D1B47" w:rsidRPr="00420E8C" w:rsidTr="00056358">
        <w:trPr>
          <w:trHeight w:val="515"/>
        </w:trPr>
        <w:tc>
          <w:tcPr>
            <w:tcW w:w="1846" w:type="dxa"/>
            <w:vMerge/>
            <w:shd w:val="clear" w:color="auto" w:fill="E2EFD9" w:themeFill="accent6" w:themeFillTint="33"/>
            <w:vAlign w:val="center"/>
          </w:tcPr>
          <w:p w:rsidR="008D1B47" w:rsidRPr="00420E8C" w:rsidRDefault="008D1B47" w:rsidP="00A76F4A">
            <w:pPr>
              <w:ind w:right="12"/>
              <w:jc w:val="center"/>
              <w:rPr>
                <w:b/>
                <w:u w:val="single"/>
              </w:rPr>
            </w:pPr>
          </w:p>
        </w:tc>
        <w:tc>
          <w:tcPr>
            <w:tcW w:w="3262" w:type="dxa"/>
            <w:tcBorders>
              <w:top w:val="single" w:sz="4" w:space="0" w:color="auto"/>
            </w:tcBorders>
            <w:shd w:val="clear" w:color="auto" w:fill="FFFFFF" w:themeFill="background1"/>
          </w:tcPr>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sz w:val="24"/>
                <w:szCs w:val="24"/>
              </w:rPr>
              <w:t>Risque d’émissions de gaz à effet de serre ;</w:t>
            </w:r>
          </w:p>
        </w:tc>
        <w:tc>
          <w:tcPr>
            <w:tcW w:w="5241" w:type="dxa"/>
            <w:tcBorders>
              <w:top w:val="single" w:sz="4" w:space="0" w:color="auto"/>
            </w:tcBorders>
            <w:shd w:val="clear" w:color="auto" w:fill="FFFFFF" w:themeFill="background1"/>
            <w:vAlign w:val="center"/>
          </w:tcPr>
          <w:p w:rsidR="008D1B47" w:rsidRPr="00420E8C" w:rsidRDefault="008D1B47" w:rsidP="00A76F4A">
            <w:pPr>
              <w:ind w:right="12"/>
            </w:pPr>
            <w:r w:rsidRPr="00420E8C">
              <w:t>- Organiser des Campagnes de sensibilisation pour lutter contre les déchargements des gaz à effet de serre ;</w:t>
            </w:r>
          </w:p>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sz w:val="24"/>
                <w:szCs w:val="24"/>
              </w:rPr>
              <w:t>Veiller aux visites techniques des véhicules ;</w:t>
            </w:r>
          </w:p>
        </w:tc>
      </w:tr>
      <w:tr w:rsidR="008D1B47" w:rsidRPr="00420E8C" w:rsidTr="00056358">
        <w:trPr>
          <w:trHeight w:val="515"/>
        </w:trPr>
        <w:tc>
          <w:tcPr>
            <w:tcW w:w="1846" w:type="dxa"/>
            <w:vMerge/>
            <w:shd w:val="clear" w:color="auto" w:fill="E2EFD9" w:themeFill="accent6" w:themeFillTint="33"/>
            <w:vAlign w:val="center"/>
          </w:tcPr>
          <w:p w:rsidR="008D1B47" w:rsidRPr="00420E8C" w:rsidRDefault="008D1B47" w:rsidP="00A76F4A">
            <w:pPr>
              <w:ind w:right="12"/>
              <w:jc w:val="center"/>
              <w:rPr>
                <w:b/>
                <w:u w:val="single"/>
              </w:rPr>
            </w:pPr>
          </w:p>
        </w:tc>
        <w:tc>
          <w:tcPr>
            <w:tcW w:w="3262" w:type="dxa"/>
            <w:tcBorders>
              <w:top w:val="single" w:sz="4" w:space="0" w:color="auto"/>
            </w:tcBorders>
            <w:shd w:val="clear" w:color="auto" w:fill="FFFFFF" w:themeFill="background1"/>
            <w:vAlign w:val="center"/>
          </w:tcPr>
          <w:p w:rsidR="008D1B47" w:rsidRPr="00420E8C" w:rsidRDefault="008D1B47" w:rsidP="00A76F4A">
            <w:pPr>
              <w:pStyle w:val="PargrafodaLista"/>
              <w:numPr>
                <w:ilvl w:val="0"/>
                <w:numId w:val="60"/>
              </w:numPr>
              <w:spacing w:line="240" w:lineRule="auto"/>
              <w:ind w:left="151" w:right="12" w:hanging="142"/>
              <w:jc w:val="both"/>
              <w:rPr>
                <w:rFonts w:ascii="Times New Roman" w:hAnsi="Times New Roman"/>
                <w:color w:val="000000" w:themeColor="text1"/>
                <w:sz w:val="24"/>
                <w:szCs w:val="24"/>
              </w:rPr>
            </w:pPr>
            <w:r w:rsidRPr="00420E8C">
              <w:rPr>
                <w:rFonts w:ascii="Times New Roman" w:hAnsi="Times New Roman"/>
                <w:sz w:val="24"/>
                <w:szCs w:val="24"/>
              </w:rPr>
              <w:t>Risque de réduction de la surface d’infiltration et augmentation du ruissellement des eaux de pluie.</w:t>
            </w:r>
          </w:p>
        </w:tc>
        <w:tc>
          <w:tcPr>
            <w:tcW w:w="5241" w:type="dxa"/>
            <w:tcBorders>
              <w:top w:val="single" w:sz="4" w:space="0" w:color="auto"/>
            </w:tcBorders>
            <w:shd w:val="clear" w:color="auto" w:fill="FFFFFF" w:themeFill="background1"/>
            <w:vAlign w:val="center"/>
          </w:tcPr>
          <w:p w:rsidR="008D1B47" w:rsidRPr="00420E8C" w:rsidRDefault="008D1B47" w:rsidP="00A76F4A">
            <w:pPr>
              <w:ind w:right="12"/>
            </w:pPr>
            <w:r w:rsidRPr="00420E8C">
              <w:t>- Sécuriser les ouvrages d’art contre les déchets solides ;</w:t>
            </w:r>
          </w:p>
          <w:p w:rsidR="008D1B47" w:rsidRPr="00420E8C" w:rsidRDefault="008D1B47" w:rsidP="00A76F4A">
            <w:pPr>
              <w:ind w:right="12"/>
            </w:pPr>
            <w:r w:rsidRPr="00420E8C">
              <w:t>- Eviter les phénomènes d’ensablement des ouvrages d’art comme les ponts, les dalots ; les buses, les canaux d’évacuation des eaux, etc. ;</w:t>
            </w:r>
          </w:p>
          <w:p w:rsidR="008D1B47" w:rsidRPr="00420E8C" w:rsidRDefault="008D1B47"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sz w:val="24"/>
                <w:szCs w:val="24"/>
              </w:rPr>
              <w:t>Veiller à l’entretien et à la maintenance périodique et régulière des ouvrages d’art ;</w:t>
            </w:r>
          </w:p>
        </w:tc>
      </w:tr>
      <w:tr w:rsidR="008D1B47" w:rsidRPr="00420E8C" w:rsidTr="00056358">
        <w:trPr>
          <w:trHeight w:val="515"/>
        </w:trPr>
        <w:tc>
          <w:tcPr>
            <w:tcW w:w="1846" w:type="dxa"/>
            <w:vMerge/>
            <w:shd w:val="clear" w:color="auto" w:fill="E2EFD9" w:themeFill="accent6" w:themeFillTint="33"/>
            <w:vAlign w:val="center"/>
          </w:tcPr>
          <w:p w:rsidR="008D1B47" w:rsidRPr="00420E8C" w:rsidRDefault="008D1B47" w:rsidP="00A76F4A">
            <w:pPr>
              <w:ind w:right="12"/>
              <w:jc w:val="center"/>
              <w:rPr>
                <w:b/>
                <w:u w:val="single"/>
              </w:rPr>
            </w:pPr>
          </w:p>
        </w:tc>
        <w:tc>
          <w:tcPr>
            <w:tcW w:w="3262" w:type="dxa"/>
            <w:tcBorders>
              <w:top w:val="single" w:sz="4" w:space="0" w:color="auto"/>
            </w:tcBorders>
            <w:shd w:val="clear" w:color="auto" w:fill="FFFFFF" w:themeFill="background1"/>
            <w:vAlign w:val="center"/>
          </w:tcPr>
          <w:p w:rsidR="008D1B47" w:rsidRPr="00420E8C" w:rsidRDefault="008D1B47" w:rsidP="00A76F4A">
            <w:pPr>
              <w:ind w:right="12"/>
              <w:rPr>
                <w:rFonts w:eastAsia="Calibri"/>
              </w:rPr>
            </w:pPr>
            <w:r w:rsidRPr="00420E8C">
              <w:rPr>
                <w:rFonts w:eastAsia="Calibri"/>
              </w:rPr>
              <w:t>- Risques de feux de brousse le long de la route ;</w:t>
            </w:r>
          </w:p>
          <w:p w:rsidR="008D1B47" w:rsidRPr="00420E8C" w:rsidRDefault="008D1B47" w:rsidP="00A76F4A">
            <w:pPr>
              <w:pStyle w:val="PargrafodaLista"/>
              <w:numPr>
                <w:ilvl w:val="0"/>
                <w:numId w:val="60"/>
              </w:numPr>
              <w:spacing w:line="240" w:lineRule="auto"/>
              <w:ind w:left="151" w:right="12" w:hanging="142"/>
              <w:jc w:val="both"/>
              <w:rPr>
                <w:rFonts w:ascii="Times New Roman" w:hAnsi="Times New Roman"/>
                <w:sz w:val="24"/>
                <w:szCs w:val="24"/>
              </w:rPr>
            </w:pPr>
            <w:r w:rsidRPr="00420E8C">
              <w:rPr>
                <w:rFonts w:ascii="Times New Roman" w:hAnsi="Times New Roman"/>
                <w:sz w:val="24"/>
                <w:szCs w:val="24"/>
              </w:rPr>
              <w:t>Risques d'accidents d'animaux sauvages traversant la route ;</w:t>
            </w:r>
          </w:p>
        </w:tc>
        <w:tc>
          <w:tcPr>
            <w:tcW w:w="5241" w:type="dxa"/>
            <w:tcBorders>
              <w:top w:val="single" w:sz="4" w:space="0" w:color="auto"/>
            </w:tcBorders>
            <w:shd w:val="clear" w:color="auto" w:fill="FFFFFF" w:themeFill="background1"/>
            <w:vAlign w:val="center"/>
          </w:tcPr>
          <w:p w:rsidR="008D1B47" w:rsidRPr="00420E8C" w:rsidRDefault="008D1B47" w:rsidP="00A76F4A">
            <w:pPr>
              <w:ind w:right="12"/>
            </w:pPr>
            <w:r w:rsidRPr="00420E8C">
              <w:t>- Organiser des Campagnes de sensibilisation pour lutter contre les feux de brousse ;</w:t>
            </w:r>
          </w:p>
          <w:p w:rsidR="008D1B47" w:rsidRPr="00420E8C" w:rsidRDefault="008D1B47" w:rsidP="00A76F4A">
            <w:pPr>
              <w:ind w:right="12"/>
            </w:pPr>
            <w:r w:rsidRPr="00420E8C">
              <w:t>- Sensibiliser les conducteurs de véhicules pour veiller contre les jets de mégot de cigarette ;</w:t>
            </w:r>
          </w:p>
          <w:p w:rsidR="008D1B47" w:rsidRPr="00420E8C" w:rsidRDefault="008D1B47" w:rsidP="00A76F4A">
            <w:pPr>
              <w:ind w:right="12"/>
            </w:pPr>
            <w:r w:rsidRPr="00420E8C">
              <w:t>- Eviter de faire du feu au rebord de la route ;</w:t>
            </w:r>
          </w:p>
          <w:p w:rsidR="008D1B47" w:rsidRPr="00420E8C" w:rsidRDefault="008D1B47" w:rsidP="00A76F4A">
            <w:pPr>
              <w:ind w:right="12"/>
            </w:pPr>
            <w:r w:rsidRPr="00420E8C">
              <w:t>- Bien matérialiser les zones de passage des animaux ;</w:t>
            </w:r>
          </w:p>
          <w:p w:rsidR="008D1B47" w:rsidRPr="00420E8C" w:rsidRDefault="008D1B47" w:rsidP="00A76F4A">
            <w:pPr>
              <w:ind w:right="12"/>
            </w:pPr>
            <w:r w:rsidRPr="00420E8C">
              <w:t xml:space="preserve">- Organiser des journées de sensibilisation et information des conducteurs pour la préservation des animaux sauvages ; </w:t>
            </w:r>
          </w:p>
        </w:tc>
      </w:tr>
      <w:tr w:rsidR="008D1B47" w:rsidRPr="00420E8C" w:rsidTr="00056358">
        <w:trPr>
          <w:trHeight w:val="515"/>
        </w:trPr>
        <w:tc>
          <w:tcPr>
            <w:tcW w:w="1846" w:type="dxa"/>
            <w:vMerge/>
            <w:shd w:val="clear" w:color="auto" w:fill="E2EFD9" w:themeFill="accent6" w:themeFillTint="33"/>
            <w:vAlign w:val="center"/>
          </w:tcPr>
          <w:p w:rsidR="008D1B47" w:rsidRPr="00420E8C" w:rsidRDefault="008D1B47" w:rsidP="00A76F4A">
            <w:pPr>
              <w:ind w:right="12"/>
              <w:jc w:val="center"/>
              <w:rPr>
                <w:b/>
                <w:u w:val="single"/>
              </w:rPr>
            </w:pPr>
          </w:p>
        </w:tc>
        <w:tc>
          <w:tcPr>
            <w:tcW w:w="3262" w:type="dxa"/>
            <w:tcBorders>
              <w:top w:val="single" w:sz="4" w:space="0" w:color="auto"/>
            </w:tcBorders>
            <w:shd w:val="clear" w:color="auto" w:fill="FFFFFF" w:themeFill="background1"/>
            <w:vAlign w:val="center"/>
          </w:tcPr>
          <w:p w:rsidR="008D1B47" w:rsidRPr="00420E8C" w:rsidRDefault="00B2770A" w:rsidP="00A76F4A">
            <w:pPr>
              <w:ind w:right="12"/>
              <w:rPr>
                <w:rFonts w:eastAsia="Calibri"/>
              </w:rPr>
            </w:pPr>
            <w:r w:rsidRPr="00420E8C">
              <w:rPr>
                <w:rFonts w:eastAsia="Calibri"/>
              </w:rPr>
              <w:t xml:space="preserve">- </w:t>
            </w:r>
            <w:r w:rsidR="008D1B47" w:rsidRPr="00420E8C">
              <w:rPr>
                <w:rFonts w:eastAsia="Calibri"/>
              </w:rPr>
              <w:t>Risque d’accidents dû à la circulation des véhicules ;</w:t>
            </w:r>
          </w:p>
          <w:p w:rsidR="008D1B47" w:rsidRPr="00420E8C" w:rsidRDefault="00B2770A" w:rsidP="00A76F4A">
            <w:pPr>
              <w:ind w:right="12"/>
              <w:rPr>
                <w:rFonts w:eastAsia="Calibri"/>
              </w:rPr>
            </w:pPr>
            <w:r w:rsidRPr="00420E8C">
              <w:rPr>
                <w:rFonts w:eastAsia="Calibri"/>
              </w:rPr>
              <w:t xml:space="preserve">- </w:t>
            </w:r>
            <w:r w:rsidR="008D1B47" w:rsidRPr="00420E8C">
              <w:rPr>
                <w:rFonts w:eastAsia="Calibri"/>
              </w:rPr>
              <w:t>Risque d’augmentation du trafic routier ;</w:t>
            </w:r>
          </w:p>
        </w:tc>
        <w:tc>
          <w:tcPr>
            <w:tcW w:w="5241" w:type="dxa"/>
            <w:tcBorders>
              <w:top w:val="single" w:sz="4" w:space="0" w:color="auto"/>
            </w:tcBorders>
            <w:shd w:val="clear" w:color="auto" w:fill="FFFFFF" w:themeFill="background1"/>
            <w:vAlign w:val="center"/>
          </w:tcPr>
          <w:p w:rsidR="008D1B47" w:rsidRPr="00420E8C" w:rsidRDefault="008D1B47" w:rsidP="00A76F4A">
            <w:pPr>
              <w:ind w:right="12"/>
            </w:pPr>
            <w:r w:rsidRPr="00420E8C">
              <w:t>- Mettre des panneaux de signalisation horizontale, verticale et au sol,</w:t>
            </w:r>
          </w:p>
          <w:p w:rsidR="008D1B47" w:rsidRPr="00420E8C" w:rsidRDefault="008D1B47" w:rsidP="00A76F4A">
            <w:pPr>
              <w:ind w:right="12"/>
            </w:pPr>
            <w:r w:rsidRPr="00420E8C">
              <w:t>- Bien matérialiser les passages des piétons, des enfants, des animaux, etc.</w:t>
            </w:r>
          </w:p>
          <w:p w:rsidR="008D1B47" w:rsidRPr="00420E8C" w:rsidRDefault="008D1B47" w:rsidP="00A76F4A">
            <w:pPr>
              <w:ind w:right="12"/>
            </w:pPr>
            <w:r w:rsidRPr="00420E8C">
              <w:t>- Sensibiliser les conducteurs à la sécurité routière ;</w:t>
            </w:r>
          </w:p>
        </w:tc>
      </w:tr>
      <w:tr w:rsidR="0063530F" w:rsidRPr="00420E8C" w:rsidTr="00056358">
        <w:trPr>
          <w:trHeight w:val="1396"/>
        </w:trPr>
        <w:tc>
          <w:tcPr>
            <w:tcW w:w="1846" w:type="dxa"/>
            <w:vMerge w:val="restart"/>
            <w:shd w:val="clear" w:color="auto" w:fill="E2EFD9" w:themeFill="accent6" w:themeFillTint="33"/>
            <w:vAlign w:val="center"/>
          </w:tcPr>
          <w:p w:rsidR="0063530F" w:rsidRPr="00420E8C" w:rsidRDefault="00AA2F14" w:rsidP="00A76F4A">
            <w:pPr>
              <w:ind w:right="12"/>
              <w:jc w:val="center"/>
              <w:rPr>
                <w:b/>
                <w:u w:val="single"/>
              </w:rPr>
            </w:pPr>
            <w:r w:rsidRPr="00420E8C">
              <w:rPr>
                <w:b/>
              </w:rPr>
              <w:t xml:space="preserve">Soutien aux Filets de Sécurité </w:t>
            </w:r>
            <w:r w:rsidR="00337500" w:rsidRPr="00420E8C">
              <w:rPr>
                <w:b/>
              </w:rPr>
              <w:t>communautaires (Communs</w:t>
            </w:r>
            <w:r w:rsidRPr="00420E8C">
              <w:rPr>
                <w:b/>
              </w:rPr>
              <w:t xml:space="preserve"> aux différents travaux)</w:t>
            </w:r>
          </w:p>
        </w:tc>
        <w:tc>
          <w:tcPr>
            <w:tcW w:w="3262" w:type="dxa"/>
            <w:tcBorders>
              <w:top w:val="single" w:sz="4" w:space="0" w:color="auto"/>
            </w:tcBorders>
            <w:shd w:val="clear" w:color="auto" w:fill="FFFFFF" w:themeFill="background1"/>
            <w:vAlign w:val="center"/>
          </w:tcPr>
          <w:p w:rsidR="0063530F" w:rsidRPr="00420E8C" w:rsidRDefault="0063530F"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rPr>
              <w:t xml:space="preserve">Risques d’abus et exploitation sexuelle, et harcèlement sexuel </w:t>
            </w:r>
          </w:p>
        </w:tc>
        <w:tc>
          <w:tcPr>
            <w:tcW w:w="5241" w:type="dxa"/>
            <w:tcBorders>
              <w:top w:val="single" w:sz="4" w:space="0" w:color="auto"/>
            </w:tcBorders>
            <w:shd w:val="clear" w:color="auto" w:fill="FFFFFF" w:themeFill="background1"/>
          </w:tcPr>
          <w:p w:rsidR="0063530F" w:rsidRPr="00420E8C" w:rsidRDefault="0063530F"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Respecter le règlement intérieur des chantiers</w:t>
            </w:r>
          </w:p>
          <w:p w:rsidR="0063530F" w:rsidRPr="00420E8C" w:rsidRDefault="0063530F"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Appuyer les programmes intégrant la mobilisation communautaire sur la VBG ; </w:t>
            </w:r>
          </w:p>
          <w:p w:rsidR="0063530F" w:rsidRPr="00420E8C" w:rsidRDefault="0063530F"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Appuyer les activités ayant une large représentation de la communauté de base ; </w:t>
            </w:r>
          </w:p>
          <w:p w:rsidR="0063530F" w:rsidRPr="00420E8C" w:rsidRDefault="0063530F"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Lutter contre tous types de discrimination envers les femmes ou personnes handicapés ;</w:t>
            </w:r>
          </w:p>
        </w:tc>
      </w:tr>
      <w:tr w:rsidR="00B72399" w:rsidRPr="00420E8C" w:rsidTr="00056358">
        <w:trPr>
          <w:trHeight w:val="320"/>
        </w:trPr>
        <w:tc>
          <w:tcPr>
            <w:tcW w:w="1846" w:type="dxa"/>
            <w:vMerge/>
            <w:shd w:val="clear" w:color="auto" w:fill="E2EFD9" w:themeFill="accent6" w:themeFillTint="33"/>
            <w:vAlign w:val="center"/>
          </w:tcPr>
          <w:p w:rsidR="00B72399" w:rsidRPr="00420E8C" w:rsidRDefault="00B72399" w:rsidP="00A76F4A">
            <w:pPr>
              <w:ind w:right="12"/>
              <w:jc w:val="center"/>
              <w:rPr>
                <w:b/>
                <w:u w:val="single"/>
              </w:rPr>
            </w:pPr>
          </w:p>
        </w:tc>
        <w:tc>
          <w:tcPr>
            <w:tcW w:w="3262" w:type="dxa"/>
            <w:tcBorders>
              <w:top w:val="single" w:sz="4" w:space="0" w:color="auto"/>
            </w:tcBorders>
            <w:shd w:val="clear" w:color="auto" w:fill="FFFFFF" w:themeFill="background1"/>
            <w:vAlign w:val="center"/>
          </w:tcPr>
          <w:p w:rsidR="00B72399" w:rsidRPr="00420E8C" w:rsidRDefault="00B72399" w:rsidP="00A76F4A">
            <w:pPr>
              <w:pStyle w:val="PargrafodaLista"/>
              <w:numPr>
                <w:ilvl w:val="0"/>
                <w:numId w:val="60"/>
              </w:numPr>
              <w:spacing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Risque de développement de parasitoses chez les animaux ;</w:t>
            </w:r>
          </w:p>
          <w:p w:rsidR="00B72399" w:rsidRPr="00420E8C" w:rsidRDefault="00B72399" w:rsidP="00A76F4A">
            <w:pPr>
              <w:pStyle w:val="PargrafodaLista"/>
              <w:numPr>
                <w:ilvl w:val="0"/>
                <w:numId w:val="60"/>
              </w:numPr>
              <w:spacing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Risque d’apparition de maladies animales transfrontalières ;</w:t>
            </w:r>
          </w:p>
          <w:p w:rsidR="00B72399" w:rsidRPr="00420E8C" w:rsidRDefault="00B72399" w:rsidP="00A76F4A">
            <w:pPr>
              <w:pStyle w:val="PargrafodaLista"/>
              <w:numPr>
                <w:ilvl w:val="0"/>
                <w:numId w:val="60"/>
              </w:numPr>
              <w:spacing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Risque d’exposition à des </w:t>
            </w:r>
            <w:r w:rsidRPr="00420E8C">
              <w:rPr>
                <w:rFonts w:ascii="Times New Roman" w:hAnsi="Times New Roman"/>
                <w:color w:val="000000" w:themeColor="text1"/>
                <w:sz w:val="24"/>
                <w:szCs w:val="24"/>
              </w:rPr>
              <w:lastRenderedPageBreak/>
              <w:t xml:space="preserve">agents pathogènes contenus dans les déchets organiques et autres zoonoses </w:t>
            </w:r>
          </w:p>
          <w:p w:rsidR="00B72399" w:rsidRPr="00420E8C" w:rsidRDefault="00B72399"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lang w:val="fr-CA"/>
              </w:rPr>
            </w:pPr>
            <w:r w:rsidRPr="00420E8C">
              <w:rPr>
                <w:rFonts w:ascii="Times New Roman" w:hAnsi="Times New Roman"/>
                <w:color w:val="000000" w:themeColor="text1"/>
                <w:sz w:val="24"/>
                <w:szCs w:val="24"/>
              </w:rPr>
              <w:t>Risque de blessure par les seringues usagées, provocant des infections (tétanos) ;</w:t>
            </w:r>
          </w:p>
        </w:tc>
        <w:tc>
          <w:tcPr>
            <w:tcW w:w="5241" w:type="dxa"/>
            <w:tcBorders>
              <w:top w:val="single" w:sz="4" w:space="0" w:color="auto"/>
            </w:tcBorders>
            <w:shd w:val="clear" w:color="auto" w:fill="FFFFFF" w:themeFill="background1"/>
          </w:tcPr>
          <w:p w:rsidR="00B72399" w:rsidRPr="00420E8C" w:rsidRDefault="00B72399"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lastRenderedPageBreak/>
              <w:t>Organiser des journées de sensibilisation avec les éleveurs pour lutter contre les maladies et valoriser la vaccination animale</w:t>
            </w:r>
          </w:p>
          <w:p w:rsidR="00B72399" w:rsidRPr="00420E8C" w:rsidRDefault="00B72399"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Mettre en place des parcs de vaccination de bétail</w:t>
            </w:r>
          </w:p>
          <w:p w:rsidR="00B72399" w:rsidRPr="00420E8C" w:rsidRDefault="00B72399"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Eviter autant que possible les parcours des bétails</w:t>
            </w:r>
          </w:p>
          <w:p w:rsidR="00B72399" w:rsidRPr="00420E8C" w:rsidRDefault="00B72399"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 xml:space="preserve">Eviter de jeter les déchets organiques dans la </w:t>
            </w:r>
            <w:r w:rsidRPr="00420E8C">
              <w:rPr>
                <w:rFonts w:ascii="Times New Roman" w:hAnsi="Times New Roman"/>
                <w:color w:val="000000" w:themeColor="text1"/>
                <w:sz w:val="24"/>
                <w:szCs w:val="24"/>
              </w:rPr>
              <w:lastRenderedPageBreak/>
              <w:t>nature</w:t>
            </w:r>
          </w:p>
          <w:p w:rsidR="00B72399" w:rsidRPr="00420E8C" w:rsidRDefault="00B72399"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Equiper les agents en charge des activités de vaccination en matériel suffisante et de qualité ;</w:t>
            </w:r>
          </w:p>
          <w:p w:rsidR="00B72399" w:rsidRPr="00420E8C" w:rsidRDefault="00B72399"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Sensibiliser ces agents contre les risques de blessure avec les seringues usagées ;</w:t>
            </w:r>
          </w:p>
          <w:p w:rsidR="00B72399" w:rsidRPr="00420E8C" w:rsidRDefault="00B72399" w:rsidP="00A76F4A">
            <w:pPr>
              <w:pStyle w:val="PargrafodaLista"/>
              <w:numPr>
                <w:ilvl w:val="0"/>
                <w:numId w:val="60"/>
              </w:numPr>
              <w:spacing w:after="0" w:line="240" w:lineRule="auto"/>
              <w:ind w:left="151" w:right="12" w:hanging="142"/>
              <w:jc w:val="both"/>
              <w:rPr>
                <w:rFonts w:ascii="Times New Roman" w:hAnsi="Times New Roman"/>
                <w:color w:val="000000" w:themeColor="text1"/>
                <w:sz w:val="24"/>
                <w:szCs w:val="24"/>
              </w:rPr>
            </w:pPr>
            <w:r w:rsidRPr="00420E8C">
              <w:rPr>
                <w:rFonts w:ascii="Times New Roman" w:hAnsi="Times New Roman"/>
                <w:color w:val="000000" w:themeColor="text1"/>
                <w:sz w:val="24"/>
                <w:szCs w:val="24"/>
              </w:rPr>
              <w:t>Eviter les mares et si possible mettre en place des abreuvoirs dans les zones donc l’accès à l’eau est difficile</w:t>
            </w:r>
          </w:p>
          <w:p w:rsidR="00B72399" w:rsidRPr="00420E8C" w:rsidRDefault="00B72399" w:rsidP="00A76F4A">
            <w:pPr>
              <w:ind w:right="12"/>
              <w:rPr>
                <w:b/>
                <w:color w:val="000000" w:themeColor="text1"/>
              </w:rPr>
            </w:pPr>
            <w:r w:rsidRPr="00420E8C">
              <w:rPr>
                <w:color w:val="000000" w:themeColor="text1"/>
              </w:rPr>
              <w:t>Augmenter les contrôles par rapport à la santé des bétails</w:t>
            </w:r>
          </w:p>
        </w:tc>
      </w:tr>
    </w:tbl>
    <w:p w:rsidR="00730225" w:rsidRDefault="00730225" w:rsidP="00A76F4A">
      <w:pPr>
        <w:tabs>
          <w:tab w:val="left" w:pos="3811"/>
        </w:tabs>
        <w:ind w:right="12"/>
        <w:rPr>
          <w:b/>
        </w:rPr>
      </w:pPr>
    </w:p>
    <w:p w:rsidR="00C52827" w:rsidRDefault="00C52827"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F7110E" w:rsidRDefault="00F7110E" w:rsidP="00A76F4A">
      <w:pPr>
        <w:tabs>
          <w:tab w:val="left" w:pos="3811"/>
        </w:tabs>
        <w:ind w:right="12"/>
        <w:rPr>
          <w:b/>
        </w:rPr>
      </w:pPr>
    </w:p>
    <w:p w:rsidR="00150FD2" w:rsidRPr="00A05698" w:rsidRDefault="00150FD2" w:rsidP="00A76F4A">
      <w:pPr>
        <w:tabs>
          <w:tab w:val="left" w:pos="3811"/>
        </w:tabs>
        <w:ind w:right="12"/>
        <w:rPr>
          <w:b/>
        </w:rPr>
      </w:pPr>
    </w:p>
    <w:p w:rsidR="0091740E" w:rsidRPr="00A05698" w:rsidRDefault="005510F0" w:rsidP="00F7110E">
      <w:pPr>
        <w:pStyle w:val="PargrafodaLista"/>
        <w:keepNext/>
        <w:keepLines/>
        <w:numPr>
          <w:ilvl w:val="0"/>
          <w:numId w:val="282"/>
        </w:numPr>
        <w:pBdr>
          <w:bottom w:val="thickThinSmallGap" w:sz="24" w:space="1" w:color="auto"/>
        </w:pBdr>
        <w:shd w:val="clear" w:color="auto" w:fill="DEEAF6" w:themeFill="accent1" w:themeFillTint="33"/>
        <w:spacing w:after="0" w:line="240" w:lineRule="auto"/>
        <w:ind w:right="12"/>
        <w:jc w:val="center"/>
        <w:outlineLvl w:val="0"/>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09" w:name="_Toc75432305"/>
      <w:r>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PROCEDURE</w:t>
      </w:r>
      <w:r w:rsidR="00A10969"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GESTION ENVIRONNEMENTALE ET</w:t>
      </w:r>
      <w:r w:rsidR="0091740E" w:rsidRPr="00A05698">
        <w:rPr>
          <w:rFonts w:ascii="Times New Roman" w:hAnsi="Times New Roman"/>
          <w:b/>
          <w:color w:val="002060"/>
          <w:sz w:val="32"/>
          <w:szCs w:val="32"/>
          <w:lang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SOCIALE</w:t>
      </w:r>
      <w:bookmarkEnd w:id="309"/>
    </w:p>
    <w:p w:rsidR="00107507" w:rsidRPr="00A05698" w:rsidRDefault="00107507" w:rsidP="00A76F4A">
      <w:pPr>
        <w:ind w:right="12"/>
      </w:pPr>
    </w:p>
    <w:p w:rsidR="006950A3" w:rsidRPr="00A05698" w:rsidRDefault="006950A3"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310" w:name="_Toc414259902"/>
      <w:bookmarkStart w:id="311" w:name="_Toc414260172"/>
      <w:bookmarkStart w:id="312" w:name="_Toc414262921"/>
      <w:bookmarkStart w:id="313" w:name="_Toc414263060"/>
      <w:bookmarkStart w:id="314" w:name="_Toc512872028"/>
      <w:bookmarkStart w:id="315" w:name="_Toc4070809"/>
      <w:bookmarkStart w:id="316" w:name="_Toc75432306"/>
      <w:r w:rsidRPr="00A05698">
        <w:rPr>
          <w:rFonts w:ascii="Times New Roman" w:hAnsi="Times New Roman"/>
          <w:b/>
          <w:bCs/>
          <w:sz w:val="24"/>
          <w:szCs w:val="24"/>
        </w:rPr>
        <w:t>LES DIFFERENTES ETAPES DE LA MISE EN PLACE D</w:t>
      </w:r>
      <w:r w:rsidR="005510F0">
        <w:rPr>
          <w:rFonts w:ascii="Times New Roman" w:hAnsi="Times New Roman"/>
          <w:b/>
          <w:bCs/>
          <w:sz w:val="24"/>
          <w:szCs w:val="24"/>
        </w:rPr>
        <w:t xml:space="preserve">E LA PROCEDURE </w:t>
      </w:r>
      <w:r w:rsidRPr="00A05698">
        <w:rPr>
          <w:rFonts w:ascii="Times New Roman" w:hAnsi="Times New Roman"/>
          <w:b/>
          <w:bCs/>
          <w:sz w:val="24"/>
          <w:szCs w:val="24"/>
        </w:rPr>
        <w:t>DE GESTION ENVIRONNEMENTALE ET SOCIALE</w:t>
      </w:r>
      <w:bookmarkEnd w:id="310"/>
      <w:bookmarkEnd w:id="311"/>
      <w:bookmarkEnd w:id="312"/>
      <w:bookmarkEnd w:id="313"/>
      <w:bookmarkEnd w:id="314"/>
      <w:bookmarkEnd w:id="315"/>
      <w:bookmarkEnd w:id="316"/>
    </w:p>
    <w:p w:rsidR="00470124" w:rsidRDefault="006950A3" w:rsidP="00A76F4A">
      <w:pPr>
        <w:ind w:right="12"/>
        <w:jc w:val="both"/>
      </w:pPr>
      <w:r w:rsidRPr="00A05698">
        <w:t>L</w:t>
      </w:r>
      <w:r w:rsidR="00A467BC">
        <w:t xml:space="preserve">a </w:t>
      </w:r>
      <w:r w:rsidR="000E1D86">
        <w:t>Procédure</w:t>
      </w:r>
      <w:r w:rsidR="006209E3">
        <w:t xml:space="preserve"> </w:t>
      </w:r>
      <w:r w:rsidRPr="00A05698">
        <w:t>de Gestion Environnementale et Sociale (</w:t>
      </w:r>
      <w:r w:rsidR="006209E3">
        <w:t>P</w:t>
      </w:r>
      <w:r w:rsidRPr="00A05698">
        <w:t>GES) va accompagner la mise en œuvre</w:t>
      </w:r>
      <w:r w:rsidR="004B6FAF" w:rsidRPr="00A05698">
        <w:t xml:space="preserve"> des activités du projet d’urgence de sécurité alimentaire</w:t>
      </w:r>
      <w:r w:rsidR="000C1495">
        <w:t xml:space="preserve"> </w:t>
      </w:r>
      <w:r w:rsidR="000C1495" w:rsidRPr="00A05698">
        <w:t>d’urgence</w:t>
      </w:r>
      <w:r w:rsidR="004B6FAF" w:rsidRPr="00A05698">
        <w:t xml:space="preserve"> (PUSA) </w:t>
      </w:r>
      <w:r w:rsidRPr="00A05698">
        <w:t xml:space="preserve">dans </w:t>
      </w:r>
      <w:r w:rsidR="00581653" w:rsidRPr="00A05698">
        <w:t>ses</w:t>
      </w:r>
      <w:r w:rsidR="00CC2F81" w:rsidRPr="00A05698">
        <w:t xml:space="preserve"> zones d’intervention </w:t>
      </w:r>
      <w:r w:rsidR="00581653" w:rsidRPr="00A05698">
        <w:t>du</w:t>
      </w:r>
      <w:r w:rsidR="00CC2F81" w:rsidRPr="00A05698">
        <w:t xml:space="preserve"> pays</w:t>
      </w:r>
      <w:r w:rsidRPr="00A05698">
        <w:t>.</w:t>
      </w:r>
    </w:p>
    <w:p w:rsidR="0003666F" w:rsidRPr="00A05698" w:rsidRDefault="0003666F" w:rsidP="00A76F4A">
      <w:pPr>
        <w:ind w:right="12"/>
        <w:jc w:val="both"/>
      </w:pPr>
    </w:p>
    <w:p w:rsidR="006950A3" w:rsidRDefault="006950A3" w:rsidP="00A76F4A">
      <w:pPr>
        <w:ind w:right="12"/>
        <w:jc w:val="both"/>
      </w:pPr>
      <w:r w:rsidRPr="00A05698">
        <w:t xml:space="preserve">C’est l’outil qui permet de tirer profit (au maximum) des retombées positives du projet en proposant une série de mesures visant à éliminer ou réduire les impacts négatifs potentiels du projet sur les composantes biophysiques et sociales dans la zone d’intervention. Son objectif principal est de consolider les ambitions du Projet </w:t>
      </w:r>
      <w:r w:rsidR="00D14B1A" w:rsidRPr="00A05698">
        <w:t>PUSA</w:t>
      </w:r>
      <w:r w:rsidRPr="00A05698">
        <w:t xml:space="preserve"> </w:t>
      </w:r>
      <w:r w:rsidR="00581653" w:rsidRPr="00A05698">
        <w:t xml:space="preserve">à </w:t>
      </w:r>
      <w:r w:rsidR="000E1A4B" w:rsidRPr="00A05698">
        <w:t>travers l’amélioration</w:t>
      </w:r>
      <w:r w:rsidRPr="00A05698">
        <w:t xml:space="preserve"> des revenus des petits </w:t>
      </w:r>
      <w:r w:rsidR="00D14B1A" w:rsidRPr="00A05698">
        <w:t xml:space="preserve">et grands </w:t>
      </w:r>
      <w:r w:rsidRPr="00A05698">
        <w:t>p</w:t>
      </w:r>
      <w:r w:rsidR="00D14B1A" w:rsidRPr="00A05698">
        <w:t>roducteurs agricoles</w:t>
      </w:r>
      <w:r w:rsidR="00581653" w:rsidRPr="00A05698">
        <w:t xml:space="preserve">. Cette amélioration se </w:t>
      </w:r>
      <w:r w:rsidR="001C30E0" w:rsidRPr="00A05698">
        <w:t>traduit</w:t>
      </w:r>
      <w:r w:rsidR="00581653" w:rsidRPr="00A05698">
        <w:t xml:space="preserve"> par</w:t>
      </w:r>
      <w:r w:rsidR="00DB3646" w:rsidRPr="00A05698">
        <w:t xml:space="preserve"> </w:t>
      </w:r>
      <w:r w:rsidR="0098744F" w:rsidRPr="00A05698">
        <w:t>une meilleure condition</w:t>
      </w:r>
      <w:r w:rsidRPr="00A05698">
        <w:t xml:space="preserve"> de</w:t>
      </w:r>
      <w:r w:rsidR="0098744F" w:rsidRPr="00A05698">
        <w:t xml:space="preserve"> la population, création d’emplois pour</w:t>
      </w:r>
      <w:r w:rsidRPr="00A05698">
        <w:t xml:space="preserve"> des femmes et des jeunes ainsi que le désenclavement des sites </w:t>
      </w:r>
      <w:r w:rsidR="00755984" w:rsidRPr="00A05698">
        <w:t xml:space="preserve">de production </w:t>
      </w:r>
      <w:r w:rsidRPr="00A05698">
        <w:t>par la constru</w:t>
      </w:r>
      <w:r w:rsidR="00755984" w:rsidRPr="00A05698">
        <w:t>ction de voie d’accès</w:t>
      </w:r>
      <w:r w:rsidRPr="00A05698">
        <w:t xml:space="preserve"> tout en respectant l’équilibre des écosystèmes et les conditions environnementales permettant la durabilité des actions</w:t>
      </w:r>
      <w:r w:rsidR="00043F89" w:rsidRPr="00A05698">
        <w:t xml:space="preserve"> mais aussi, de combattre la pauvreté dans le pays.</w:t>
      </w:r>
    </w:p>
    <w:p w:rsidR="0003666F" w:rsidRPr="00A05698" w:rsidRDefault="0003666F" w:rsidP="00A76F4A">
      <w:pPr>
        <w:ind w:right="12"/>
        <w:jc w:val="both"/>
      </w:pPr>
    </w:p>
    <w:p w:rsidR="00E95C17" w:rsidRDefault="006950A3" w:rsidP="00A76F4A">
      <w:pPr>
        <w:ind w:right="12"/>
        <w:jc w:val="both"/>
      </w:pPr>
      <w:r w:rsidRPr="00A05698">
        <w:t xml:space="preserve">Le CGES propose d’abord, une série de mesures </w:t>
      </w:r>
      <w:r w:rsidR="00E95658">
        <w:t>visant à réduire/</w:t>
      </w:r>
      <w:r w:rsidR="00173E74">
        <w:t>atténuer les risques et impacts négatifs potentiels</w:t>
      </w:r>
      <w:r w:rsidRPr="00A05698">
        <w:t xml:space="preserve"> du </w:t>
      </w:r>
      <w:r w:rsidR="0084006A" w:rsidRPr="00A05698">
        <w:t>projet</w:t>
      </w:r>
      <w:r w:rsidRPr="00A05698">
        <w:t xml:space="preserve"> </w:t>
      </w:r>
      <w:r w:rsidR="00BE1570" w:rsidRPr="00A05698">
        <w:t xml:space="preserve">PUSA </w:t>
      </w:r>
      <w:r w:rsidRPr="00A05698">
        <w:t xml:space="preserve">ainsi que les dispositifs de surveillance et de suivi environnemental de sa mise en œuvre. Ensuite, il déroule </w:t>
      </w:r>
      <w:r w:rsidR="006A565D">
        <w:t>la procédure de gestion environnementale et sociale</w:t>
      </w:r>
      <w:r w:rsidR="00651888">
        <w:t xml:space="preserve"> qui inclut </w:t>
      </w:r>
      <w:r w:rsidRPr="00A05698">
        <w:t xml:space="preserve">le processus de sélection environnementale (screening) des </w:t>
      </w:r>
      <w:r w:rsidR="00651888">
        <w:t>sous-</w:t>
      </w:r>
      <w:r w:rsidRPr="00A05698">
        <w:t xml:space="preserve">projets qui seront réalisés dans le cadre du projet. </w:t>
      </w:r>
    </w:p>
    <w:p w:rsidR="0003666F" w:rsidRPr="00A05698" w:rsidRDefault="0003666F" w:rsidP="00A76F4A">
      <w:pPr>
        <w:ind w:right="12"/>
        <w:jc w:val="both"/>
      </w:pPr>
    </w:p>
    <w:p w:rsidR="00E95C17" w:rsidRPr="00A05698" w:rsidRDefault="006950A3" w:rsidP="00A76F4A">
      <w:pPr>
        <w:ind w:right="12"/>
        <w:jc w:val="both"/>
      </w:pPr>
      <w:r w:rsidRPr="00A05698">
        <w:t>Le screening poursuit les objectifs suivants :</w:t>
      </w:r>
    </w:p>
    <w:p w:rsidR="006950A3" w:rsidRPr="00A05698" w:rsidRDefault="002D66E0" w:rsidP="00A76F4A">
      <w:pPr>
        <w:numPr>
          <w:ilvl w:val="0"/>
          <w:numId w:val="63"/>
        </w:numPr>
        <w:ind w:left="426" w:right="12" w:hanging="283"/>
        <w:jc w:val="both"/>
      </w:pPr>
      <w:r w:rsidRPr="00A05698">
        <w:t>d</w:t>
      </w:r>
      <w:r w:rsidR="00D778FF" w:rsidRPr="00A05698">
        <w:t>éterminer</w:t>
      </w:r>
      <w:r w:rsidR="006950A3" w:rsidRPr="00A05698">
        <w:t xml:space="preserve"> les activités du </w:t>
      </w:r>
      <w:r w:rsidR="00D44204" w:rsidRPr="00A05698">
        <w:t>PUSA</w:t>
      </w:r>
      <w:r w:rsidR="006950A3" w:rsidRPr="00A05698">
        <w:t xml:space="preserve"> potentiellement porteuses d'impacts négatifs majeurs au niveau environnemental et social ;</w:t>
      </w:r>
    </w:p>
    <w:p w:rsidR="006950A3" w:rsidRPr="00A05698" w:rsidRDefault="006950A3" w:rsidP="00A76F4A">
      <w:pPr>
        <w:numPr>
          <w:ilvl w:val="0"/>
          <w:numId w:val="63"/>
        </w:numPr>
        <w:ind w:left="426" w:right="12" w:hanging="283"/>
        <w:jc w:val="both"/>
      </w:pPr>
      <w:r w:rsidRPr="00A05698">
        <w:t xml:space="preserve">déterminer les activités nécessitant des études d'impact environnemental et social (EIES) additionnelles </w:t>
      </w:r>
      <w:r w:rsidR="007F13A0">
        <w:t>ou des études d’analyse environnemental initial (AEI)</w:t>
      </w:r>
      <w:r w:rsidRPr="00A05698">
        <w:t>;</w:t>
      </w:r>
    </w:p>
    <w:p w:rsidR="00FC2D9A" w:rsidRDefault="00F502A7" w:rsidP="00A76F4A">
      <w:pPr>
        <w:numPr>
          <w:ilvl w:val="0"/>
          <w:numId w:val="63"/>
        </w:numPr>
        <w:ind w:left="426" w:right="12" w:hanging="283"/>
        <w:jc w:val="both"/>
      </w:pPr>
      <w:r>
        <w:t xml:space="preserve">pour </w:t>
      </w:r>
      <w:r w:rsidR="009958D4">
        <w:t>les</w:t>
      </w:r>
      <w:r>
        <w:t xml:space="preserve"> activité</w:t>
      </w:r>
      <w:r w:rsidR="009958D4">
        <w:t>s</w:t>
      </w:r>
      <w:r>
        <w:t xml:space="preserve"> qui ne nécessite</w:t>
      </w:r>
      <w:r w:rsidR="009958D4">
        <w:t>nt</w:t>
      </w:r>
      <w:r>
        <w:t xml:space="preserve"> pas une EIES, </w:t>
      </w:r>
      <w:r w:rsidR="00FC2D9A" w:rsidRPr="00A05698">
        <w:t xml:space="preserve">identifier les mesures d'atténuation pertinentes </w:t>
      </w:r>
      <w:r w:rsidR="00DF027B">
        <w:t>à intégrer dans le</w:t>
      </w:r>
      <w:r w:rsidR="009958D4">
        <w:t>s</w:t>
      </w:r>
      <w:r w:rsidR="00FB1CFE">
        <w:t xml:space="preserve"> dossier</w:t>
      </w:r>
      <w:r w:rsidR="009958D4">
        <w:t>s</w:t>
      </w:r>
      <w:r w:rsidR="00FB1CFE">
        <w:t xml:space="preserve"> de</w:t>
      </w:r>
      <w:r w:rsidR="009958D4">
        <w:t xml:space="preserve"> ces</w:t>
      </w:r>
      <w:r w:rsidR="00F66783">
        <w:t xml:space="preserve"> activités</w:t>
      </w:r>
      <w:r w:rsidR="00FC2D9A" w:rsidRPr="00A05698">
        <w:t xml:space="preserve"> ; </w:t>
      </w:r>
    </w:p>
    <w:p w:rsidR="00A57DCB" w:rsidRPr="00A05698" w:rsidRDefault="00A57DCB" w:rsidP="00A76F4A">
      <w:pPr>
        <w:ind w:left="426" w:right="12"/>
        <w:jc w:val="both"/>
      </w:pPr>
    </w:p>
    <w:p w:rsidR="006950A3" w:rsidRPr="0003666F" w:rsidRDefault="006950A3"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317" w:name="_Toc395996241"/>
      <w:bookmarkStart w:id="318" w:name="_Toc414259913"/>
      <w:bookmarkStart w:id="319" w:name="_Toc414260183"/>
      <w:bookmarkStart w:id="320" w:name="_Toc414262932"/>
      <w:bookmarkStart w:id="321" w:name="_Toc414263071"/>
      <w:bookmarkStart w:id="322" w:name="_Toc512872029"/>
      <w:bookmarkStart w:id="323" w:name="_Toc4070810"/>
      <w:bookmarkStart w:id="324" w:name="_Toc75432307"/>
      <w:r w:rsidRPr="0003666F">
        <w:rPr>
          <w:rFonts w:ascii="Times New Roman" w:hAnsi="Times New Roman"/>
          <w:b/>
          <w:bCs/>
          <w:sz w:val="24"/>
          <w:szCs w:val="24"/>
        </w:rPr>
        <w:t>MESURES D</w:t>
      </w:r>
      <w:r w:rsidR="004A77FA" w:rsidRPr="0003666F">
        <w:rPr>
          <w:rFonts w:ascii="Times New Roman" w:hAnsi="Times New Roman"/>
          <w:b/>
          <w:bCs/>
          <w:sz w:val="24"/>
          <w:szCs w:val="24"/>
        </w:rPr>
        <w:t>’ATTENUATION</w:t>
      </w:r>
      <w:bookmarkEnd w:id="317"/>
      <w:bookmarkEnd w:id="318"/>
      <w:bookmarkEnd w:id="319"/>
      <w:bookmarkEnd w:id="320"/>
      <w:bookmarkEnd w:id="321"/>
      <w:bookmarkEnd w:id="322"/>
      <w:bookmarkEnd w:id="323"/>
      <w:bookmarkEnd w:id="324"/>
    </w:p>
    <w:p w:rsidR="004A77FA" w:rsidRDefault="006950A3" w:rsidP="00A76F4A">
      <w:pPr>
        <w:ind w:right="12"/>
        <w:jc w:val="both"/>
      </w:pPr>
      <w:r w:rsidRPr="00A05698">
        <w:t>En vue d</w:t>
      </w:r>
      <w:r w:rsidR="00310CB8">
        <w:t>’</w:t>
      </w:r>
      <w:r w:rsidR="00DA7F08">
        <w:t>éviter/</w:t>
      </w:r>
      <w:r w:rsidRPr="00A05698">
        <w:t xml:space="preserve">réduire les impacts négatifs du </w:t>
      </w:r>
      <w:bookmarkStart w:id="325" w:name="_Toc395995976"/>
      <w:bookmarkStart w:id="326" w:name="_Toc395996242"/>
      <w:r w:rsidR="008615C8" w:rsidRPr="00A05698">
        <w:t>Projet d’urgence</w:t>
      </w:r>
      <w:r w:rsidR="00DB090C" w:rsidRPr="00A05698">
        <w:t xml:space="preserve"> de sécurité alimentaire en Guinée Bissau</w:t>
      </w:r>
      <w:r w:rsidR="004A63D6" w:rsidRPr="00A05698">
        <w:t xml:space="preserve"> (PUSA)</w:t>
      </w:r>
      <w:r w:rsidR="004A77FA">
        <w:t>, d</w:t>
      </w:r>
      <w:r w:rsidRPr="00A05698">
        <w:t xml:space="preserve">es mesures sont souvent prises dans une optique d’amplifier leurs impacts positifs. Le </w:t>
      </w:r>
      <w:r w:rsidR="008615C8" w:rsidRPr="00A05698">
        <w:t>projet</w:t>
      </w:r>
      <w:r w:rsidRPr="00A05698">
        <w:t xml:space="preserve"> </w:t>
      </w:r>
      <w:r w:rsidR="008615C8" w:rsidRPr="00A05698">
        <w:t xml:space="preserve">PUSA </w:t>
      </w:r>
      <w:r w:rsidRPr="00A05698">
        <w:t>a déjà intégré plusieurs mesures dans ce sens.</w:t>
      </w:r>
    </w:p>
    <w:p w:rsidR="0003666F" w:rsidRDefault="0003666F" w:rsidP="00A76F4A">
      <w:pPr>
        <w:ind w:right="12"/>
        <w:jc w:val="both"/>
      </w:pPr>
    </w:p>
    <w:p w:rsidR="00326542" w:rsidRDefault="006950A3" w:rsidP="00A76F4A">
      <w:pPr>
        <w:ind w:right="12"/>
        <w:jc w:val="both"/>
      </w:pPr>
      <w:r w:rsidRPr="00A05698">
        <w:t xml:space="preserve"> Les principales mesures de bonification intégrées par le projet sont synthétisées dans les lignes ci-dessous :</w:t>
      </w:r>
    </w:p>
    <w:p w:rsidR="002240D2" w:rsidRDefault="002240D2" w:rsidP="00A76F4A">
      <w:pPr>
        <w:ind w:left="-284" w:right="12"/>
        <w:jc w:val="both"/>
      </w:pPr>
    </w:p>
    <w:tbl>
      <w:tblPr>
        <w:tblpPr w:leftFromText="141" w:rightFromText="141" w:vertAnchor="text" w:tblpXSpec="center" w:tblpY="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46"/>
        <w:gridCol w:w="8502"/>
      </w:tblGrid>
      <w:tr w:rsidR="002240D2" w:rsidRPr="002B2401" w:rsidTr="001E7D5D">
        <w:trPr>
          <w:trHeight w:val="139"/>
          <w:tblHeader/>
        </w:trPr>
        <w:tc>
          <w:tcPr>
            <w:tcW w:w="1846" w:type="dxa"/>
            <w:tcBorders>
              <w:top w:val="single" w:sz="4" w:space="0" w:color="auto"/>
            </w:tcBorders>
            <w:shd w:val="clear" w:color="auto" w:fill="E2EFD9" w:themeFill="accent6" w:themeFillTint="33"/>
            <w:vAlign w:val="center"/>
          </w:tcPr>
          <w:p w:rsidR="002240D2" w:rsidRPr="002B2401" w:rsidRDefault="002240D2" w:rsidP="00A76F4A">
            <w:pPr>
              <w:ind w:right="12"/>
              <w:jc w:val="center"/>
              <w:rPr>
                <w:rFonts w:eastAsia="Calibri"/>
                <w:b/>
                <w:bCs/>
                <w:sz w:val="21"/>
                <w:szCs w:val="21"/>
              </w:rPr>
            </w:pPr>
            <w:r w:rsidRPr="002B2401">
              <w:rPr>
                <w:rFonts w:eastAsia="Calibri"/>
                <w:b/>
                <w:bCs/>
                <w:color w:val="000000"/>
                <w:sz w:val="21"/>
                <w:szCs w:val="21"/>
              </w:rPr>
              <w:t>Activités</w:t>
            </w:r>
          </w:p>
        </w:tc>
        <w:tc>
          <w:tcPr>
            <w:tcW w:w="8502" w:type="dxa"/>
            <w:tcBorders>
              <w:top w:val="single" w:sz="4" w:space="0" w:color="auto"/>
            </w:tcBorders>
            <w:shd w:val="clear" w:color="auto" w:fill="E2EFD9" w:themeFill="accent6" w:themeFillTint="33"/>
            <w:vAlign w:val="center"/>
          </w:tcPr>
          <w:p w:rsidR="002240D2" w:rsidRPr="00267A69" w:rsidRDefault="00267A69" w:rsidP="00A76F4A">
            <w:pPr>
              <w:ind w:right="12"/>
              <w:jc w:val="center"/>
              <w:rPr>
                <w:rFonts w:eastAsia="Calibri"/>
                <w:b/>
                <w:bCs/>
                <w:color w:val="000000"/>
                <w:sz w:val="21"/>
                <w:szCs w:val="21"/>
              </w:rPr>
            </w:pPr>
            <w:r w:rsidRPr="004977FF">
              <w:rPr>
                <w:b/>
              </w:rPr>
              <w:t>Mesures de bonification</w:t>
            </w:r>
            <w:r w:rsidRPr="00267A69">
              <w:rPr>
                <w:rFonts w:eastAsia="Calibri"/>
                <w:b/>
                <w:bCs/>
                <w:color w:val="000000"/>
                <w:sz w:val="21"/>
                <w:szCs w:val="21"/>
              </w:rPr>
              <w:t xml:space="preserve"> </w:t>
            </w:r>
          </w:p>
        </w:tc>
      </w:tr>
      <w:tr w:rsidR="00267A69" w:rsidRPr="002B2401" w:rsidTr="00E53ED8">
        <w:trPr>
          <w:trHeight w:val="2032"/>
        </w:trPr>
        <w:tc>
          <w:tcPr>
            <w:tcW w:w="1846" w:type="dxa"/>
            <w:tcBorders>
              <w:top w:val="single" w:sz="4" w:space="0" w:color="auto"/>
              <w:bottom w:val="single" w:sz="4" w:space="0" w:color="auto"/>
            </w:tcBorders>
            <w:shd w:val="clear" w:color="auto" w:fill="E2EFD9" w:themeFill="accent6" w:themeFillTint="33"/>
            <w:vAlign w:val="center"/>
          </w:tcPr>
          <w:p w:rsidR="00267A69" w:rsidRPr="002B2401" w:rsidRDefault="00267A69" w:rsidP="00A76F4A">
            <w:pPr>
              <w:ind w:right="12"/>
              <w:jc w:val="center"/>
              <w:rPr>
                <w:rFonts w:eastAsia="Calibri"/>
                <w:b/>
                <w:bCs/>
                <w:color w:val="000000"/>
                <w:sz w:val="21"/>
                <w:szCs w:val="21"/>
              </w:rPr>
            </w:pPr>
            <w:r w:rsidRPr="00345951">
              <w:rPr>
                <w:b/>
              </w:rPr>
              <w:t>Soutien aux Filets de Sécurité communautaires</w:t>
            </w:r>
            <w:r>
              <w:rPr>
                <w:b/>
                <w:sz w:val="21"/>
                <w:szCs w:val="21"/>
              </w:rPr>
              <w:t xml:space="preserve">  (</w:t>
            </w:r>
            <w:r>
              <w:rPr>
                <w:b/>
              </w:rPr>
              <w:t xml:space="preserve"> C</w:t>
            </w:r>
            <w:r w:rsidRPr="005857A6">
              <w:rPr>
                <w:b/>
              </w:rPr>
              <w:t>ommuns aux différents travaux</w:t>
            </w:r>
            <w:r>
              <w:rPr>
                <w:b/>
              </w:rPr>
              <w:t>)</w:t>
            </w:r>
            <w:r w:rsidRPr="002B2401">
              <w:rPr>
                <w:b/>
                <w:sz w:val="21"/>
                <w:szCs w:val="21"/>
              </w:rPr>
              <w:t xml:space="preserve"> </w:t>
            </w:r>
          </w:p>
        </w:tc>
        <w:tc>
          <w:tcPr>
            <w:tcW w:w="8502" w:type="dxa"/>
            <w:shd w:val="clear" w:color="auto" w:fill="FFFFFF" w:themeFill="background1"/>
            <w:vAlign w:val="center"/>
          </w:tcPr>
          <w:p w:rsidR="00267A69" w:rsidRPr="00D47C37" w:rsidRDefault="00267A69"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Faire le plaidoyer et le lobbying du projet auprès des bailleurs de fonds pour boucler les cycles de financement nécessaire des différentes phases du projet ;</w:t>
            </w:r>
          </w:p>
          <w:p w:rsidR="00267A69" w:rsidRPr="00D47C37" w:rsidRDefault="00267A69"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Impliquer tous les acteurs institutionnels concernés par le projet ;</w:t>
            </w:r>
          </w:p>
          <w:p w:rsidR="00267A69" w:rsidRPr="00D47C37" w:rsidRDefault="00267A69"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Tenir compte du niveau de vie des populations en réorientant les opportunités de correction des sous projets selon leurs attentes et besoins exprimés ;</w:t>
            </w:r>
          </w:p>
          <w:p w:rsidR="00267A69" w:rsidRPr="00D47C37" w:rsidRDefault="00267A69"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 xml:space="preserve">Prendre en compte les propositions des populations en matière de politiques sociales et d'accompagnement du projet ; </w:t>
            </w:r>
          </w:p>
          <w:p w:rsidR="00267A69" w:rsidRPr="00D47C37" w:rsidRDefault="00267A69"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S'agissant des enjeux fonciers associés aux sites qui seront proposés pour les magasins, les voies d’accès et les marchés promouvoir le bien fondé du projet et la nécessité d'un programme agricole fiable et performant pour lutter contre la pauvreté, l'insécurité alimentaire et surtout aux effets néfastes des changements climatiques ;</w:t>
            </w:r>
          </w:p>
          <w:p w:rsidR="00267A69" w:rsidRPr="00D47C37" w:rsidRDefault="00267A69" w:rsidP="00A76F4A">
            <w:pPr>
              <w:pStyle w:val="PargrafodaLista"/>
              <w:numPr>
                <w:ilvl w:val="0"/>
                <w:numId w:val="202"/>
              </w:numPr>
              <w:spacing w:after="0" w:line="240" w:lineRule="auto"/>
              <w:ind w:right="12"/>
              <w:jc w:val="both"/>
              <w:rPr>
                <w:sz w:val="22"/>
                <w:szCs w:val="22"/>
              </w:rPr>
            </w:pPr>
            <w:r w:rsidRPr="00D47C37">
              <w:rPr>
                <w:rFonts w:ascii="Times New Roman" w:hAnsi="Times New Roman"/>
                <w:sz w:val="22"/>
                <w:szCs w:val="22"/>
              </w:rPr>
              <w:t>Mise en place d'un programme de gestion des ressources naturelles en veillant à la prise en compte des impacts négatifs relatifs aux activités prévues pour chaque composante ;</w:t>
            </w:r>
            <w:r w:rsidR="00D678F9">
              <w:rPr>
                <w:rFonts w:ascii="Times New Roman" w:hAnsi="Times New Roman"/>
                <w:sz w:val="22"/>
                <w:szCs w:val="22"/>
              </w:rPr>
              <w:t>L</w:t>
            </w:r>
            <w:r w:rsidRPr="00D47C37">
              <w:rPr>
                <w:rFonts w:ascii="Times New Roman" w:hAnsi="Times New Roman"/>
                <w:sz w:val="22"/>
                <w:szCs w:val="22"/>
              </w:rPr>
              <w:t>'analyse de genre appliquée afin que les besoins des femmes soient satisfaits.</w:t>
            </w:r>
          </w:p>
          <w:p w:rsidR="00267A69" w:rsidRPr="00D47C37" w:rsidRDefault="00267A69"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Veiller à la réduction des conflits d'accès aux ressources naturelles par la définition de stratégies cohérentes de coexistence entre les différentes catégories socioprofessionnelles ;</w:t>
            </w:r>
          </w:p>
          <w:p w:rsidR="00267A69" w:rsidRPr="00D47C37" w:rsidRDefault="00267A69"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Mettre en œuvre un programme GIRE (Gestion Intégrée des ressources en eau) pour promouvoir la gestion rationnelle et responsables ressources en eau, en réponse aux changements climatiques ;</w:t>
            </w:r>
          </w:p>
          <w:p w:rsidR="00267A69" w:rsidRPr="00D47C37" w:rsidRDefault="00267A69"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Respecter les normes et les directives environnementales et sociales de la Banque Mondiale ;</w:t>
            </w:r>
          </w:p>
          <w:p w:rsidR="00EA41CF" w:rsidRPr="00D47C37" w:rsidRDefault="00EA41CF"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Mettre en place un dispositif de consultation et d’un programme d’information et de sensibilisation (organisation d’ateliers de lancement du programme, tenue de forum, etc.) en tenant compte du fait que certains groupes sociaux risquent d'être exclus (ex ; femmes, filles) et en les ciblant avec des consultations séparées en petits groupes animées par une femme.</w:t>
            </w:r>
          </w:p>
          <w:p w:rsidR="00267A69" w:rsidRPr="00D47C37" w:rsidRDefault="00EA41CF"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Sensibiliser sur les IST, VIH/SIDA, la Covid 19 appliquer le programme d’IEC.</w:t>
            </w:r>
          </w:p>
          <w:p w:rsidR="00EA41CF" w:rsidRPr="004F1E76" w:rsidRDefault="00EA41CF" w:rsidP="00A76F4A">
            <w:pPr>
              <w:numPr>
                <w:ilvl w:val="0"/>
                <w:numId w:val="202"/>
              </w:numPr>
              <w:ind w:right="12"/>
              <w:jc w:val="both"/>
              <w:rPr>
                <w:rFonts w:eastAsia="Calibri"/>
                <w:sz w:val="22"/>
                <w:szCs w:val="22"/>
              </w:rPr>
            </w:pPr>
            <w:r w:rsidRPr="00B301C2">
              <w:rPr>
                <w:sz w:val="22"/>
                <w:szCs w:val="22"/>
              </w:rPr>
              <w:t>Sensibiliser la communauté et les travailleurs (ses) du projet sur les risques des VBG-EAS/HS et leurs conséquences, ainsi que les comportements inacceptables du côté des travailleurs (ses), et le mécanisme m</w:t>
            </w:r>
            <w:r w:rsidRPr="00D239C9">
              <w:rPr>
                <w:sz w:val="22"/>
                <w:szCs w:val="22"/>
              </w:rPr>
              <w:t>is</w:t>
            </w:r>
            <w:r w:rsidRPr="004F1E76">
              <w:rPr>
                <w:sz w:val="22"/>
                <w:szCs w:val="22"/>
              </w:rPr>
              <w:t xml:space="preserve"> à disposition par le projet dans le cas qu’un incident arrive. </w:t>
            </w:r>
          </w:p>
          <w:p w:rsidR="00EA41CF" w:rsidRPr="002A368B" w:rsidRDefault="00EA41CF" w:rsidP="00A76F4A">
            <w:pPr>
              <w:ind w:right="12"/>
              <w:jc w:val="both"/>
              <w:rPr>
                <w:b/>
                <w:color w:val="000000" w:themeColor="text1"/>
                <w:sz w:val="21"/>
                <w:szCs w:val="21"/>
              </w:rPr>
            </w:pPr>
          </w:p>
        </w:tc>
      </w:tr>
      <w:tr w:rsidR="00EA41CF" w:rsidRPr="002B2401" w:rsidTr="00E53ED8">
        <w:trPr>
          <w:trHeight w:val="2032"/>
        </w:trPr>
        <w:tc>
          <w:tcPr>
            <w:tcW w:w="1846" w:type="dxa"/>
            <w:tcBorders>
              <w:top w:val="single" w:sz="4" w:space="0" w:color="auto"/>
              <w:bottom w:val="single" w:sz="4" w:space="0" w:color="auto"/>
            </w:tcBorders>
            <w:shd w:val="clear" w:color="auto" w:fill="E2EFD9" w:themeFill="accent6" w:themeFillTint="33"/>
            <w:vAlign w:val="center"/>
          </w:tcPr>
          <w:p w:rsidR="00EA41CF" w:rsidRPr="00345951" w:rsidRDefault="000C1495" w:rsidP="00A76F4A">
            <w:pPr>
              <w:ind w:right="12"/>
              <w:jc w:val="center"/>
              <w:rPr>
                <w:b/>
              </w:rPr>
            </w:pPr>
            <w:r w:rsidRPr="002B2401">
              <w:rPr>
                <w:b/>
                <w:sz w:val="21"/>
                <w:szCs w:val="21"/>
              </w:rPr>
              <w:lastRenderedPageBreak/>
              <w:t>La</w:t>
            </w:r>
            <w:r w:rsidR="00EA41CF" w:rsidRPr="002B2401">
              <w:rPr>
                <w:b/>
                <w:sz w:val="21"/>
                <w:szCs w:val="21"/>
              </w:rPr>
              <w:t xml:space="preserve"> réhabilitat</w:t>
            </w:r>
            <w:r w:rsidR="00EA41CF">
              <w:rPr>
                <w:b/>
                <w:sz w:val="21"/>
                <w:szCs w:val="21"/>
              </w:rPr>
              <w:t>ion des structures de stockage</w:t>
            </w:r>
            <w:r w:rsidR="00EA41CF" w:rsidRPr="002B2401">
              <w:rPr>
                <w:b/>
                <w:sz w:val="21"/>
                <w:szCs w:val="21"/>
              </w:rPr>
              <w:t>, la const</w:t>
            </w:r>
            <w:r w:rsidR="00EA41CF">
              <w:rPr>
                <w:b/>
                <w:sz w:val="21"/>
                <w:szCs w:val="21"/>
              </w:rPr>
              <w:t>ruction de marchés locaux, etc.</w:t>
            </w:r>
          </w:p>
        </w:tc>
        <w:tc>
          <w:tcPr>
            <w:tcW w:w="8502" w:type="dxa"/>
            <w:shd w:val="clear" w:color="auto" w:fill="FFFFFF" w:themeFill="background1"/>
            <w:vAlign w:val="center"/>
          </w:tcPr>
          <w:p w:rsidR="00EA41CF" w:rsidRPr="00D47C37" w:rsidRDefault="00EA41CF" w:rsidP="00A76F4A">
            <w:pPr>
              <w:pStyle w:val="PargrafodaLista"/>
              <w:numPr>
                <w:ilvl w:val="0"/>
                <w:numId w:val="202"/>
              </w:numPr>
              <w:spacing w:after="0" w:line="240" w:lineRule="auto"/>
              <w:ind w:right="12"/>
              <w:jc w:val="both"/>
              <w:rPr>
                <w:rFonts w:ascii="Times New Roman" w:hAnsi="Times New Roman"/>
                <w:sz w:val="22"/>
                <w:szCs w:val="22"/>
              </w:rPr>
            </w:pPr>
            <w:r w:rsidRPr="00D47C37">
              <w:rPr>
                <w:rFonts w:ascii="Times New Roman" w:hAnsi="Times New Roman"/>
                <w:sz w:val="22"/>
                <w:szCs w:val="22"/>
              </w:rPr>
              <w:t>Veiller au reboisement des sites ou réaliser des aménagements paysager pour compenser les arbres abattus pour la réalisation des infrastructures ;</w:t>
            </w:r>
          </w:p>
          <w:p w:rsidR="00A51151" w:rsidRPr="00D47C37" w:rsidRDefault="00A51151" w:rsidP="00A76F4A">
            <w:pPr>
              <w:pStyle w:val="PargrafodaLista"/>
              <w:numPr>
                <w:ilvl w:val="0"/>
                <w:numId w:val="202"/>
              </w:numPr>
              <w:spacing w:after="0" w:line="240" w:lineRule="auto"/>
              <w:ind w:right="12"/>
              <w:jc w:val="both"/>
              <w:rPr>
                <w:rFonts w:ascii="Times New Roman" w:hAnsi="Times New Roman"/>
                <w:b/>
                <w:bCs/>
                <w:sz w:val="22"/>
                <w:szCs w:val="22"/>
              </w:rPr>
            </w:pPr>
            <w:r w:rsidRPr="00D47C37">
              <w:rPr>
                <w:rFonts w:ascii="Times New Roman" w:hAnsi="Times New Roman"/>
                <w:sz w:val="22"/>
                <w:szCs w:val="22"/>
              </w:rPr>
              <w:t>Former les bénéficiaires des sous projets en techniques de gestion, en gestion de conservation des infrastructures et de conduites de projet ;</w:t>
            </w:r>
          </w:p>
          <w:p w:rsidR="00A51151" w:rsidRPr="00D47C37" w:rsidRDefault="00A51151" w:rsidP="00A76F4A">
            <w:pPr>
              <w:pStyle w:val="PargrafodaLista"/>
              <w:numPr>
                <w:ilvl w:val="0"/>
                <w:numId w:val="202"/>
              </w:numPr>
              <w:spacing w:after="0" w:line="240" w:lineRule="auto"/>
              <w:ind w:right="12"/>
              <w:jc w:val="both"/>
              <w:rPr>
                <w:rFonts w:ascii="Times New Roman" w:hAnsi="Times New Roman"/>
                <w:b/>
                <w:bCs/>
                <w:sz w:val="22"/>
                <w:szCs w:val="22"/>
              </w:rPr>
            </w:pPr>
            <w:r w:rsidRPr="00D47C37">
              <w:rPr>
                <w:rFonts w:ascii="Times New Roman" w:hAnsi="Times New Roman"/>
                <w:sz w:val="22"/>
                <w:szCs w:val="22"/>
              </w:rPr>
              <w:t xml:space="preserve">Créer les conditions d'accueil de nouveaux migrants en particulier ceux venant des villages (Tabanac) environnants ; </w:t>
            </w:r>
          </w:p>
          <w:p w:rsidR="00030C3A" w:rsidRPr="00B301C2" w:rsidRDefault="00030C3A" w:rsidP="00A76F4A">
            <w:pPr>
              <w:numPr>
                <w:ilvl w:val="0"/>
                <w:numId w:val="202"/>
              </w:numPr>
              <w:ind w:right="12"/>
              <w:jc w:val="both"/>
              <w:rPr>
                <w:rFonts w:eastAsia="Calibri"/>
                <w:sz w:val="22"/>
                <w:szCs w:val="22"/>
              </w:rPr>
            </w:pPr>
            <w:r w:rsidRPr="00B301C2">
              <w:rPr>
                <w:rFonts w:eastAsia="Calibri"/>
                <w:sz w:val="22"/>
                <w:szCs w:val="22"/>
              </w:rPr>
              <w:t xml:space="preserve">Réduire les risques de conflits familiaux ou communautaire pendant les procédures d’obtention des sites </w:t>
            </w:r>
          </w:p>
          <w:p w:rsidR="00E42804" w:rsidRPr="00D47C37" w:rsidRDefault="005D133D" w:rsidP="00A76F4A">
            <w:pPr>
              <w:pStyle w:val="PargrafodaLista"/>
              <w:numPr>
                <w:ilvl w:val="0"/>
                <w:numId w:val="202"/>
              </w:numPr>
              <w:spacing w:after="0" w:line="259" w:lineRule="auto"/>
              <w:ind w:right="12"/>
              <w:jc w:val="both"/>
              <w:rPr>
                <w:rFonts w:ascii="Times New Roman" w:hAnsi="Times New Roman"/>
                <w:sz w:val="22"/>
                <w:szCs w:val="22"/>
              </w:rPr>
            </w:pPr>
            <w:r w:rsidRPr="00B301C2">
              <w:rPr>
                <w:rFonts w:ascii="Times New Roman" w:hAnsi="Times New Roman"/>
                <w:sz w:val="22"/>
                <w:szCs w:val="22"/>
              </w:rPr>
              <w:t>Former les opérateurs/conducteurs à la conduite en sécurité́ ;</w:t>
            </w:r>
          </w:p>
          <w:p w:rsidR="00E42804" w:rsidRPr="004F1E76" w:rsidRDefault="00E42804" w:rsidP="00A76F4A">
            <w:pPr>
              <w:numPr>
                <w:ilvl w:val="0"/>
                <w:numId w:val="202"/>
              </w:numPr>
              <w:ind w:right="12"/>
              <w:jc w:val="both"/>
              <w:rPr>
                <w:rFonts w:eastAsia="Calibri"/>
                <w:sz w:val="22"/>
                <w:szCs w:val="22"/>
              </w:rPr>
            </w:pPr>
            <w:r w:rsidRPr="00B301C2">
              <w:rPr>
                <w:sz w:val="22"/>
                <w:szCs w:val="22"/>
              </w:rPr>
              <w:t>Sensibiliser la communauté et les travailleurs (ses) du projet sur les risques des VBG-EAS/HS et leurs conséquences, ainsi que les comportements inacceptables du côté des travailleurs (ses), et le mécanisme m</w:t>
            </w:r>
            <w:r w:rsidRPr="00D239C9">
              <w:rPr>
                <w:sz w:val="22"/>
                <w:szCs w:val="22"/>
              </w:rPr>
              <w:t>is</w:t>
            </w:r>
            <w:r w:rsidRPr="004F1E76">
              <w:rPr>
                <w:sz w:val="22"/>
                <w:szCs w:val="22"/>
              </w:rPr>
              <w:t xml:space="preserve"> à disposition par le projet dans le cas qu’un incident arrive. </w:t>
            </w:r>
          </w:p>
          <w:p w:rsidR="00EA41CF" w:rsidRPr="00D47C37" w:rsidRDefault="00A51151" w:rsidP="00A76F4A">
            <w:pPr>
              <w:pStyle w:val="PargrafodaLista"/>
              <w:numPr>
                <w:ilvl w:val="0"/>
                <w:numId w:val="202"/>
              </w:numPr>
              <w:spacing w:after="0" w:line="259" w:lineRule="auto"/>
              <w:ind w:right="12"/>
              <w:jc w:val="both"/>
              <w:rPr>
                <w:rFonts w:ascii="Times New Roman" w:hAnsi="Times New Roman"/>
                <w:sz w:val="22"/>
                <w:szCs w:val="22"/>
              </w:rPr>
            </w:pPr>
            <w:r w:rsidRPr="00D47C37">
              <w:rPr>
                <w:rFonts w:ascii="Times New Roman" w:hAnsi="Times New Roman"/>
                <w:sz w:val="22"/>
                <w:szCs w:val="22"/>
              </w:rPr>
              <w:t xml:space="preserve">Mettre en œuvre le   plan de gestion des déchets solides </w:t>
            </w:r>
          </w:p>
        </w:tc>
      </w:tr>
      <w:tr w:rsidR="005D133D" w:rsidRPr="002B2401" w:rsidTr="00E53ED8">
        <w:trPr>
          <w:trHeight w:val="2500"/>
        </w:trPr>
        <w:tc>
          <w:tcPr>
            <w:tcW w:w="1846" w:type="dxa"/>
            <w:tcBorders>
              <w:top w:val="single" w:sz="4" w:space="0" w:color="auto"/>
              <w:bottom w:val="single" w:sz="4" w:space="0" w:color="auto"/>
            </w:tcBorders>
            <w:shd w:val="clear" w:color="auto" w:fill="E2EFD9" w:themeFill="accent6" w:themeFillTint="33"/>
            <w:vAlign w:val="center"/>
          </w:tcPr>
          <w:p w:rsidR="005D133D" w:rsidRPr="002B2401" w:rsidRDefault="005D133D" w:rsidP="00A76F4A">
            <w:pPr>
              <w:ind w:right="12"/>
              <w:jc w:val="center"/>
              <w:rPr>
                <w:b/>
                <w:sz w:val="21"/>
                <w:szCs w:val="21"/>
              </w:rPr>
            </w:pPr>
            <w:r>
              <w:rPr>
                <w:b/>
                <w:sz w:val="21"/>
                <w:szCs w:val="21"/>
              </w:rPr>
              <w:t>O</w:t>
            </w:r>
            <w:r w:rsidRPr="002B2401">
              <w:rPr>
                <w:b/>
                <w:sz w:val="21"/>
                <w:szCs w:val="21"/>
              </w:rPr>
              <w:t>uverture de routes d’accès aux zones de production agricole</w:t>
            </w:r>
          </w:p>
        </w:tc>
        <w:tc>
          <w:tcPr>
            <w:tcW w:w="8502" w:type="dxa"/>
            <w:shd w:val="clear" w:color="auto" w:fill="FFFFFF" w:themeFill="background1"/>
            <w:vAlign w:val="center"/>
          </w:tcPr>
          <w:p w:rsidR="00142A10" w:rsidRPr="00142A10" w:rsidRDefault="00030C3A" w:rsidP="00A76F4A">
            <w:pPr>
              <w:pStyle w:val="PargrafodaLista"/>
              <w:numPr>
                <w:ilvl w:val="0"/>
                <w:numId w:val="202"/>
              </w:numPr>
              <w:spacing w:after="0" w:line="240" w:lineRule="auto"/>
              <w:ind w:left="648" w:right="12"/>
              <w:jc w:val="both"/>
              <w:rPr>
                <w:sz w:val="22"/>
                <w:szCs w:val="22"/>
              </w:rPr>
            </w:pPr>
            <w:r w:rsidRPr="00D47C37">
              <w:rPr>
                <w:rFonts w:ascii="Times New Roman" w:hAnsi="Times New Roman"/>
                <w:sz w:val="22"/>
                <w:szCs w:val="22"/>
              </w:rPr>
              <w:t>Impliquer tous les acteurs institutionnels concernés par le projet ;</w:t>
            </w:r>
          </w:p>
          <w:p w:rsidR="00030C3A" w:rsidRPr="00D47C37" w:rsidRDefault="00030C3A" w:rsidP="00A76F4A">
            <w:pPr>
              <w:pStyle w:val="PargrafodaLista"/>
              <w:numPr>
                <w:ilvl w:val="0"/>
                <w:numId w:val="202"/>
              </w:numPr>
              <w:spacing w:after="0" w:line="240" w:lineRule="auto"/>
              <w:ind w:left="648" w:right="12"/>
              <w:jc w:val="both"/>
              <w:rPr>
                <w:sz w:val="22"/>
                <w:szCs w:val="22"/>
              </w:rPr>
            </w:pPr>
            <w:r w:rsidRPr="00D47C37">
              <w:rPr>
                <w:rFonts w:ascii="Times New Roman" w:hAnsi="Times New Roman"/>
                <w:sz w:val="22"/>
                <w:szCs w:val="22"/>
              </w:rPr>
              <w:t>Adopter et mettre en œuvre des critères permettant de satisfaire les conditions de transparence et d'équité lors du ciblage des bénéficiaires ;</w:t>
            </w:r>
          </w:p>
          <w:p w:rsidR="00142A10" w:rsidRDefault="00030C3A" w:rsidP="00A76F4A">
            <w:pPr>
              <w:numPr>
                <w:ilvl w:val="0"/>
                <w:numId w:val="202"/>
              </w:numPr>
              <w:ind w:left="648" w:right="12"/>
              <w:jc w:val="both"/>
              <w:rPr>
                <w:rFonts w:eastAsia="Calibri"/>
                <w:sz w:val="22"/>
                <w:szCs w:val="22"/>
              </w:rPr>
            </w:pPr>
            <w:r w:rsidRPr="00B301C2">
              <w:rPr>
                <w:rFonts w:eastAsia="Calibri"/>
                <w:sz w:val="22"/>
                <w:szCs w:val="22"/>
              </w:rPr>
              <w:t>Promouvoir des stratégies de motivation des services techniques via des offres de formation et</w:t>
            </w:r>
            <w:r w:rsidRPr="00D239C9">
              <w:rPr>
                <w:rFonts w:eastAsia="Calibri"/>
                <w:sz w:val="22"/>
                <w:szCs w:val="22"/>
              </w:rPr>
              <w:t xml:space="preserve"> de renforcement des capacités ;</w:t>
            </w:r>
          </w:p>
          <w:p w:rsidR="00983078" w:rsidRPr="00983078" w:rsidRDefault="00030C3A" w:rsidP="00A76F4A">
            <w:pPr>
              <w:numPr>
                <w:ilvl w:val="0"/>
                <w:numId w:val="202"/>
              </w:numPr>
              <w:ind w:left="648" w:right="12"/>
              <w:jc w:val="both"/>
              <w:rPr>
                <w:rFonts w:eastAsia="Calibri"/>
                <w:sz w:val="22"/>
                <w:szCs w:val="22"/>
              </w:rPr>
            </w:pPr>
            <w:r w:rsidRPr="00983078">
              <w:rPr>
                <w:rFonts w:eastAsia="Calibri"/>
                <w:sz w:val="22"/>
                <w:szCs w:val="22"/>
              </w:rPr>
              <w:t xml:space="preserve">Réduire les risques de conflits familiaux ou communautaire pendant les procédures d’obtention des sites ; </w:t>
            </w:r>
          </w:p>
          <w:p w:rsidR="00142A10" w:rsidRPr="00142A10" w:rsidRDefault="00030C3A" w:rsidP="00A76F4A">
            <w:pPr>
              <w:numPr>
                <w:ilvl w:val="0"/>
                <w:numId w:val="202"/>
              </w:numPr>
              <w:ind w:right="12"/>
              <w:jc w:val="both"/>
              <w:rPr>
                <w:sz w:val="22"/>
                <w:szCs w:val="22"/>
              </w:rPr>
            </w:pPr>
            <w:r w:rsidRPr="00983078">
              <w:rPr>
                <w:rFonts w:eastAsia="Calibri"/>
                <w:sz w:val="22"/>
                <w:szCs w:val="22"/>
              </w:rPr>
              <w:t>Faire une étude de l’impact cumulatif de ses interventions sur l’environnement à la fin de la première phase</w:t>
            </w:r>
          </w:p>
          <w:p w:rsidR="005D133D" w:rsidRPr="00983078" w:rsidRDefault="00E42804" w:rsidP="00A76F4A">
            <w:pPr>
              <w:numPr>
                <w:ilvl w:val="0"/>
                <w:numId w:val="202"/>
              </w:numPr>
              <w:ind w:right="12"/>
              <w:jc w:val="both"/>
              <w:rPr>
                <w:sz w:val="22"/>
                <w:szCs w:val="22"/>
              </w:rPr>
            </w:pPr>
            <w:r w:rsidRPr="00D47C37">
              <w:rPr>
                <w:rFonts w:eastAsia="Calibri"/>
                <w:sz w:val="22"/>
                <w:szCs w:val="22"/>
              </w:rPr>
              <w:t xml:space="preserve">Sensibiliser la communauté et les travailleurs (ses) du projet sur les risques des VBG-EAS/HS et leurs conséquences, ainsi que les comportements inacceptables du côté des travailleurs (ses), et le mécanisme mis à disposition par le projet dans le cas qu’un incident arrive. </w:t>
            </w:r>
          </w:p>
        </w:tc>
      </w:tr>
      <w:tr w:rsidR="00030C3A" w:rsidRPr="002B2401" w:rsidTr="00E53ED8">
        <w:trPr>
          <w:trHeight w:val="2032"/>
        </w:trPr>
        <w:tc>
          <w:tcPr>
            <w:tcW w:w="1846" w:type="dxa"/>
            <w:tcBorders>
              <w:top w:val="single" w:sz="4" w:space="0" w:color="auto"/>
            </w:tcBorders>
            <w:shd w:val="clear" w:color="auto" w:fill="E2EFD9" w:themeFill="accent6" w:themeFillTint="33"/>
            <w:vAlign w:val="center"/>
          </w:tcPr>
          <w:p w:rsidR="00030C3A" w:rsidRPr="004977FF" w:rsidRDefault="00030C3A" w:rsidP="00A76F4A">
            <w:pPr>
              <w:spacing w:before="60" w:after="60"/>
              <w:ind w:right="12"/>
              <w:jc w:val="center"/>
              <w:rPr>
                <w:b/>
              </w:rPr>
            </w:pPr>
            <w:r w:rsidRPr="004977FF">
              <w:rPr>
                <w:b/>
              </w:rPr>
              <w:t>Soutien à la production agricole et à la réhabilitation et à l’exploitation des rizières</w:t>
            </w:r>
          </w:p>
          <w:p w:rsidR="00030C3A" w:rsidRDefault="00030C3A" w:rsidP="00A76F4A">
            <w:pPr>
              <w:ind w:right="12"/>
              <w:jc w:val="center"/>
              <w:rPr>
                <w:b/>
                <w:sz w:val="21"/>
                <w:szCs w:val="21"/>
              </w:rPr>
            </w:pPr>
          </w:p>
        </w:tc>
        <w:tc>
          <w:tcPr>
            <w:tcW w:w="8502" w:type="dxa"/>
            <w:shd w:val="clear" w:color="auto" w:fill="FFFFFF" w:themeFill="background1"/>
            <w:vAlign w:val="center"/>
          </w:tcPr>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Éviter la mise en œuvre de critères de ciblage des bénéficiaires (Agriculteur, producteur, commerçant, etc.) difficilement remplis par les populations démunies ;</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 xml:space="preserve">Créer un environnement juridique favorable à l'accès des populations démunies aux institutions financières et bancaires (accès aux crédits) pour diminuer les manquements ; </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Mettre en œuvre le plan de gestion des pestes et pesticides (PGPP) (voir Annexe 5)</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Favoriser le processus de régénération des ressources naturelles de sols (jachère et lutte contre le lessivage), des eaux (favoriser l'infiltration et éviter le ruissellement) et végétales (reboisement et lutte contre la salinisation des terres) ;</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Former les bénéficiaires sur les techniques d'application des intrants chimiques (pesticides et engrais) et à la promotion intrants alternatifs plus écologiques ;</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 xml:space="preserve">Renforcer les dispositifs d'amélioration de la culture et du stockage des fourrages pour lutter contre les divagations des bétails à l’intérieur du pays (Bafata, Gabu, Tombali) ; </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Élaborer un programme de renforcement des capacités des acteurs</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Promouvoir l’adaptation des pratiques agricoles aux changements climatiques</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 xml:space="preserve">S’approcher de la DGA et DSPV pour </w:t>
            </w:r>
            <w:r w:rsidR="00E42804" w:rsidRPr="002A368B">
              <w:rPr>
                <w:rFonts w:ascii="Times New Roman" w:hAnsi="Times New Roman"/>
                <w:sz w:val="22"/>
                <w:szCs w:val="22"/>
              </w:rPr>
              <w:t>l’élaboration</w:t>
            </w:r>
            <w:r w:rsidRPr="002A368B">
              <w:rPr>
                <w:rFonts w:ascii="Times New Roman" w:hAnsi="Times New Roman"/>
                <w:sz w:val="22"/>
                <w:szCs w:val="22"/>
              </w:rPr>
              <w:t xml:space="preserve"> et</w:t>
            </w:r>
            <w:r w:rsidR="00E42804" w:rsidRPr="002A368B">
              <w:rPr>
                <w:rFonts w:ascii="Times New Roman" w:hAnsi="Times New Roman"/>
                <w:sz w:val="22"/>
                <w:szCs w:val="22"/>
              </w:rPr>
              <w:t xml:space="preserve"> la</w:t>
            </w:r>
            <w:r w:rsidRPr="002A368B">
              <w:rPr>
                <w:rFonts w:ascii="Times New Roman" w:hAnsi="Times New Roman"/>
                <w:sz w:val="22"/>
                <w:szCs w:val="22"/>
              </w:rPr>
              <w:t xml:space="preserve"> diffusion des guides/kits de gestion des pesticides et de bonnes pratiques agricoles</w:t>
            </w:r>
            <w:r w:rsidR="00E42804" w:rsidRPr="002A368B">
              <w:rPr>
                <w:rFonts w:ascii="Times New Roman" w:hAnsi="Times New Roman"/>
                <w:sz w:val="22"/>
                <w:szCs w:val="22"/>
              </w:rPr>
              <w:t xml:space="preserve"> aux bénéficiaires (</w:t>
            </w:r>
            <w:r w:rsidRPr="002A368B">
              <w:rPr>
                <w:rFonts w:ascii="Times New Roman" w:hAnsi="Times New Roman"/>
                <w:sz w:val="22"/>
                <w:szCs w:val="22"/>
              </w:rPr>
              <w:t>voir Annexe 5)</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Faire une étude de l’impact cumulatif de ses interventions sur l’environnement à la fin de la première phase</w:t>
            </w:r>
          </w:p>
          <w:p w:rsidR="00030C3A" w:rsidRPr="002A368B" w:rsidRDefault="00030C3A" w:rsidP="00A76F4A">
            <w:pPr>
              <w:pStyle w:val="PargrafodaLista"/>
              <w:numPr>
                <w:ilvl w:val="0"/>
                <w:numId w:val="202"/>
              </w:numPr>
              <w:spacing w:after="0" w:line="240" w:lineRule="auto"/>
              <w:ind w:right="12"/>
              <w:jc w:val="both"/>
              <w:rPr>
                <w:sz w:val="22"/>
                <w:szCs w:val="22"/>
              </w:rPr>
            </w:pPr>
            <w:r w:rsidRPr="002A368B">
              <w:rPr>
                <w:rFonts w:ascii="Times New Roman" w:hAnsi="Times New Roman"/>
                <w:sz w:val="22"/>
                <w:szCs w:val="22"/>
              </w:rPr>
              <w:t>Renforcer les producteurs en matériel agricole pour faciliter obtention de matière première de qualité et en quantité</w:t>
            </w:r>
          </w:p>
          <w:p w:rsidR="00030C3A" w:rsidRPr="00D47C37" w:rsidRDefault="00030C3A" w:rsidP="00A76F4A">
            <w:pPr>
              <w:pStyle w:val="PargrafodaLista"/>
              <w:numPr>
                <w:ilvl w:val="0"/>
                <w:numId w:val="202"/>
              </w:numPr>
              <w:spacing w:after="0" w:line="240" w:lineRule="auto"/>
              <w:ind w:right="12"/>
              <w:jc w:val="both"/>
              <w:rPr>
                <w:rFonts w:ascii="Times New Roman" w:hAnsi="Times New Roman"/>
                <w:sz w:val="22"/>
                <w:szCs w:val="22"/>
              </w:rPr>
            </w:pPr>
          </w:p>
        </w:tc>
      </w:tr>
    </w:tbl>
    <w:p w:rsidR="0073559B" w:rsidRPr="0073559B" w:rsidRDefault="0073559B" w:rsidP="00A76F4A">
      <w:pPr>
        <w:ind w:left="357" w:right="12"/>
        <w:jc w:val="both"/>
        <w:rPr>
          <w:rFonts w:eastAsia="Calibri"/>
          <w:sz w:val="22"/>
          <w:szCs w:val="22"/>
        </w:rPr>
      </w:pPr>
    </w:p>
    <w:p w:rsidR="0042650E" w:rsidRDefault="0003666F"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327" w:name="_Toc75432308"/>
      <w:r w:rsidRPr="0003666F">
        <w:rPr>
          <w:rFonts w:ascii="Times New Roman" w:hAnsi="Times New Roman"/>
          <w:b/>
          <w:bCs/>
          <w:sz w:val="24"/>
          <w:szCs w:val="24"/>
        </w:rPr>
        <w:t>PROCEDURE DE GESTION ENVIRONNEMENTALE ET SOCIALE DES SOUS-PROJETS</w:t>
      </w:r>
      <w:bookmarkEnd w:id="327"/>
    </w:p>
    <w:p w:rsidR="0003666F" w:rsidRPr="0003666F" w:rsidRDefault="0003666F" w:rsidP="00A76F4A">
      <w:pPr>
        <w:ind w:right="12"/>
      </w:pPr>
    </w:p>
    <w:p w:rsidR="001F1D7B" w:rsidRPr="00E26C91" w:rsidRDefault="00AE2BD9" w:rsidP="00A76F4A">
      <w:pPr>
        <w:pStyle w:val="PargrafodaLista"/>
        <w:numPr>
          <w:ilvl w:val="2"/>
          <w:numId w:val="283"/>
        </w:numPr>
        <w:spacing w:after="120" w:line="240" w:lineRule="auto"/>
        <w:ind w:left="993" w:right="12"/>
        <w:outlineLvl w:val="1"/>
        <w:rPr>
          <w:rFonts w:ascii="Times New Roman" w:hAnsi="Times New Roman"/>
          <w:b/>
          <w:bCs/>
          <w:sz w:val="24"/>
          <w:szCs w:val="24"/>
        </w:rPr>
      </w:pPr>
      <w:bookmarkStart w:id="328" w:name="_Toc75432309"/>
      <w:r w:rsidRPr="00A05698">
        <w:rPr>
          <w:rFonts w:ascii="Times New Roman" w:hAnsi="Times New Roman"/>
          <w:b/>
          <w:bCs/>
          <w:sz w:val="24"/>
          <w:szCs w:val="24"/>
        </w:rPr>
        <w:t xml:space="preserve">Le processus et les étapes de sélection environnementale et sociale des </w:t>
      </w:r>
      <w:r w:rsidR="00F17C9D" w:rsidRPr="00A05698">
        <w:rPr>
          <w:rFonts w:ascii="Times New Roman" w:hAnsi="Times New Roman"/>
          <w:b/>
          <w:bCs/>
          <w:sz w:val="24"/>
          <w:szCs w:val="24"/>
        </w:rPr>
        <w:t>activités PUSA</w:t>
      </w:r>
      <w:bookmarkEnd w:id="328"/>
    </w:p>
    <w:p w:rsidR="00F17C9D" w:rsidRDefault="00035931" w:rsidP="00A76F4A">
      <w:pPr>
        <w:ind w:right="12"/>
        <w:jc w:val="both"/>
      </w:pPr>
      <w:r w:rsidRPr="00A05698">
        <w:t>Comme annoncé dans la section relative au cadre juridique et réglementaire, il sera proposé ci-dessous un processus de sélection environnementale et sociale pour les sous projets é</w:t>
      </w:r>
      <w:r w:rsidR="00C84895" w:rsidRPr="00A05698">
        <w:t>ligibles dans le cadre du projet d’urgence de sécurité alimentaire (PUSA)</w:t>
      </w:r>
      <w:r w:rsidRPr="00A05698">
        <w:t xml:space="preserve">. </w:t>
      </w:r>
    </w:p>
    <w:p w:rsidR="0003666F" w:rsidRPr="00A05698" w:rsidRDefault="0003666F" w:rsidP="00A76F4A">
      <w:pPr>
        <w:ind w:right="12"/>
        <w:jc w:val="both"/>
      </w:pPr>
    </w:p>
    <w:p w:rsidR="00F17C9D" w:rsidRDefault="00035931" w:rsidP="00A76F4A">
      <w:pPr>
        <w:ind w:right="12"/>
        <w:jc w:val="both"/>
      </w:pPr>
      <w:r w:rsidRPr="00A05698">
        <w:t xml:space="preserve">Le Projet va appuyer la mise en œuvre des sous projets qui seront choisis et validés par les communautés. Dans le processus de tri, l’objectif est d’éliminer les sous projets qui nécessiteraient des interventions compliquées au niveau environnemental et social. </w:t>
      </w:r>
    </w:p>
    <w:p w:rsidR="00F740BB" w:rsidRPr="00A05698" w:rsidRDefault="00035931" w:rsidP="00A76F4A">
      <w:pPr>
        <w:ind w:right="12"/>
        <w:jc w:val="both"/>
      </w:pPr>
      <w:r w:rsidRPr="00A05698">
        <w:t>Au total, il s’agit d’aboutir aux sous projets</w:t>
      </w:r>
      <w:r w:rsidR="00F740BB" w:rsidRPr="00A05698">
        <w:t xml:space="preserve"> : </w:t>
      </w:r>
    </w:p>
    <w:p w:rsidR="00F740BB" w:rsidRPr="004D059D" w:rsidRDefault="00035931" w:rsidP="00A76F4A">
      <w:pPr>
        <w:pStyle w:val="PargrafodaLista"/>
        <w:widowControl w:val="0"/>
        <w:numPr>
          <w:ilvl w:val="0"/>
          <w:numId w:val="66"/>
        </w:numPr>
        <w:tabs>
          <w:tab w:val="left" w:pos="220"/>
          <w:tab w:val="left" w:pos="720"/>
        </w:tabs>
        <w:autoSpaceDE w:val="0"/>
        <w:autoSpaceDN w:val="0"/>
        <w:adjustRightInd w:val="0"/>
        <w:spacing w:after="240" w:line="240" w:lineRule="auto"/>
        <w:ind w:right="12"/>
        <w:rPr>
          <w:rFonts w:ascii="Times New Roman" w:hAnsi="Times New Roman"/>
          <w:color w:val="000000"/>
          <w:sz w:val="22"/>
          <w:szCs w:val="22"/>
          <w:lang w:eastAsia="en-US"/>
        </w:rPr>
      </w:pPr>
      <w:r w:rsidRPr="004D059D">
        <w:rPr>
          <w:rFonts w:ascii="Times New Roman" w:hAnsi="Times New Roman"/>
          <w:color w:val="000000"/>
          <w:sz w:val="22"/>
          <w:szCs w:val="22"/>
          <w:lang w:eastAsia="en-US"/>
        </w:rPr>
        <w:t xml:space="preserve">qui ne déclenchent pas de politique de sauvegarde (donc pas d'impact), ou </w:t>
      </w:r>
    </w:p>
    <w:p w:rsidR="00CA3946" w:rsidRPr="004D059D" w:rsidRDefault="00035931" w:rsidP="00A76F4A">
      <w:pPr>
        <w:pStyle w:val="PargrafodaLista"/>
        <w:widowControl w:val="0"/>
        <w:numPr>
          <w:ilvl w:val="0"/>
          <w:numId w:val="66"/>
        </w:numPr>
        <w:tabs>
          <w:tab w:val="left" w:pos="220"/>
          <w:tab w:val="left" w:pos="720"/>
        </w:tabs>
        <w:autoSpaceDE w:val="0"/>
        <w:autoSpaceDN w:val="0"/>
        <w:adjustRightInd w:val="0"/>
        <w:spacing w:after="240" w:line="240" w:lineRule="auto"/>
        <w:ind w:right="12"/>
        <w:rPr>
          <w:rFonts w:ascii="Times New Roman" w:hAnsi="Times New Roman"/>
          <w:color w:val="000000"/>
          <w:sz w:val="22"/>
          <w:szCs w:val="22"/>
          <w:lang w:eastAsia="en-US"/>
        </w:rPr>
      </w:pPr>
      <w:r w:rsidRPr="004D059D">
        <w:rPr>
          <w:rFonts w:ascii="Times New Roman" w:hAnsi="Times New Roman"/>
          <w:color w:val="000000"/>
          <w:sz w:val="22"/>
          <w:szCs w:val="22"/>
          <w:lang w:eastAsia="en-US"/>
        </w:rPr>
        <w:t>qui génèrent des impacts jugés "modérés ou mineurs" (dans ces cas-c</w:t>
      </w:r>
      <w:r w:rsidR="00CA3946" w:rsidRPr="004D059D">
        <w:rPr>
          <w:rFonts w:ascii="Times New Roman" w:hAnsi="Times New Roman"/>
          <w:color w:val="000000"/>
          <w:sz w:val="22"/>
          <w:szCs w:val="22"/>
          <w:lang w:eastAsia="en-US"/>
        </w:rPr>
        <w:t xml:space="preserve">i, il ne sera pas nécessaire de </w:t>
      </w:r>
      <w:r w:rsidRPr="004D059D">
        <w:rPr>
          <w:rFonts w:ascii="Times New Roman" w:hAnsi="Times New Roman"/>
          <w:color w:val="000000"/>
          <w:sz w:val="22"/>
          <w:szCs w:val="22"/>
          <w:lang w:eastAsia="en-US"/>
        </w:rPr>
        <w:t>faire une évaluation d'impact complète, mais plutôt un</w:t>
      </w:r>
      <w:r w:rsidR="00AE2496">
        <w:rPr>
          <w:rFonts w:ascii="Times New Roman" w:hAnsi="Times New Roman"/>
          <w:color w:val="000000"/>
          <w:sz w:val="22"/>
          <w:szCs w:val="22"/>
          <w:lang w:eastAsia="en-US"/>
        </w:rPr>
        <w:t xml:space="preserve">e </w:t>
      </w:r>
      <w:r w:rsidR="00AE2496" w:rsidRPr="00AE2496">
        <w:rPr>
          <w:rFonts w:ascii="Times New Roman" w:hAnsi="Times New Roman"/>
          <w:color w:val="000000"/>
          <w:sz w:val="22"/>
          <w:szCs w:val="22"/>
          <w:lang w:eastAsia="en-US"/>
        </w:rPr>
        <w:t>analyse environnementale initiale (AEI)</w:t>
      </w:r>
      <w:r w:rsidRPr="004D059D">
        <w:rPr>
          <w:rFonts w:ascii="Times New Roman" w:hAnsi="Times New Roman"/>
          <w:color w:val="000000"/>
          <w:sz w:val="22"/>
          <w:szCs w:val="22"/>
          <w:lang w:eastAsia="en-US"/>
        </w:rPr>
        <w:t xml:space="preserve">. </w:t>
      </w:r>
    </w:p>
    <w:p w:rsidR="00F17C9D" w:rsidRPr="00A05698" w:rsidRDefault="00035931" w:rsidP="00A76F4A">
      <w:pPr>
        <w:ind w:right="12"/>
        <w:jc w:val="both"/>
      </w:pPr>
      <w:r w:rsidRPr="00A05698">
        <w:t>Les</w:t>
      </w:r>
      <w:r w:rsidR="00CA3946" w:rsidRPr="00A05698">
        <w:t xml:space="preserve"> différentes activités du PUSA</w:t>
      </w:r>
      <w:r w:rsidRPr="00A05698">
        <w:t>, notamment l</w:t>
      </w:r>
      <w:r w:rsidR="003F795C" w:rsidRPr="00A05698">
        <w:t xml:space="preserve">e </w:t>
      </w:r>
      <w:r w:rsidR="001E6D70" w:rsidRPr="00A05698">
        <w:t>s</w:t>
      </w:r>
      <w:r w:rsidR="003F795C" w:rsidRPr="00A05698">
        <w:t>outien à la production agricole,</w:t>
      </w:r>
      <w:r w:rsidR="00616CCB" w:rsidRPr="00A05698">
        <w:t xml:space="preserve"> le </w:t>
      </w:r>
      <w:r w:rsidR="001E6D70" w:rsidRPr="00A05698">
        <w:t>soutien aux filets de s</w:t>
      </w:r>
      <w:r w:rsidR="00616CCB" w:rsidRPr="00A05698">
        <w:t xml:space="preserve">écurité communautaires (la création d’emploi, la réhabilitation des structures de stockage, l’ouverture de routes d’accès aux zones de production agricole, la construction de marchés locaux, etc.) et </w:t>
      </w:r>
      <w:r w:rsidR="004308D2" w:rsidRPr="00A05698">
        <w:t xml:space="preserve">le </w:t>
      </w:r>
      <w:r w:rsidR="001E6D70" w:rsidRPr="00A05698">
        <w:t>s</w:t>
      </w:r>
      <w:r w:rsidR="00426A3F" w:rsidRPr="00A05698">
        <w:t>outien à l’atténuation des risques</w:t>
      </w:r>
      <w:r w:rsidR="001E6D70" w:rsidRPr="00A05698">
        <w:t xml:space="preserve"> faire l’objet d’une </w:t>
      </w:r>
      <w:r w:rsidR="00DC4229" w:rsidRPr="00A05698">
        <w:t>procédure</w:t>
      </w:r>
      <w:r w:rsidR="001E6D70" w:rsidRPr="00A05698">
        <w:t xml:space="preserve"> de </w:t>
      </w:r>
      <w:r w:rsidR="00DC4229" w:rsidRPr="00A05698">
        <w:t>sélection</w:t>
      </w:r>
      <w:r w:rsidR="001E6D70" w:rsidRPr="00A05698">
        <w:t xml:space="preserve"> environnementale dont les </w:t>
      </w:r>
      <w:r w:rsidR="00DC4229" w:rsidRPr="00A05698">
        <w:t>étapes</w:t>
      </w:r>
      <w:r w:rsidR="001E6D70" w:rsidRPr="00A05698">
        <w:t xml:space="preserve"> majeures sont </w:t>
      </w:r>
      <w:r w:rsidR="00DC4229" w:rsidRPr="00A05698">
        <w:t>déterminées</w:t>
      </w:r>
      <w:r w:rsidR="001E6D70" w:rsidRPr="00A05698">
        <w:t xml:space="preserve"> ci-dessous. </w:t>
      </w:r>
    </w:p>
    <w:p w:rsidR="00C85FD4" w:rsidRPr="00A05698" w:rsidRDefault="001E6D70" w:rsidP="00A76F4A">
      <w:pPr>
        <w:ind w:right="12"/>
        <w:jc w:val="both"/>
      </w:pPr>
      <w:r w:rsidRPr="00A05698">
        <w:t xml:space="preserve">Les </w:t>
      </w:r>
      <w:r w:rsidR="00DC4229" w:rsidRPr="00A05698">
        <w:t>résultats</w:t>
      </w:r>
      <w:r w:rsidRPr="00A05698">
        <w:t xml:space="preserve"> du processus de </w:t>
      </w:r>
      <w:r w:rsidR="00C85FD4" w:rsidRPr="00A05698">
        <w:t>sélection</w:t>
      </w:r>
      <w:r w:rsidRPr="00A05698">
        <w:t xml:space="preserve"> permettront de </w:t>
      </w:r>
      <w:r w:rsidR="00C85FD4" w:rsidRPr="00A05698">
        <w:t>déterminer</w:t>
      </w:r>
      <w:r w:rsidRPr="00A05698">
        <w:t xml:space="preserve"> les mesures environnementales et sociales </w:t>
      </w:r>
      <w:r w:rsidR="00C85FD4" w:rsidRPr="00A05698">
        <w:t>nécessaires</w:t>
      </w:r>
      <w:r w:rsidR="00A129BA" w:rsidRPr="00A05698">
        <w:t xml:space="preserve"> pour les </w:t>
      </w:r>
      <w:r w:rsidR="00C85FD4" w:rsidRPr="00A05698">
        <w:t>activités</w:t>
      </w:r>
      <w:r w:rsidR="00A129BA" w:rsidRPr="00A05698">
        <w:t xml:space="preserve"> du PUSA</w:t>
      </w:r>
      <w:r w:rsidRPr="00A05698">
        <w:t xml:space="preserve">. </w:t>
      </w:r>
    </w:p>
    <w:p w:rsidR="001E6D70" w:rsidRPr="00A05698" w:rsidRDefault="001E6D70" w:rsidP="00A76F4A">
      <w:pPr>
        <w:ind w:right="12"/>
        <w:jc w:val="both"/>
      </w:pPr>
      <w:r w:rsidRPr="00A05698">
        <w:t xml:space="preserve">Le processus de </w:t>
      </w:r>
      <w:r w:rsidR="007A45AE" w:rsidRPr="00A05698">
        <w:t>sélection</w:t>
      </w:r>
      <w:r w:rsidRPr="00A05698">
        <w:t xml:space="preserve"> environnementale comporte les </w:t>
      </w:r>
      <w:r w:rsidR="007A45AE" w:rsidRPr="00A05698">
        <w:t>étapes</w:t>
      </w:r>
      <w:r w:rsidRPr="00A05698">
        <w:t xml:space="preserve"> </w:t>
      </w:r>
      <w:r w:rsidR="007A45AE" w:rsidRPr="00A05698">
        <w:t>décrites</w:t>
      </w:r>
      <w:r w:rsidRPr="00A05698">
        <w:t xml:space="preserve"> </w:t>
      </w:r>
      <w:r w:rsidR="007A45AE" w:rsidRPr="00A05698">
        <w:t>ci-après</w:t>
      </w:r>
      <w:r w:rsidRPr="00A05698">
        <w:t>.</w:t>
      </w:r>
    </w:p>
    <w:p w:rsidR="00C85FD4" w:rsidRPr="00A05698" w:rsidRDefault="00C85FD4" w:rsidP="00A76F4A">
      <w:pPr>
        <w:widowControl w:val="0"/>
        <w:tabs>
          <w:tab w:val="left" w:pos="220"/>
          <w:tab w:val="left" w:pos="720"/>
          <w:tab w:val="left" w:pos="5670"/>
        </w:tabs>
        <w:autoSpaceDE w:val="0"/>
        <w:autoSpaceDN w:val="0"/>
        <w:adjustRightInd w:val="0"/>
        <w:ind w:left="360" w:right="12"/>
      </w:pPr>
    </w:p>
    <w:p w:rsidR="001E5ED0" w:rsidRPr="00A05698" w:rsidRDefault="00C14147" w:rsidP="00A76F4A">
      <w:pPr>
        <w:pStyle w:val="PargrafodaLista"/>
        <w:widowControl w:val="0"/>
        <w:numPr>
          <w:ilvl w:val="0"/>
          <w:numId w:val="110"/>
        </w:numPr>
        <w:tabs>
          <w:tab w:val="left" w:pos="220"/>
          <w:tab w:val="left" w:pos="720"/>
        </w:tabs>
        <w:autoSpaceDE w:val="0"/>
        <w:autoSpaceDN w:val="0"/>
        <w:adjustRightInd w:val="0"/>
        <w:spacing w:after="240"/>
        <w:ind w:right="12"/>
        <w:rPr>
          <w:rFonts w:ascii="Times New Roman" w:hAnsi="Times New Roman"/>
          <w:color w:val="000000"/>
          <w:sz w:val="24"/>
          <w:szCs w:val="24"/>
          <w:u w:val="single"/>
          <w:lang w:eastAsia="en-US"/>
        </w:rPr>
      </w:pPr>
      <w:r w:rsidRPr="00A05698">
        <w:rPr>
          <w:rFonts w:ascii="Times New Roman" w:hAnsi="Times New Roman"/>
          <w:i/>
          <w:iCs/>
          <w:color w:val="000000"/>
          <w:sz w:val="24"/>
          <w:szCs w:val="24"/>
          <w:u w:val="single"/>
          <w:lang w:eastAsia="en-US"/>
        </w:rPr>
        <w:t xml:space="preserve">Etape 1 : Remplissage du formulaire de sélection environnementale et sociale des </w:t>
      </w:r>
      <w:r w:rsidR="00BA3A20">
        <w:rPr>
          <w:rFonts w:ascii="Times New Roman" w:hAnsi="Times New Roman"/>
          <w:i/>
          <w:iCs/>
          <w:color w:val="000000"/>
          <w:sz w:val="24"/>
          <w:szCs w:val="24"/>
          <w:u w:val="single"/>
          <w:lang w:eastAsia="en-US"/>
        </w:rPr>
        <w:t>sous</w:t>
      </w:r>
      <w:r w:rsidRPr="00A05698">
        <w:rPr>
          <w:rFonts w:ascii="Times New Roman" w:hAnsi="Times New Roman"/>
          <w:i/>
          <w:iCs/>
          <w:color w:val="000000"/>
          <w:sz w:val="24"/>
          <w:szCs w:val="24"/>
          <w:u w:val="single"/>
          <w:lang w:eastAsia="en-US"/>
        </w:rPr>
        <w:t xml:space="preserve">-projets </w:t>
      </w:r>
    </w:p>
    <w:p w:rsidR="0003666F" w:rsidRDefault="00C14147" w:rsidP="00A76F4A">
      <w:pPr>
        <w:ind w:right="12"/>
        <w:jc w:val="both"/>
      </w:pPr>
      <w:r w:rsidRPr="00A05698">
        <w:t xml:space="preserve">Le remplissage </w:t>
      </w:r>
      <w:r w:rsidR="00130D74" w:rsidRPr="00A05698">
        <w:t xml:space="preserve">de la </w:t>
      </w:r>
      <w:r w:rsidR="00130D74">
        <w:t xml:space="preserve">check-list </w:t>
      </w:r>
      <w:r w:rsidR="00130D74" w:rsidRPr="00A05698">
        <w:t>de contrôle environnemental et social</w:t>
      </w:r>
      <w:r w:rsidR="00130D74">
        <w:t xml:space="preserve"> (annexe 1) et de la</w:t>
      </w:r>
      <w:r w:rsidR="0040794C">
        <w:t xml:space="preserve"> </w:t>
      </w:r>
      <w:r w:rsidR="00BA27D2">
        <w:t>grille de</w:t>
      </w:r>
      <w:r w:rsidR="00BA27D2" w:rsidRPr="00A05698">
        <w:t xml:space="preserve"> </w:t>
      </w:r>
      <w:r w:rsidR="0003666F">
        <w:t>sélection</w:t>
      </w:r>
      <w:r w:rsidR="00BA27D2">
        <w:t xml:space="preserve"> environnementale </w:t>
      </w:r>
      <w:r w:rsidR="00687D73">
        <w:t>(annexe</w:t>
      </w:r>
      <w:r w:rsidR="00226698">
        <w:t> </w:t>
      </w:r>
      <w:r w:rsidR="00DB36C8">
        <w:t>2</w:t>
      </w:r>
      <w:r w:rsidR="00226698">
        <w:t>)</w:t>
      </w:r>
      <w:r w:rsidR="00DB36C8">
        <w:t xml:space="preserve"> </w:t>
      </w:r>
      <w:r w:rsidR="0068286B" w:rsidRPr="00A05698">
        <w:t>sera</w:t>
      </w:r>
      <w:r w:rsidRPr="00A05698">
        <w:t xml:space="preserve"> effectué, au niveau local par les démembrements locaux des ministères impliqués dans la mise en œuvre du Projet, en rapport avec les communautés. Ces formulaires seront transmis à l’UCP</w:t>
      </w:r>
      <w:r w:rsidR="00CA4D42">
        <w:t xml:space="preserve"> </w:t>
      </w:r>
      <w:r w:rsidR="00DB36C8">
        <w:t xml:space="preserve">par AAAC </w:t>
      </w:r>
      <w:r w:rsidRPr="00A05698">
        <w:t xml:space="preserve">pour validation. </w:t>
      </w:r>
      <w:r w:rsidR="008B137E">
        <w:t xml:space="preserve">La check-list de contrôle environnemental et social </w:t>
      </w:r>
      <w:r w:rsidR="00BA27D2" w:rsidRPr="003D296E">
        <w:t>permettra de définir les niveaux de risques et d’impacts environnementaux et sociaux</w:t>
      </w:r>
      <w:r w:rsidR="00BA27D2" w:rsidRPr="0027418C">
        <w:t xml:space="preserve"> de chaque sous projet.</w:t>
      </w:r>
      <w:r w:rsidR="00BA27D2">
        <w:t xml:space="preserve"> </w:t>
      </w:r>
      <w:r w:rsidR="00BA27D2" w:rsidRPr="0027418C">
        <w:t>Pour être en conformité avec les exigences du Cadre Environnemental et Social de la Banque mondiale</w:t>
      </w:r>
      <w:r w:rsidR="00BA27D2">
        <w:t xml:space="preserve"> précisément avec la norme environnementale et sociale N°1.</w:t>
      </w:r>
      <w:r w:rsidR="00733D6D">
        <w:t xml:space="preserve"> La grille de sélection environnementale et sociale ou tri préliminaire (ou screening) complète la procédure nationale en matière d’évaluation environnementale et sociale, notamment en ce qui concerne le tri et la classification des projets. La détermination des catégories environnementales et sociales des projets sera effectuée à l’issue du tri </w:t>
      </w:r>
      <w:r w:rsidR="0003666F">
        <w:t xml:space="preserve">préliminaire. </w:t>
      </w:r>
    </w:p>
    <w:p w:rsidR="0003666F" w:rsidRDefault="0003666F" w:rsidP="00A76F4A">
      <w:pPr>
        <w:ind w:right="12"/>
        <w:jc w:val="both"/>
      </w:pPr>
    </w:p>
    <w:p w:rsidR="00733D6D" w:rsidRPr="006C67E1" w:rsidRDefault="0003666F" w:rsidP="00A76F4A">
      <w:pPr>
        <w:ind w:right="12"/>
        <w:jc w:val="both"/>
      </w:pPr>
      <w:r>
        <w:t>Le</w:t>
      </w:r>
      <w:r w:rsidR="00733D6D">
        <w:t xml:space="preserve"> formulaire de tri préliminaire permet de recueillir au niveau local des informations sur les problèmes environnementaux et sociaux associés à l’implantation du projet en vue de déterminer le travail environnemental à faire.</w:t>
      </w:r>
    </w:p>
    <w:p w:rsidR="002F0D6B" w:rsidRPr="00A05698" w:rsidRDefault="002F0D6B" w:rsidP="00A76F4A">
      <w:pPr>
        <w:ind w:right="12"/>
        <w:jc w:val="both"/>
      </w:pPr>
    </w:p>
    <w:p w:rsidR="007B7BE4" w:rsidRPr="00A05698" w:rsidRDefault="00C14147" w:rsidP="00A76F4A">
      <w:pPr>
        <w:ind w:right="12"/>
        <w:jc w:val="both"/>
      </w:pPr>
      <w:r w:rsidRPr="00A05698">
        <w:t xml:space="preserve">Dans ce processus, les collectivités et les services techniques déconcentrés (Agriculture, Eaux et Forêts), prendront une part active dans la collecte et l’analyse de l’information. Pour effectuer cet exercice de sélection initiale, il sera nécessaire de renforcer les capacités de ces acteurs locaux sur les aspects environnementaux et sociaux des activités éligibles au Projet. </w:t>
      </w:r>
      <w:r w:rsidRPr="00A05698">
        <w:lastRenderedPageBreak/>
        <w:t>Un Point Focal Environnement (PFE) sera désigné à cet effet dans chaque service régional impliqué pour s'intéresser exclusivement aux questions environnementales et sociales.</w:t>
      </w:r>
    </w:p>
    <w:p w:rsidR="002F0D6B" w:rsidRPr="00A05698" w:rsidRDefault="002F0D6B" w:rsidP="00A76F4A">
      <w:pPr>
        <w:ind w:left="-284" w:right="12"/>
        <w:jc w:val="both"/>
      </w:pPr>
    </w:p>
    <w:p w:rsidR="00AA508A" w:rsidRPr="00A05698" w:rsidRDefault="00C14147" w:rsidP="00A76F4A">
      <w:pPr>
        <w:pStyle w:val="PargrafodaLista"/>
        <w:widowControl w:val="0"/>
        <w:numPr>
          <w:ilvl w:val="0"/>
          <w:numId w:val="110"/>
        </w:numPr>
        <w:tabs>
          <w:tab w:val="left" w:pos="220"/>
          <w:tab w:val="left" w:pos="720"/>
        </w:tabs>
        <w:autoSpaceDE w:val="0"/>
        <w:autoSpaceDN w:val="0"/>
        <w:adjustRightInd w:val="0"/>
        <w:spacing w:after="240"/>
        <w:ind w:right="12"/>
        <w:rPr>
          <w:rFonts w:ascii="Times New Roman" w:hAnsi="Times New Roman"/>
          <w:i/>
          <w:iCs/>
          <w:color w:val="000000"/>
          <w:sz w:val="24"/>
          <w:szCs w:val="24"/>
          <w:u w:val="single"/>
          <w:lang w:eastAsia="en-US"/>
        </w:rPr>
      </w:pPr>
      <w:r w:rsidRPr="00A05698">
        <w:rPr>
          <w:rFonts w:ascii="Times New Roman" w:hAnsi="Times New Roman"/>
          <w:i/>
          <w:iCs/>
          <w:color w:val="000000"/>
          <w:sz w:val="24"/>
          <w:szCs w:val="24"/>
          <w:u w:val="single"/>
          <w:lang w:eastAsia="en-US"/>
        </w:rPr>
        <w:t xml:space="preserve">Etape 2 : Validation de la sélection et classification environnementale et sociale des </w:t>
      </w:r>
      <w:r w:rsidR="00BA3A20">
        <w:rPr>
          <w:rFonts w:ascii="Times New Roman" w:hAnsi="Times New Roman"/>
          <w:i/>
          <w:iCs/>
          <w:color w:val="000000"/>
          <w:sz w:val="24"/>
          <w:szCs w:val="24"/>
          <w:u w:val="single"/>
          <w:lang w:eastAsia="en-US"/>
        </w:rPr>
        <w:t>sous</w:t>
      </w:r>
      <w:r w:rsidRPr="00A05698">
        <w:rPr>
          <w:rFonts w:ascii="Times New Roman" w:hAnsi="Times New Roman"/>
          <w:i/>
          <w:iCs/>
          <w:color w:val="000000"/>
          <w:sz w:val="24"/>
          <w:szCs w:val="24"/>
          <w:u w:val="single"/>
          <w:lang w:eastAsia="en-US"/>
        </w:rPr>
        <w:t xml:space="preserve">- projets </w:t>
      </w:r>
    </w:p>
    <w:p w:rsidR="00B8449D" w:rsidRDefault="0027418C" w:rsidP="00A76F4A">
      <w:pPr>
        <w:ind w:right="12"/>
        <w:jc w:val="both"/>
      </w:pPr>
      <w:r w:rsidRPr="0027418C">
        <w:t>Après avoir identifié et défini un sous projet</w:t>
      </w:r>
      <w:r w:rsidR="00DB36C8">
        <w:t xml:space="preserve"> </w:t>
      </w:r>
      <w:r w:rsidR="00DB36C8" w:rsidRPr="00A05698">
        <w:t>par les démembrements locaux des ministères impliqués dans la mise en œuvre du Projet</w:t>
      </w:r>
      <w:r w:rsidR="00DB36C8">
        <w:t xml:space="preserve"> (AAAC, DGA, </w:t>
      </w:r>
      <w:r w:rsidR="00545F18">
        <w:t>etc.</w:t>
      </w:r>
      <w:r w:rsidR="00DB36C8">
        <w:t>)</w:t>
      </w:r>
      <w:r w:rsidRPr="0027418C">
        <w:t xml:space="preserve">, </w:t>
      </w:r>
      <w:r w:rsidRPr="00446930">
        <w:t>le</w:t>
      </w:r>
      <w:r w:rsidRPr="0027418C">
        <w:t xml:space="preserve"> </w:t>
      </w:r>
      <w:r w:rsidR="00A2652A" w:rsidRPr="006C67E1">
        <w:t xml:space="preserve">Spécialiste en Sauvegardes Environnementales et Sociales </w:t>
      </w:r>
      <w:r w:rsidR="00A2652A">
        <w:t>(</w:t>
      </w:r>
      <w:r w:rsidR="00A57DCB" w:rsidRPr="0027418C">
        <w:t>SSE</w:t>
      </w:r>
      <w:r w:rsidR="00A57DCB">
        <w:t>S</w:t>
      </w:r>
      <w:r w:rsidR="00A2652A">
        <w:t>)</w:t>
      </w:r>
      <w:r w:rsidR="00A57DCB" w:rsidRPr="0027418C">
        <w:t xml:space="preserve"> de</w:t>
      </w:r>
      <w:r w:rsidRPr="0027418C">
        <w:t xml:space="preserve"> l’UCP du </w:t>
      </w:r>
      <w:r w:rsidR="00B8449D">
        <w:t>Projet PUSA</w:t>
      </w:r>
      <w:r w:rsidRPr="0027418C">
        <w:t xml:space="preserve"> prépar</w:t>
      </w:r>
      <w:r w:rsidR="007F13A0">
        <w:t>era</w:t>
      </w:r>
      <w:r w:rsidRPr="0027418C">
        <w:t xml:space="preserve"> un mémoire descriptif et justificatif du projet. Sur cette base, </w:t>
      </w:r>
      <w:r w:rsidR="007F13A0" w:rsidRPr="00A05698">
        <w:t>les démembrements locaux des ministères impliqués</w:t>
      </w:r>
      <w:r w:rsidR="00B8449D">
        <w:t xml:space="preserve"> effectueront la classification </w:t>
      </w:r>
      <w:r w:rsidRPr="0027418C">
        <w:t xml:space="preserve">environnementale et sociale de l’activité à réaliser. </w:t>
      </w:r>
    </w:p>
    <w:p w:rsidR="003D3FC0" w:rsidRDefault="003D3FC0" w:rsidP="00A76F4A">
      <w:pPr>
        <w:ind w:right="12"/>
        <w:jc w:val="both"/>
      </w:pPr>
    </w:p>
    <w:p w:rsidR="00E22F70" w:rsidRDefault="0027418C" w:rsidP="00A76F4A">
      <w:pPr>
        <w:ind w:right="12"/>
        <w:jc w:val="both"/>
      </w:pPr>
      <w:r w:rsidRPr="0027418C">
        <w:t xml:space="preserve">La première étape du processus de classification porte sur le classement de l’activité en question, pour pouvoir apprécier ses effets environnementaux et sociaux en tenant compte de la sensibilité du milieu d’accueil. Pour cela, il a été conçu un formulaire initial de </w:t>
      </w:r>
      <w:r w:rsidRPr="003D296E">
        <w:t xml:space="preserve">sélection (Annexe </w:t>
      </w:r>
      <w:r w:rsidR="003D296E" w:rsidRPr="008371D1">
        <w:t>2</w:t>
      </w:r>
      <w:r w:rsidRPr="003D296E">
        <w:t>) du présent CGES qui permettra de définir les niveaux de risques et d’impacts environnementaux et sociaux</w:t>
      </w:r>
      <w:r w:rsidRPr="0027418C">
        <w:t xml:space="preserve"> de chaque sous projet.</w:t>
      </w:r>
    </w:p>
    <w:p w:rsidR="00E22F70" w:rsidRDefault="0027418C" w:rsidP="00A76F4A">
      <w:pPr>
        <w:ind w:right="12"/>
        <w:jc w:val="both"/>
      </w:pPr>
      <w:r w:rsidRPr="0027418C">
        <w:t xml:space="preserve"> </w:t>
      </w:r>
    </w:p>
    <w:p w:rsidR="001409DB" w:rsidRDefault="0027418C" w:rsidP="00A76F4A">
      <w:pPr>
        <w:ind w:right="12"/>
        <w:jc w:val="both"/>
      </w:pPr>
      <w:r w:rsidRPr="0027418C">
        <w:t>Pour être en conformité avec les exigences du Cadre Environnemental et Social de la Banque mondiale</w:t>
      </w:r>
      <w:r w:rsidR="00451826">
        <w:t xml:space="preserve"> </w:t>
      </w:r>
      <w:r w:rsidR="00480EE4">
        <w:t>précisément</w:t>
      </w:r>
      <w:r w:rsidR="00451826">
        <w:t xml:space="preserve"> avec la norme environnementale et sociale N°1</w:t>
      </w:r>
      <w:r w:rsidRPr="0027418C">
        <w:t xml:space="preserve">, il a été suggéré que les activités du Projet susceptibles d'avoir des impacts significatifs directs ou indirects sur l’environnement soient classées en quatre catégories : </w:t>
      </w:r>
    </w:p>
    <w:p w:rsidR="001409DB" w:rsidRDefault="001409DB" w:rsidP="00A76F4A">
      <w:pPr>
        <w:ind w:left="-284" w:right="12"/>
        <w:jc w:val="both"/>
      </w:pPr>
    </w:p>
    <w:p w:rsidR="007921A7" w:rsidRDefault="0027418C" w:rsidP="00F65B7C">
      <w:pPr>
        <w:ind w:right="12" w:firstLine="992"/>
        <w:jc w:val="both"/>
      </w:pPr>
      <w:r w:rsidRPr="0027418C">
        <w:t>▪</w:t>
      </w:r>
      <w:r w:rsidR="0055216A">
        <w:tab/>
      </w:r>
      <w:r w:rsidR="00635E67" w:rsidRPr="003171E1">
        <w:rPr>
          <w:b/>
        </w:rPr>
        <w:t>Première</w:t>
      </w:r>
      <w:r w:rsidR="0095015F" w:rsidRPr="003171E1">
        <w:rPr>
          <w:b/>
        </w:rPr>
        <w:t xml:space="preserve"> catégorie</w:t>
      </w:r>
      <w:r w:rsidR="00594309" w:rsidRPr="003171E1">
        <w:rPr>
          <w:b/>
        </w:rPr>
        <w:t> :</w:t>
      </w:r>
      <w:r w:rsidRPr="003171E1">
        <w:rPr>
          <w:b/>
        </w:rPr>
        <w:t xml:space="preserve"> Risque </w:t>
      </w:r>
      <w:r w:rsidR="007921A7" w:rsidRPr="003171E1">
        <w:rPr>
          <w:b/>
        </w:rPr>
        <w:t>élevé</w:t>
      </w:r>
      <w:r w:rsidR="007921A7" w:rsidRPr="0027418C">
        <w:t xml:space="preserve"> :</w:t>
      </w:r>
      <w:r w:rsidRPr="0027418C">
        <w:t xml:space="preserve"> les projets sont susceptibles d'avoir des impacts significatifs sur l’environnement. Une étude de l'évaluation des impacts sur l'environnement permettra d'intégrer les considérations environnementales dans l'analyse économique et financière du projet. Cette catégorie exige une évaluation environnementale approfondie assortie d’un Plan de Gestion Environnementale et Sociale (PGES). Par ailleurs, en cas de déplacement physique ou économique, l’EIES/PGES sera complétée par un Plan de réinstallation (PR). </w:t>
      </w:r>
    </w:p>
    <w:p w:rsidR="00F229C6" w:rsidRDefault="00F229C6" w:rsidP="00F65B7C">
      <w:pPr>
        <w:ind w:right="12"/>
        <w:jc w:val="both"/>
      </w:pPr>
    </w:p>
    <w:p w:rsidR="00E90979" w:rsidRPr="008371D1" w:rsidRDefault="0027418C" w:rsidP="00F65B7C">
      <w:pPr>
        <w:ind w:right="12"/>
        <w:jc w:val="both"/>
        <w:rPr>
          <w:i/>
        </w:rPr>
      </w:pPr>
      <w:r w:rsidRPr="008371D1">
        <w:rPr>
          <w:i/>
        </w:rPr>
        <w:t xml:space="preserve">Au titre de la réglementation nationale, ces projets sont soumis à autorisation et nécessitent une étude d’impact approfondie assortie au besoin d’un Plan d’Actions de Réinstallation. De tels projets sont également soumis à la validation en audience publique. </w:t>
      </w:r>
    </w:p>
    <w:p w:rsidR="00E90979" w:rsidRDefault="00E90979" w:rsidP="00F65B7C">
      <w:pPr>
        <w:ind w:right="12"/>
        <w:jc w:val="both"/>
      </w:pPr>
    </w:p>
    <w:p w:rsidR="00BD5DF9" w:rsidRDefault="0027418C" w:rsidP="00F65B7C">
      <w:pPr>
        <w:ind w:right="12" w:firstLine="992"/>
        <w:jc w:val="both"/>
      </w:pPr>
      <w:r w:rsidRPr="0027418C">
        <w:t xml:space="preserve">▪ </w:t>
      </w:r>
      <w:r w:rsidR="0055216A">
        <w:tab/>
      </w:r>
      <w:r w:rsidR="0095015F" w:rsidRPr="003171E1">
        <w:rPr>
          <w:b/>
        </w:rPr>
        <w:t xml:space="preserve">Deuxième catégorie : </w:t>
      </w:r>
      <w:r w:rsidRPr="003171E1">
        <w:rPr>
          <w:b/>
        </w:rPr>
        <w:t>Risque substantiel</w:t>
      </w:r>
      <w:r w:rsidRPr="0027418C">
        <w:t xml:space="preserve"> : les projets présentent des impacts et risques environnementaux et sociaux significatifs mais réversibles sur la base de la mise en œuvre mesures d’atténuation et ou d’évitement. Une étude approfondie des impacts sera dès lors nécessaire pour évaluer les impacts et proposer des mesures de gestion. Par ailleurs, en cas de déplacement physique ou économique, l’EIES/PGES sera complétée par un Plan de réinstallation (PR</w:t>
      </w:r>
      <w:r w:rsidR="00561E99">
        <w:t>)</w:t>
      </w:r>
    </w:p>
    <w:p w:rsidR="00F229C6" w:rsidRDefault="00F229C6" w:rsidP="00F65B7C">
      <w:pPr>
        <w:ind w:right="12"/>
        <w:jc w:val="both"/>
      </w:pPr>
    </w:p>
    <w:p w:rsidR="00F229C6" w:rsidRPr="008371D1" w:rsidRDefault="0027418C" w:rsidP="00F65B7C">
      <w:pPr>
        <w:ind w:right="12"/>
        <w:jc w:val="both"/>
        <w:rPr>
          <w:i/>
        </w:rPr>
      </w:pPr>
      <w:r w:rsidRPr="008371D1">
        <w:rPr>
          <w:i/>
        </w:rPr>
        <w:t xml:space="preserve">Au titre de la réglementation nationale, ces projets sont soumis à autorisation et nécessitent une étude d’impact approfondie assortie au besoin d’un Plan d’Actions de Réinstallation. De tels projets sont également soumis à la validation en audience publique. </w:t>
      </w:r>
    </w:p>
    <w:p w:rsidR="00F229C6" w:rsidRDefault="00F229C6" w:rsidP="00F65B7C">
      <w:pPr>
        <w:ind w:right="12"/>
        <w:jc w:val="both"/>
      </w:pPr>
    </w:p>
    <w:p w:rsidR="00F229C6" w:rsidRDefault="0027418C" w:rsidP="00F65B7C">
      <w:pPr>
        <w:ind w:right="12" w:firstLine="992"/>
        <w:jc w:val="both"/>
      </w:pPr>
      <w:r w:rsidRPr="0027418C">
        <w:t xml:space="preserve">▪ </w:t>
      </w:r>
      <w:r w:rsidR="0055216A">
        <w:tab/>
      </w:r>
      <w:r w:rsidR="00635E67" w:rsidRPr="00A32421">
        <w:rPr>
          <w:b/>
        </w:rPr>
        <w:t xml:space="preserve">Troisième catégorie : </w:t>
      </w:r>
      <w:r w:rsidRPr="00A32421">
        <w:rPr>
          <w:b/>
        </w:rPr>
        <w:t>Risque modéré</w:t>
      </w:r>
      <w:r w:rsidRPr="0027418C">
        <w:t xml:space="preserve"> : les projets ont des impacts limités sur l'environnement ou les </w:t>
      </w:r>
      <w:r w:rsidR="00E44EE4" w:rsidRPr="00E44EE4">
        <w:t xml:space="preserve">impacts peuvent être atténués en appliquant des mesures ou des changements dans leur conception ; </w:t>
      </w:r>
    </w:p>
    <w:p w:rsidR="000D4425" w:rsidRDefault="000D4425" w:rsidP="00F65B7C">
      <w:pPr>
        <w:ind w:right="12"/>
        <w:jc w:val="both"/>
      </w:pPr>
    </w:p>
    <w:p w:rsidR="000D4425" w:rsidRPr="008371D1" w:rsidRDefault="00E44EE4" w:rsidP="00F65B7C">
      <w:pPr>
        <w:ind w:right="12"/>
        <w:jc w:val="both"/>
        <w:rPr>
          <w:i/>
        </w:rPr>
      </w:pPr>
      <w:r w:rsidRPr="008371D1">
        <w:rPr>
          <w:i/>
        </w:rPr>
        <w:lastRenderedPageBreak/>
        <w:t xml:space="preserve">Au titre de la réglementation nationale, ces projets font l'objet d'une autorisation suite à l’élaboration et la validation d’une analyse environnementale initiale (AEI) qui sera entreprise avant l’obtention d’un certificat de conformité environnementale. </w:t>
      </w:r>
    </w:p>
    <w:p w:rsidR="000D4425" w:rsidRDefault="000D4425" w:rsidP="00F65B7C">
      <w:pPr>
        <w:ind w:right="12"/>
        <w:jc w:val="both"/>
      </w:pPr>
    </w:p>
    <w:p w:rsidR="00B40F43" w:rsidRDefault="00E44EE4" w:rsidP="00F65B7C">
      <w:pPr>
        <w:ind w:right="12" w:firstLine="992"/>
        <w:jc w:val="both"/>
      </w:pPr>
      <w:r w:rsidRPr="00E44EE4">
        <w:t xml:space="preserve">▪ </w:t>
      </w:r>
      <w:r w:rsidR="0098026F">
        <w:tab/>
      </w:r>
      <w:r w:rsidR="00635E67" w:rsidRPr="00A32421">
        <w:rPr>
          <w:b/>
        </w:rPr>
        <w:t xml:space="preserve">Quatrième catégorie : </w:t>
      </w:r>
      <w:r w:rsidRPr="00A32421">
        <w:rPr>
          <w:b/>
        </w:rPr>
        <w:t>Risque faible</w:t>
      </w:r>
      <w:r w:rsidRPr="00E44EE4">
        <w:t xml:space="preserve">. Les projets qui ne nécessitent pas une étude environnementale et sociale. </w:t>
      </w:r>
    </w:p>
    <w:p w:rsidR="00B40F43" w:rsidRDefault="00E44EE4" w:rsidP="00F65B7C">
      <w:pPr>
        <w:ind w:right="12"/>
        <w:jc w:val="both"/>
      </w:pPr>
      <w:r w:rsidRPr="00E44EE4">
        <w:t xml:space="preserve">Cette catégorie est l’équivalent des projets à risque faible au sens de la législation </w:t>
      </w:r>
      <w:r w:rsidR="000B424E" w:rsidRPr="0066049F">
        <w:t>bissau-guinéenne</w:t>
      </w:r>
      <w:r w:rsidR="000B424E" w:rsidRPr="00E44EE4">
        <w:t xml:space="preserve"> </w:t>
      </w:r>
      <w:r w:rsidRPr="00E44EE4">
        <w:t xml:space="preserve">qui exige toutefois qu’ils soient déclarés. </w:t>
      </w:r>
    </w:p>
    <w:p w:rsidR="00B40F43" w:rsidRDefault="00B40F43" w:rsidP="00F65B7C">
      <w:pPr>
        <w:ind w:right="12"/>
        <w:jc w:val="both"/>
      </w:pPr>
    </w:p>
    <w:p w:rsidR="00A54EAD" w:rsidRPr="00A05698" w:rsidRDefault="00A54EAD" w:rsidP="00F65B7C">
      <w:pPr>
        <w:ind w:right="12"/>
        <w:jc w:val="both"/>
      </w:pPr>
      <w:r w:rsidRPr="00A05698">
        <w:t xml:space="preserve">Sous ce rapport, les résultats de la sélection devront aboutir </w:t>
      </w:r>
      <w:r w:rsidR="00B14D1C">
        <w:t xml:space="preserve">au </w:t>
      </w:r>
      <w:r w:rsidR="00A73BE0" w:rsidRPr="00A32421">
        <w:rPr>
          <w:b/>
        </w:rPr>
        <w:t>Troisième catégorie : Risque modéré</w:t>
      </w:r>
      <w:r w:rsidRPr="00A05698">
        <w:t>. Les activités du Projet nécessiteront un travail environnemental et social suivant : soit l’application de mesures d’atténuation simples, ou la préparation d’un</w:t>
      </w:r>
      <w:r w:rsidR="00A73BE0">
        <w:t>e</w:t>
      </w:r>
      <w:r w:rsidRPr="00A05698">
        <w:t xml:space="preserve"> </w:t>
      </w:r>
      <w:r w:rsidR="00A73BE0">
        <w:t>AEI</w:t>
      </w:r>
      <w:r w:rsidRPr="00A05698">
        <w:t xml:space="preserve">. </w:t>
      </w:r>
    </w:p>
    <w:p w:rsidR="00A54EAD" w:rsidRPr="00A05698" w:rsidRDefault="00A54EAD" w:rsidP="00A76F4A">
      <w:pPr>
        <w:ind w:left="-284" w:right="12"/>
        <w:jc w:val="both"/>
      </w:pPr>
    </w:p>
    <w:p w:rsidR="00A54EAD" w:rsidRPr="00A05698" w:rsidRDefault="00A54EAD" w:rsidP="00A76F4A">
      <w:pPr>
        <w:ind w:right="12"/>
        <w:jc w:val="both"/>
      </w:pPr>
      <w:r w:rsidRPr="00A05698">
        <w:t xml:space="preserve">Après l’analyse des informations contenues dans les résultats de la sélection et après avoir déterminé la bonne catégorie environnementale et sociale, et donc l’ampleur du travail environnemental et social requis, </w:t>
      </w:r>
      <w:r w:rsidR="00BA3155">
        <w:t xml:space="preserve">le SSES </w:t>
      </w:r>
      <w:r w:rsidRPr="00A05698">
        <w:t xml:space="preserve">fera une recommandation pour dire si : (a) un travail environnemental et social ne sera pas nécessaire ; (b) l’application de </w:t>
      </w:r>
      <w:r w:rsidRPr="00A05698" w:rsidDel="00325F20">
        <w:t xml:space="preserve">simples </w:t>
      </w:r>
      <w:r w:rsidRPr="00A05698">
        <w:t>mesures d’atténuation</w:t>
      </w:r>
      <w:r>
        <w:t xml:space="preserve"> ou </w:t>
      </w:r>
      <w:r w:rsidRPr="00A05698">
        <w:t>; (c) un</w:t>
      </w:r>
      <w:r w:rsidR="00D76CF3">
        <w:t xml:space="preserve">e </w:t>
      </w:r>
      <w:r w:rsidR="00941495">
        <w:t>AEI</w:t>
      </w:r>
      <w:r w:rsidRPr="00A05698">
        <w:t xml:space="preserve"> spécifique devra être élaboré</w:t>
      </w:r>
      <w:r w:rsidR="00D241D3">
        <w:t>e</w:t>
      </w:r>
      <w:r w:rsidRPr="00A05698">
        <w:t xml:space="preserve">. </w:t>
      </w:r>
    </w:p>
    <w:p w:rsidR="00F2626B" w:rsidRPr="00A05698" w:rsidRDefault="00F2626B" w:rsidP="00A76F4A">
      <w:pPr>
        <w:ind w:right="12"/>
        <w:jc w:val="both"/>
      </w:pPr>
    </w:p>
    <w:p w:rsidR="009C419A" w:rsidRPr="00684A88" w:rsidRDefault="00E97DA5" w:rsidP="00A76F4A">
      <w:pPr>
        <w:pStyle w:val="PargrafodaLista"/>
        <w:widowControl w:val="0"/>
        <w:numPr>
          <w:ilvl w:val="0"/>
          <w:numId w:val="110"/>
        </w:numPr>
        <w:tabs>
          <w:tab w:val="left" w:pos="220"/>
          <w:tab w:val="left" w:pos="720"/>
        </w:tabs>
        <w:autoSpaceDE w:val="0"/>
        <w:autoSpaceDN w:val="0"/>
        <w:adjustRightInd w:val="0"/>
        <w:spacing w:after="240"/>
        <w:ind w:right="12"/>
        <w:rPr>
          <w:rFonts w:ascii="Times New Roman" w:hAnsi="Times New Roman"/>
          <w:i/>
          <w:iCs/>
          <w:color w:val="000000"/>
          <w:sz w:val="24"/>
          <w:szCs w:val="24"/>
          <w:u w:val="single"/>
          <w:lang w:eastAsia="en-US"/>
        </w:rPr>
      </w:pPr>
      <w:r w:rsidRPr="00684A88">
        <w:rPr>
          <w:rFonts w:ascii="Times New Roman" w:hAnsi="Times New Roman"/>
          <w:i/>
          <w:iCs/>
          <w:color w:val="000000"/>
          <w:sz w:val="24"/>
          <w:szCs w:val="24"/>
          <w:u w:val="single"/>
          <w:lang w:eastAsia="en-US"/>
        </w:rPr>
        <w:t>Etape 3 : Réalisation du « travail » environnemental et social</w:t>
      </w:r>
    </w:p>
    <w:p w:rsidR="00A73FB0" w:rsidRPr="00A05698" w:rsidRDefault="00E97DA5" w:rsidP="00A76F4A">
      <w:pPr>
        <w:widowControl w:val="0"/>
        <w:tabs>
          <w:tab w:val="left" w:pos="220"/>
          <w:tab w:val="left" w:pos="720"/>
        </w:tabs>
        <w:autoSpaceDE w:val="0"/>
        <w:autoSpaceDN w:val="0"/>
        <w:adjustRightInd w:val="0"/>
        <w:spacing w:after="240"/>
        <w:ind w:right="12"/>
        <w:rPr>
          <w:color w:val="000000"/>
          <w:lang w:eastAsia="en-US"/>
        </w:rPr>
      </w:pPr>
      <w:r w:rsidRPr="00A05698">
        <w:rPr>
          <w:color w:val="000000"/>
          <w:lang w:eastAsia="en-US"/>
        </w:rPr>
        <w:t>(I). Cas où un</w:t>
      </w:r>
      <w:r w:rsidR="00031C0F">
        <w:rPr>
          <w:color w:val="000000"/>
          <w:lang w:eastAsia="en-US"/>
        </w:rPr>
        <w:t>e AEI</w:t>
      </w:r>
      <w:r w:rsidRPr="00A05698">
        <w:rPr>
          <w:color w:val="000000"/>
          <w:lang w:eastAsia="en-US"/>
        </w:rPr>
        <w:t xml:space="preserve"> n’est pas nécessaire</w:t>
      </w:r>
      <w:r w:rsidR="00A73FB0" w:rsidRPr="00A05698">
        <w:rPr>
          <w:color w:val="000000"/>
          <w:lang w:eastAsia="en-US"/>
        </w:rPr>
        <w:t> </w:t>
      </w:r>
      <w:r w:rsidR="00A73FB0" w:rsidRPr="00A05698">
        <w:rPr>
          <w:rFonts w:eastAsia="MS Mincho"/>
          <w:color w:val="000000"/>
          <w:lang w:eastAsia="en-US"/>
        </w:rPr>
        <w:t>:</w:t>
      </w:r>
      <w:r w:rsidR="00A73FB0" w:rsidRPr="00A05698">
        <w:t xml:space="preserve"> Dans</w:t>
      </w:r>
      <w:r w:rsidRPr="00A05698">
        <w:t xml:space="preserve"> ces cas, </w:t>
      </w:r>
      <w:r w:rsidR="0062334F">
        <w:t>le S</w:t>
      </w:r>
      <w:r w:rsidR="00E52788">
        <w:t>S</w:t>
      </w:r>
      <w:r w:rsidR="0062334F">
        <w:t>ES</w:t>
      </w:r>
      <w:r w:rsidRPr="00A05698">
        <w:t xml:space="preserve"> consulte les listes de contrôle des Annexes pour sélectionner les mesures d’atténuation appropriées. </w:t>
      </w:r>
    </w:p>
    <w:p w:rsidR="00E97DA5" w:rsidRPr="00A05698" w:rsidRDefault="00A73FB0" w:rsidP="00A76F4A">
      <w:pPr>
        <w:widowControl w:val="0"/>
        <w:tabs>
          <w:tab w:val="left" w:pos="220"/>
          <w:tab w:val="left" w:pos="720"/>
        </w:tabs>
        <w:autoSpaceDE w:val="0"/>
        <w:autoSpaceDN w:val="0"/>
        <w:adjustRightInd w:val="0"/>
        <w:spacing w:after="240"/>
        <w:ind w:right="12"/>
        <w:rPr>
          <w:color w:val="000000"/>
          <w:lang w:eastAsia="en-US"/>
        </w:rPr>
      </w:pPr>
      <w:r w:rsidRPr="00A05698">
        <w:rPr>
          <w:color w:val="000000"/>
          <w:lang w:eastAsia="en-US"/>
        </w:rPr>
        <w:t>(II</w:t>
      </w:r>
      <w:r w:rsidR="00E97DA5" w:rsidRPr="00A05698">
        <w:rPr>
          <w:color w:val="000000"/>
          <w:lang w:eastAsia="en-US"/>
        </w:rPr>
        <w:t>). Cas où un</w:t>
      </w:r>
      <w:r w:rsidR="001C1213">
        <w:rPr>
          <w:color w:val="000000"/>
          <w:lang w:eastAsia="en-US"/>
        </w:rPr>
        <w:t>e AEI</w:t>
      </w:r>
      <w:r w:rsidR="00E97DA5" w:rsidRPr="00A05698">
        <w:rPr>
          <w:color w:val="000000"/>
          <w:lang w:eastAsia="en-US"/>
        </w:rPr>
        <w:t xml:space="preserve"> est </w:t>
      </w:r>
      <w:r w:rsidR="00E97DA5" w:rsidRPr="00BA3155">
        <w:rPr>
          <w:color w:val="000000"/>
          <w:lang w:eastAsia="en-US"/>
        </w:rPr>
        <w:t>nécessaire</w:t>
      </w:r>
      <w:r w:rsidRPr="00A05698">
        <w:rPr>
          <w:color w:val="000000"/>
          <w:lang w:eastAsia="en-US"/>
        </w:rPr>
        <w:t> </w:t>
      </w:r>
      <w:r w:rsidRPr="00A05698">
        <w:rPr>
          <w:rFonts w:eastAsia="MS Mincho"/>
          <w:color w:val="000000"/>
          <w:lang w:eastAsia="en-US"/>
        </w:rPr>
        <w:t>:</w:t>
      </w:r>
      <w:r w:rsidRPr="00A05698">
        <w:rPr>
          <w:color w:val="000000"/>
          <w:lang w:eastAsia="en-US"/>
        </w:rPr>
        <w:t xml:space="preserve"> L</w:t>
      </w:r>
      <w:r w:rsidR="00531D7E">
        <w:rPr>
          <w:color w:val="000000"/>
          <w:lang w:eastAsia="en-US"/>
        </w:rPr>
        <w:t xml:space="preserve">e </w:t>
      </w:r>
      <w:r w:rsidR="00531D7E" w:rsidRPr="0062334F">
        <w:rPr>
          <w:color w:val="000000"/>
          <w:lang w:eastAsia="en-US"/>
        </w:rPr>
        <w:t>SSES</w:t>
      </w:r>
      <w:r w:rsidR="00E97DA5" w:rsidRPr="00A05698">
        <w:rPr>
          <w:color w:val="000000"/>
          <w:lang w:eastAsia="en-US"/>
        </w:rPr>
        <w:t xml:space="preserve"> effectuera les activités suivantes : </w:t>
      </w:r>
    </w:p>
    <w:p w:rsidR="00E97DA5" w:rsidRPr="004D059D" w:rsidRDefault="00E97DA5" w:rsidP="00A76F4A">
      <w:pPr>
        <w:widowControl w:val="0"/>
        <w:numPr>
          <w:ilvl w:val="1"/>
          <w:numId w:val="111"/>
        </w:numPr>
        <w:tabs>
          <w:tab w:val="left" w:pos="940"/>
          <w:tab w:val="left" w:pos="1440"/>
        </w:tabs>
        <w:autoSpaceDE w:val="0"/>
        <w:autoSpaceDN w:val="0"/>
        <w:adjustRightInd w:val="0"/>
        <w:ind w:left="426" w:right="12"/>
        <w:rPr>
          <w:color w:val="000000"/>
          <w:sz w:val="22"/>
          <w:szCs w:val="22"/>
          <w:lang w:eastAsia="en-US"/>
        </w:rPr>
      </w:pPr>
      <w:r w:rsidRPr="004D059D">
        <w:rPr>
          <w:color w:val="000000"/>
          <w:sz w:val="22"/>
          <w:szCs w:val="22"/>
          <w:lang w:eastAsia="en-US"/>
        </w:rPr>
        <w:t xml:space="preserve">préparation des TDR pour </w:t>
      </w:r>
      <w:r w:rsidRPr="00BA3155">
        <w:rPr>
          <w:color w:val="000000"/>
          <w:sz w:val="22"/>
          <w:szCs w:val="22"/>
          <w:lang w:eastAsia="en-US"/>
        </w:rPr>
        <w:t>l</w:t>
      </w:r>
      <w:r w:rsidR="00684A88">
        <w:rPr>
          <w:color w:val="000000"/>
          <w:sz w:val="22"/>
          <w:szCs w:val="22"/>
          <w:lang w:eastAsia="en-US"/>
        </w:rPr>
        <w:t>’</w:t>
      </w:r>
      <w:r w:rsidR="00A73BE0" w:rsidRPr="00531D7E">
        <w:rPr>
          <w:color w:val="000000"/>
          <w:sz w:val="22"/>
          <w:szCs w:val="22"/>
          <w:lang w:eastAsia="en-US"/>
        </w:rPr>
        <w:t>AEI</w:t>
      </w:r>
      <w:r w:rsidRPr="00531D7E">
        <w:rPr>
          <w:color w:val="000000"/>
          <w:sz w:val="22"/>
          <w:szCs w:val="22"/>
          <w:lang w:eastAsia="en-US"/>
        </w:rPr>
        <w:t xml:space="preserve"> (voir annexe </w:t>
      </w:r>
      <w:r w:rsidR="00684A88">
        <w:rPr>
          <w:color w:val="000000"/>
          <w:sz w:val="22"/>
          <w:szCs w:val="22"/>
          <w:lang w:eastAsia="en-US"/>
        </w:rPr>
        <w:t>10</w:t>
      </w:r>
      <w:r w:rsidR="000E0430">
        <w:rPr>
          <w:color w:val="000000"/>
          <w:sz w:val="22"/>
          <w:szCs w:val="22"/>
          <w:lang w:eastAsia="en-US"/>
        </w:rPr>
        <w:t>)</w:t>
      </w:r>
      <w:r w:rsidR="00446930">
        <w:rPr>
          <w:color w:val="000000"/>
          <w:sz w:val="22"/>
          <w:szCs w:val="22"/>
          <w:lang w:eastAsia="en-US"/>
        </w:rPr>
        <w:t xml:space="preserve"> </w:t>
      </w:r>
      <w:r w:rsidR="004C1BEB">
        <w:rPr>
          <w:color w:val="000000"/>
          <w:sz w:val="22"/>
          <w:szCs w:val="22"/>
          <w:lang w:eastAsia="en-US"/>
        </w:rPr>
        <w:t>et les soumettre à l’AAAC et à la Banque mondiale pour approbation</w:t>
      </w:r>
      <w:r w:rsidRPr="004D059D">
        <w:rPr>
          <w:color w:val="000000"/>
          <w:sz w:val="22"/>
          <w:szCs w:val="22"/>
          <w:lang w:eastAsia="en-US"/>
        </w:rPr>
        <w:t xml:space="preserve">; </w:t>
      </w:r>
    </w:p>
    <w:p w:rsidR="00E97DA5" w:rsidRPr="004D059D" w:rsidRDefault="00E97DA5" w:rsidP="00A76F4A">
      <w:pPr>
        <w:widowControl w:val="0"/>
        <w:numPr>
          <w:ilvl w:val="1"/>
          <w:numId w:val="111"/>
        </w:numPr>
        <w:tabs>
          <w:tab w:val="left" w:pos="940"/>
          <w:tab w:val="left" w:pos="1440"/>
        </w:tabs>
        <w:autoSpaceDE w:val="0"/>
        <w:autoSpaceDN w:val="0"/>
        <w:adjustRightInd w:val="0"/>
        <w:ind w:left="426" w:right="12"/>
        <w:rPr>
          <w:color w:val="000000"/>
          <w:sz w:val="22"/>
          <w:szCs w:val="22"/>
          <w:lang w:eastAsia="en-US"/>
        </w:rPr>
      </w:pPr>
      <w:r w:rsidRPr="004D059D">
        <w:rPr>
          <w:color w:val="000000"/>
          <w:sz w:val="22"/>
          <w:szCs w:val="22"/>
          <w:lang w:eastAsia="en-US"/>
        </w:rPr>
        <w:t xml:space="preserve">recrutement des consultants agréés pour effectuer </w:t>
      </w:r>
      <w:r w:rsidRPr="00BA3155">
        <w:rPr>
          <w:color w:val="000000"/>
          <w:sz w:val="22"/>
          <w:szCs w:val="22"/>
          <w:lang w:eastAsia="en-US"/>
        </w:rPr>
        <w:t>l</w:t>
      </w:r>
      <w:r w:rsidR="00531D7E">
        <w:rPr>
          <w:color w:val="000000"/>
          <w:sz w:val="22"/>
          <w:szCs w:val="22"/>
          <w:lang w:eastAsia="en-US"/>
        </w:rPr>
        <w:t>’</w:t>
      </w:r>
      <w:r w:rsidRPr="00BA3155">
        <w:rPr>
          <w:color w:val="000000"/>
          <w:sz w:val="22"/>
          <w:szCs w:val="22"/>
          <w:lang w:eastAsia="en-US"/>
        </w:rPr>
        <w:t xml:space="preserve"> </w:t>
      </w:r>
      <w:r w:rsidR="00A73BE0" w:rsidRPr="00531D7E">
        <w:rPr>
          <w:color w:val="000000"/>
          <w:sz w:val="22"/>
          <w:szCs w:val="22"/>
          <w:lang w:eastAsia="en-US"/>
        </w:rPr>
        <w:t>AEI</w:t>
      </w:r>
      <w:r w:rsidRPr="00BA3155">
        <w:rPr>
          <w:color w:val="000000"/>
          <w:sz w:val="22"/>
          <w:szCs w:val="22"/>
          <w:lang w:eastAsia="en-US"/>
        </w:rPr>
        <w:t xml:space="preserve"> ;</w:t>
      </w:r>
      <w:r w:rsidRPr="004D059D">
        <w:rPr>
          <w:color w:val="000000"/>
          <w:sz w:val="22"/>
          <w:szCs w:val="22"/>
          <w:lang w:eastAsia="en-US"/>
        </w:rPr>
        <w:t xml:space="preserve"> </w:t>
      </w:r>
    </w:p>
    <w:p w:rsidR="00E97DA5" w:rsidRPr="004D059D" w:rsidRDefault="00E97DA5" w:rsidP="00A76F4A">
      <w:pPr>
        <w:widowControl w:val="0"/>
        <w:numPr>
          <w:ilvl w:val="1"/>
          <w:numId w:val="111"/>
        </w:numPr>
        <w:tabs>
          <w:tab w:val="left" w:pos="940"/>
          <w:tab w:val="left" w:pos="1440"/>
        </w:tabs>
        <w:autoSpaceDE w:val="0"/>
        <w:autoSpaceDN w:val="0"/>
        <w:adjustRightInd w:val="0"/>
        <w:ind w:left="426" w:right="12"/>
        <w:rPr>
          <w:color w:val="000000"/>
          <w:sz w:val="22"/>
          <w:szCs w:val="22"/>
          <w:lang w:eastAsia="en-US"/>
        </w:rPr>
      </w:pPr>
      <w:r w:rsidRPr="004D059D">
        <w:rPr>
          <w:color w:val="000000"/>
          <w:sz w:val="22"/>
          <w:szCs w:val="22"/>
          <w:lang w:eastAsia="en-US"/>
        </w:rPr>
        <w:t xml:space="preserve">conduite des consultations publiques conformément aux TDR ; </w:t>
      </w:r>
    </w:p>
    <w:p w:rsidR="00A73FB0" w:rsidRDefault="00E97DA5" w:rsidP="00A76F4A">
      <w:pPr>
        <w:widowControl w:val="0"/>
        <w:numPr>
          <w:ilvl w:val="1"/>
          <w:numId w:val="111"/>
        </w:numPr>
        <w:tabs>
          <w:tab w:val="left" w:pos="940"/>
          <w:tab w:val="left" w:pos="1440"/>
        </w:tabs>
        <w:autoSpaceDE w:val="0"/>
        <w:autoSpaceDN w:val="0"/>
        <w:adjustRightInd w:val="0"/>
        <w:ind w:left="426" w:right="12"/>
        <w:rPr>
          <w:color w:val="000000"/>
          <w:sz w:val="22"/>
          <w:szCs w:val="22"/>
          <w:lang w:eastAsia="en-US"/>
        </w:rPr>
      </w:pPr>
      <w:r w:rsidRPr="00BA3155">
        <w:rPr>
          <w:color w:val="000000"/>
          <w:sz w:val="22"/>
          <w:szCs w:val="22"/>
          <w:lang w:eastAsia="en-US"/>
        </w:rPr>
        <w:t xml:space="preserve">revue </w:t>
      </w:r>
      <w:r w:rsidRPr="00531D7E">
        <w:rPr>
          <w:color w:val="000000"/>
          <w:sz w:val="22"/>
          <w:szCs w:val="22"/>
          <w:lang w:eastAsia="en-US"/>
        </w:rPr>
        <w:t xml:space="preserve">des </w:t>
      </w:r>
      <w:r w:rsidR="00531D7E">
        <w:rPr>
          <w:color w:val="000000"/>
          <w:sz w:val="22"/>
          <w:szCs w:val="22"/>
          <w:lang w:eastAsia="en-US"/>
        </w:rPr>
        <w:t xml:space="preserve">AEI </w:t>
      </w:r>
      <w:r w:rsidRPr="004D059D">
        <w:rPr>
          <w:color w:val="000000"/>
          <w:sz w:val="22"/>
          <w:szCs w:val="22"/>
          <w:lang w:eastAsia="en-US"/>
        </w:rPr>
        <w:t xml:space="preserve">et soumission à l’AAAC </w:t>
      </w:r>
      <w:r w:rsidR="00E45CCE" w:rsidRPr="004D059D">
        <w:rPr>
          <w:color w:val="000000"/>
          <w:sz w:val="22"/>
          <w:szCs w:val="22"/>
          <w:lang w:eastAsia="en-US"/>
        </w:rPr>
        <w:t xml:space="preserve">et à la Banque mondiale </w:t>
      </w:r>
      <w:r w:rsidRPr="004D059D">
        <w:rPr>
          <w:color w:val="000000"/>
          <w:sz w:val="22"/>
          <w:szCs w:val="22"/>
          <w:lang w:eastAsia="en-US"/>
        </w:rPr>
        <w:t xml:space="preserve">pour </w:t>
      </w:r>
      <w:r w:rsidR="00BD7FC8" w:rsidRPr="004D059D">
        <w:rPr>
          <w:color w:val="000000"/>
          <w:sz w:val="22"/>
          <w:szCs w:val="22"/>
          <w:lang w:eastAsia="en-US"/>
        </w:rPr>
        <w:t>valid</w:t>
      </w:r>
      <w:r w:rsidR="005F19D2" w:rsidRPr="004D059D">
        <w:rPr>
          <w:color w:val="000000"/>
          <w:sz w:val="22"/>
          <w:szCs w:val="22"/>
          <w:lang w:eastAsia="en-US"/>
        </w:rPr>
        <w:t>ation</w:t>
      </w:r>
      <w:r w:rsidRPr="004D059D">
        <w:rPr>
          <w:color w:val="000000"/>
          <w:sz w:val="22"/>
          <w:szCs w:val="22"/>
          <w:lang w:eastAsia="en-US"/>
        </w:rPr>
        <w:t xml:space="preserve">. </w:t>
      </w:r>
    </w:p>
    <w:p w:rsidR="00531D7E" w:rsidRPr="004D059D" w:rsidRDefault="00531D7E" w:rsidP="00A76F4A">
      <w:pPr>
        <w:widowControl w:val="0"/>
        <w:tabs>
          <w:tab w:val="left" w:pos="940"/>
          <w:tab w:val="left" w:pos="1440"/>
        </w:tabs>
        <w:autoSpaceDE w:val="0"/>
        <w:autoSpaceDN w:val="0"/>
        <w:adjustRightInd w:val="0"/>
        <w:ind w:left="426" w:right="12"/>
        <w:rPr>
          <w:color w:val="000000"/>
          <w:sz w:val="22"/>
          <w:szCs w:val="22"/>
          <w:lang w:eastAsia="en-US"/>
        </w:rPr>
      </w:pPr>
    </w:p>
    <w:p w:rsidR="00E97DA5" w:rsidRPr="00A05698" w:rsidRDefault="00E97DA5" w:rsidP="00A76F4A">
      <w:pPr>
        <w:ind w:right="12"/>
        <w:jc w:val="both"/>
      </w:pPr>
      <w:r w:rsidRPr="00A05698">
        <w:t xml:space="preserve"> </w:t>
      </w:r>
      <w:r w:rsidRPr="00BA3155">
        <w:t>L</w:t>
      </w:r>
      <w:r w:rsidR="00A73BE0" w:rsidRPr="00BA3155">
        <w:t>’</w:t>
      </w:r>
      <w:r w:rsidR="00A73BE0" w:rsidRPr="00531D7E">
        <w:t>AEI</w:t>
      </w:r>
      <w:r w:rsidRPr="00A05698">
        <w:t xml:space="preserve"> sera élaboré par des consultants qualifiés qui seront recrutés par l’UCP. </w:t>
      </w:r>
    </w:p>
    <w:p w:rsidR="00E82355" w:rsidRPr="00A05698" w:rsidRDefault="00E82355" w:rsidP="00A76F4A">
      <w:pPr>
        <w:ind w:right="12"/>
        <w:jc w:val="both"/>
      </w:pPr>
      <w:r w:rsidRPr="00A05698">
        <w:t xml:space="preserve">En cas de réalisation </w:t>
      </w:r>
      <w:r w:rsidRPr="00BA3155">
        <w:t xml:space="preserve">des </w:t>
      </w:r>
      <w:r w:rsidR="00A73BE0" w:rsidRPr="00531D7E">
        <w:t>AEI</w:t>
      </w:r>
      <w:r w:rsidRPr="00BA3155">
        <w:t>, l’AAAC, avec l’appui des autres services techniques concernés, va procéder à leur examen en vue leur approbation (ou rejet). Dans le cadre de l’examen d’un</w:t>
      </w:r>
      <w:r w:rsidR="00A73BE0" w:rsidRPr="00BA3155">
        <w:t>e</w:t>
      </w:r>
      <w:r w:rsidRPr="00BA3155">
        <w:t xml:space="preserve"> </w:t>
      </w:r>
      <w:r w:rsidR="00A73BE0" w:rsidRPr="00531D7E">
        <w:t>AEI</w:t>
      </w:r>
      <w:r w:rsidR="004256BF" w:rsidRPr="00BA3155">
        <w:t>,</w:t>
      </w:r>
      <w:r w:rsidRPr="00BA3155">
        <w:t xml:space="preserve"> l’AAAC peut demander un complément d'informations au consultant ayant réalisé </w:t>
      </w:r>
      <w:r w:rsidR="00531D7E" w:rsidRPr="00BA3155">
        <w:t>l’AEI</w:t>
      </w:r>
      <w:r w:rsidRPr="00BA3155">
        <w:t xml:space="preserve"> ou au Projet. Par la suite, l’AAAC donne, par écrit, à l’unité de coordination du Projet, un avis sur la faisab</w:t>
      </w:r>
      <w:r w:rsidR="007365E5" w:rsidRPr="00BA3155">
        <w:t>ilité</w:t>
      </w:r>
      <w:r w:rsidR="007365E5" w:rsidRPr="00A05698">
        <w:t xml:space="preserve"> environnementale du </w:t>
      </w:r>
      <w:r w:rsidRPr="00A05698">
        <w:t xml:space="preserve">projet. En cas d'avis défavorable, celui-ci doit être dûment motivé. </w:t>
      </w:r>
    </w:p>
    <w:p w:rsidR="00224BC6" w:rsidRPr="00A05698" w:rsidRDefault="00224BC6" w:rsidP="00A76F4A">
      <w:pPr>
        <w:ind w:left="-284" w:right="12"/>
        <w:jc w:val="both"/>
      </w:pPr>
    </w:p>
    <w:p w:rsidR="004E4D18" w:rsidRPr="00A05698" w:rsidRDefault="004E4D18" w:rsidP="00A76F4A">
      <w:pPr>
        <w:pStyle w:val="PargrafodaLista"/>
        <w:widowControl w:val="0"/>
        <w:numPr>
          <w:ilvl w:val="0"/>
          <w:numId w:val="110"/>
        </w:numPr>
        <w:tabs>
          <w:tab w:val="left" w:pos="220"/>
          <w:tab w:val="left" w:pos="720"/>
        </w:tabs>
        <w:autoSpaceDE w:val="0"/>
        <w:autoSpaceDN w:val="0"/>
        <w:adjustRightInd w:val="0"/>
        <w:spacing w:after="240"/>
        <w:ind w:right="12"/>
        <w:rPr>
          <w:rFonts w:ascii="Times New Roman" w:hAnsi="Times New Roman"/>
          <w:i/>
          <w:iCs/>
          <w:color w:val="000000"/>
          <w:sz w:val="24"/>
          <w:szCs w:val="24"/>
          <w:u w:val="single"/>
          <w:lang w:eastAsia="en-US"/>
        </w:rPr>
      </w:pPr>
      <w:r w:rsidRPr="00A05698">
        <w:rPr>
          <w:rFonts w:ascii="Times New Roman" w:hAnsi="Times New Roman"/>
          <w:i/>
          <w:iCs/>
          <w:color w:val="000000"/>
          <w:sz w:val="24"/>
          <w:szCs w:val="24"/>
          <w:u w:val="single"/>
          <w:lang w:eastAsia="en-US"/>
        </w:rPr>
        <w:t xml:space="preserve">Etape 4 : Consultations et participation publiques et diffusion : </w:t>
      </w:r>
    </w:p>
    <w:p w:rsidR="00224BC6" w:rsidRPr="00A05698" w:rsidRDefault="004E4D18" w:rsidP="00A76F4A">
      <w:pPr>
        <w:ind w:right="12"/>
        <w:jc w:val="both"/>
      </w:pPr>
      <w:r w:rsidRPr="00D47C37">
        <w:t xml:space="preserve">Dans </w:t>
      </w:r>
      <w:r w:rsidR="00B62342" w:rsidRPr="00D47C37">
        <w:t xml:space="preserve">la </w:t>
      </w:r>
      <w:r w:rsidRPr="00D47C37">
        <w:t xml:space="preserve">loi sur l’évaluation environnementale, le 3ème alinéa de l’article 15 (élaboration des </w:t>
      </w:r>
      <w:r w:rsidR="00446930" w:rsidRPr="00D47C37">
        <w:t>EIES/AEI</w:t>
      </w:r>
      <w:r w:rsidRPr="00D47C37">
        <w:t>) de la section III des EIE</w:t>
      </w:r>
      <w:r w:rsidR="00E840BA" w:rsidRPr="00D47C37">
        <w:t>S</w:t>
      </w:r>
      <w:r w:rsidR="00446930" w:rsidRPr="00D47C37">
        <w:t xml:space="preserve"> et</w:t>
      </w:r>
      <w:r w:rsidRPr="00D47C37">
        <w:t xml:space="preserve"> </w:t>
      </w:r>
      <w:r w:rsidR="00446930" w:rsidRPr="00D47C37">
        <w:t>dans la loi n° 10/2010, notam</w:t>
      </w:r>
      <w:r w:rsidR="00E42804" w:rsidRPr="00D47C37">
        <w:t>ment les termes de l'article 24</w:t>
      </w:r>
      <w:r w:rsidR="00446930" w:rsidRPr="00D47C37">
        <w:t xml:space="preserve"> sur l’audience publique </w:t>
      </w:r>
      <w:r w:rsidRPr="00D47C37">
        <w:t>dispose</w:t>
      </w:r>
      <w:r w:rsidR="00446930" w:rsidRPr="00D47C37">
        <w:t>nt</w:t>
      </w:r>
      <w:r w:rsidRPr="00D47C37">
        <w:t xml:space="preserve"> que les informations contenues dans les </w:t>
      </w:r>
      <w:r w:rsidR="00FA044C" w:rsidRPr="00D47C37">
        <w:t>EIES/AEI</w:t>
      </w:r>
      <w:r w:rsidRPr="00D47C37">
        <w:t xml:space="preserve"> devront être portées à l’attention et à la disposition du public, ce qui est en conformité avec</w:t>
      </w:r>
      <w:r w:rsidR="00B3059F" w:rsidRPr="00D47C37">
        <w:t xml:space="preserve"> la NES </w:t>
      </w:r>
      <w:r w:rsidR="00033F85" w:rsidRPr="00D47C37">
        <w:t>N°</w:t>
      </w:r>
      <w:r w:rsidR="00B3059F" w:rsidRPr="00D47C37">
        <w:t>10 de la Banque mondiale</w:t>
      </w:r>
      <w:r w:rsidR="00B3059F" w:rsidRPr="00D47C37" w:rsidDel="00B3059F">
        <w:t xml:space="preserve"> </w:t>
      </w:r>
      <w:r w:rsidRPr="00D47C37">
        <w:t>décrivant les exigences de consultation et de diffusion.</w:t>
      </w:r>
      <w:r w:rsidRPr="00A05698">
        <w:t xml:space="preserve"> </w:t>
      </w:r>
    </w:p>
    <w:p w:rsidR="00224BC6" w:rsidRPr="00A05698" w:rsidRDefault="00224BC6" w:rsidP="00A76F4A">
      <w:pPr>
        <w:ind w:right="12"/>
        <w:jc w:val="both"/>
      </w:pPr>
    </w:p>
    <w:p w:rsidR="00224BC6" w:rsidRPr="00A05698" w:rsidRDefault="004E4D18" w:rsidP="00A76F4A">
      <w:pPr>
        <w:ind w:right="12"/>
        <w:jc w:val="both"/>
      </w:pPr>
      <w:r w:rsidRPr="00A05698">
        <w:lastRenderedPageBreak/>
        <w:t>Aussi, le Projet devra adopter ce mécanisme de participation publique, comme élément constitutif de l'étude d'</w:t>
      </w:r>
      <w:r w:rsidR="00FA044C">
        <w:t>AEI</w:t>
      </w:r>
      <w:r w:rsidR="002C30DE">
        <w:t>.</w:t>
      </w:r>
    </w:p>
    <w:p w:rsidR="00A47174" w:rsidRPr="00A05698" w:rsidRDefault="004E4D18" w:rsidP="00A76F4A">
      <w:pPr>
        <w:ind w:right="12"/>
        <w:jc w:val="both"/>
      </w:pPr>
      <w:r w:rsidRPr="00A05698">
        <w:t xml:space="preserve">Ce mécanisme devra obéir à la procédure suivante : </w:t>
      </w:r>
    </w:p>
    <w:p w:rsidR="00F900D3" w:rsidRPr="00540C5C" w:rsidRDefault="004E4D18" w:rsidP="00A76F4A">
      <w:pPr>
        <w:pStyle w:val="PargrafodaLista"/>
        <w:widowControl w:val="0"/>
        <w:numPr>
          <w:ilvl w:val="0"/>
          <w:numId w:val="67"/>
        </w:numPr>
        <w:autoSpaceDE w:val="0"/>
        <w:autoSpaceDN w:val="0"/>
        <w:adjustRightInd w:val="0"/>
        <w:spacing w:after="240" w:line="240" w:lineRule="auto"/>
        <w:ind w:right="12"/>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annonce de l'initiative par affichage dans les mairies, gouvernorats, secteurs et sections, par voie de presse (écrite ou parlée) ; </w:t>
      </w:r>
    </w:p>
    <w:p w:rsidR="00F900D3" w:rsidRPr="00540C5C" w:rsidRDefault="004E4D18" w:rsidP="00A76F4A">
      <w:pPr>
        <w:pStyle w:val="PargrafodaLista"/>
        <w:widowControl w:val="0"/>
        <w:numPr>
          <w:ilvl w:val="0"/>
          <w:numId w:val="67"/>
        </w:numPr>
        <w:autoSpaceDE w:val="0"/>
        <w:autoSpaceDN w:val="0"/>
        <w:adjustRightInd w:val="0"/>
        <w:spacing w:after="240" w:line="240" w:lineRule="auto"/>
        <w:ind w:right="12"/>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dépôt des documents dans les localités concernées ; </w:t>
      </w:r>
    </w:p>
    <w:p w:rsidR="00F900D3" w:rsidRPr="00540C5C" w:rsidRDefault="004E4D18" w:rsidP="00A76F4A">
      <w:pPr>
        <w:pStyle w:val="PargrafodaLista"/>
        <w:widowControl w:val="0"/>
        <w:numPr>
          <w:ilvl w:val="0"/>
          <w:numId w:val="67"/>
        </w:numPr>
        <w:autoSpaceDE w:val="0"/>
        <w:autoSpaceDN w:val="0"/>
        <w:adjustRightInd w:val="0"/>
        <w:spacing w:after="240" w:line="240" w:lineRule="auto"/>
        <w:ind w:right="12"/>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tenue d'une réunion d'information ; </w:t>
      </w:r>
    </w:p>
    <w:p w:rsidR="00F900D3" w:rsidRPr="00540C5C" w:rsidRDefault="004E4D18" w:rsidP="00A76F4A">
      <w:pPr>
        <w:pStyle w:val="PargrafodaLista"/>
        <w:widowControl w:val="0"/>
        <w:numPr>
          <w:ilvl w:val="0"/>
          <w:numId w:val="67"/>
        </w:numPr>
        <w:autoSpaceDE w:val="0"/>
        <w:autoSpaceDN w:val="0"/>
        <w:adjustRightInd w:val="0"/>
        <w:spacing w:after="240" w:line="240" w:lineRule="auto"/>
        <w:ind w:right="12"/>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collecte de commentaires écrits et oraux ; </w:t>
      </w:r>
    </w:p>
    <w:p w:rsidR="00F900D3" w:rsidRPr="00540C5C" w:rsidRDefault="004E4D18" w:rsidP="00A76F4A">
      <w:pPr>
        <w:pStyle w:val="PargrafodaLista"/>
        <w:widowControl w:val="0"/>
        <w:numPr>
          <w:ilvl w:val="0"/>
          <w:numId w:val="67"/>
        </w:numPr>
        <w:autoSpaceDE w:val="0"/>
        <w:autoSpaceDN w:val="0"/>
        <w:adjustRightInd w:val="0"/>
        <w:spacing w:after="240" w:line="240" w:lineRule="auto"/>
        <w:ind w:right="12"/>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négociations en cas de besoin ; et </w:t>
      </w:r>
    </w:p>
    <w:p w:rsidR="004E4D18" w:rsidRPr="00540C5C" w:rsidRDefault="004E4D18" w:rsidP="00A76F4A">
      <w:pPr>
        <w:pStyle w:val="PargrafodaLista"/>
        <w:widowControl w:val="0"/>
        <w:numPr>
          <w:ilvl w:val="0"/>
          <w:numId w:val="67"/>
        </w:numPr>
        <w:autoSpaceDE w:val="0"/>
        <w:autoSpaceDN w:val="0"/>
        <w:adjustRightInd w:val="0"/>
        <w:spacing w:after="240" w:line="240" w:lineRule="auto"/>
        <w:ind w:right="12"/>
        <w:rPr>
          <w:rFonts w:ascii="Times New Roman" w:hAnsi="Times New Roman"/>
          <w:color w:val="000000"/>
          <w:sz w:val="22"/>
          <w:szCs w:val="22"/>
          <w:lang w:eastAsia="en-US"/>
        </w:rPr>
      </w:pPr>
      <w:r w:rsidRPr="00540C5C">
        <w:rPr>
          <w:rFonts w:ascii="Times New Roman" w:hAnsi="Times New Roman"/>
          <w:color w:val="000000"/>
          <w:sz w:val="22"/>
          <w:szCs w:val="22"/>
          <w:lang w:eastAsia="en-US"/>
        </w:rPr>
        <w:t xml:space="preserve">élaboration du rapport. </w:t>
      </w:r>
    </w:p>
    <w:p w:rsidR="00B87BB7" w:rsidRPr="00A05698" w:rsidRDefault="004E4D18" w:rsidP="00A76F4A">
      <w:pPr>
        <w:ind w:right="12"/>
        <w:jc w:val="both"/>
      </w:pPr>
      <w:r w:rsidRPr="00A05698">
        <w:t xml:space="preserve">En cas de sous projet à impacts négatifs importants nécessitant </w:t>
      </w:r>
      <w:r w:rsidRPr="00A57DCB">
        <w:t>un</w:t>
      </w:r>
      <w:r w:rsidR="00A73BE0" w:rsidRPr="00A57DCB">
        <w:t>e</w:t>
      </w:r>
      <w:r w:rsidRPr="00A57DCB">
        <w:t xml:space="preserve"> </w:t>
      </w:r>
      <w:r w:rsidR="007C0D87">
        <w:t>EIES/</w:t>
      </w:r>
      <w:r w:rsidR="00A73BE0" w:rsidRPr="00A57DCB">
        <w:t>AEI</w:t>
      </w:r>
      <w:r w:rsidRPr="00A57DCB">
        <w:t>,</w:t>
      </w:r>
      <w:r w:rsidRPr="00A05698">
        <w:t xml:space="preserve"> un exemplaire du rapport sera déposé au niveau de la région concernée qui dispose d’un délai raisonnable pour faire ses</w:t>
      </w:r>
      <w:r w:rsidR="00F900D3" w:rsidRPr="00A05698">
        <w:t xml:space="preserve"> </w:t>
      </w:r>
      <w:r w:rsidRPr="00A05698">
        <w:t xml:space="preserve">observations et ses remarques par des commentaires écrits. </w:t>
      </w:r>
    </w:p>
    <w:p w:rsidR="00B87BB7" w:rsidRDefault="00B87BB7" w:rsidP="00A76F4A">
      <w:pPr>
        <w:ind w:right="12"/>
        <w:jc w:val="both"/>
      </w:pPr>
    </w:p>
    <w:p w:rsidR="00506312" w:rsidRDefault="00FA044C" w:rsidP="00A76F4A">
      <w:pPr>
        <w:ind w:right="12"/>
        <w:jc w:val="both"/>
      </w:pPr>
      <w:r>
        <w:t xml:space="preserve">Audience Publique : Selon </w:t>
      </w:r>
      <w:r w:rsidRPr="00026F2D">
        <w:t>l’article 24 de la loi</w:t>
      </w:r>
      <w:r w:rsidR="007C0D87" w:rsidRPr="00026F2D">
        <w:t xml:space="preserve"> n° 10/2010</w:t>
      </w:r>
      <w:r>
        <w:t xml:space="preserve"> ; en accord avec les recommandations du Comité ad-hoc, </w:t>
      </w:r>
      <w:r w:rsidR="007C0D87">
        <w:t>l’AAAC</w:t>
      </w:r>
      <w:r>
        <w:t xml:space="preserve"> détermine la nécessité de préparer et de tenir une audience publique étant obligatoire à toutes fins juridiques, dans le cadre des projets de la </w:t>
      </w:r>
      <w:r w:rsidR="00506312" w:rsidRPr="00026F2D">
        <w:t>Deuxième catégorie : Risque substantiel</w:t>
      </w:r>
      <w:r>
        <w:t>.</w:t>
      </w:r>
      <w:r w:rsidR="00506312">
        <w:t xml:space="preserve"> Les conditions et les modalités pour la préparation et la réalisation de l’audience publique sont prévues par le Comité ad-hoc en collaboration avec le responsable administratif de l’endroit qui abrite le projet, aux frais du Maître d’Œuvre. Les dates, le contenu et les lieux d’audiences publiques seront massivement publiés dans les médias dans différentes langues nationales et locales avec une antécédence minimum de 10 jours.</w:t>
      </w:r>
    </w:p>
    <w:p w:rsidR="00506312" w:rsidRDefault="00506312" w:rsidP="00A76F4A">
      <w:pPr>
        <w:ind w:right="12"/>
        <w:jc w:val="both"/>
      </w:pPr>
      <w:r>
        <w:t>L’audience publique peut être demandée par une entité civile, par le Ministère Public ou par des personnes physiques ou morales en nombre supérieur ou égale à 40 % des résidents de la zone. A la fin de l’audience, le Comité établit un rapport qui indique le développement, les conclusions et les recommandations.</w:t>
      </w:r>
    </w:p>
    <w:p w:rsidR="00F46103" w:rsidRDefault="00F46103" w:rsidP="00A76F4A">
      <w:pPr>
        <w:ind w:right="12"/>
        <w:jc w:val="both"/>
      </w:pPr>
    </w:p>
    <w:p w:rsidR="00506312" w:rsidRDefault="00F46103" w:rsidP="00A76F4A">
      <w:pPr>
        <w:ind w:right="12"/>
        <w:jc w:val="both"/>
      </w:pPr>
      <w:r>
        <w:t xml:space="preserve">Nous estimons que </w:t>
      </w:r>
      <w:r w:rsidR="00506312" w:rsidRPr="00A05698">
        <w:t xml:space="preserve">les résultats de la sélection </w:t>
      </w:r>
      <w:r w:rsidR="00506312">
        <w:t xml:space="preserve">pour ce projet de PUSA </w:t>
      </w:r>
      <w:r w:rsidR="00941605" w:rsidRPr="00A05698">
        <w:t>aboutir</w:t>
      </w:r>
      <w:r w:rsidR="00941605">
        <w:t>ont</w:t>
      </w:r>
      <w:r w:rsidR="00506312" w:rsidRPr="00A05698">
        <w:t xml:space="preserve"> </w:t>
      </w:r>
      <w:r>
        <w:t>à la</w:t>
      </w:r>
      <w:r w:rsidR="00506312">
        <w:t xml:space="preserve"> </w:t>
      </w:r>
      <w:r w:rsidR="00506312" w:rsidRPr="00026F2D">
        <w:t xml:space="preserve">Troisième catégorie : Risque modéré </w:t>
      </w:r>
      <w:r w:rsidR="00506312" w:rsidRPr="00D47C37">
        <w:t xml:space="preserve">qui ne nécessitera pas de </w:t>
      </w:r>
      <w:r w:rsidR="00506312" w:rsidRPr="00506312">
        <w:t>préparer et de tenir une audience publique</w:t>
      </w:r>
      <w:r w:rsidR="00506312">
        <w:t>.</w:t>
      </w:r>
    </w:p>
    <w:p w:rsidR="007C0D87" w:rsidRDefault="00FA044C" w:rsidP="00A76F4A">
      <w:pPr>
        <w:ind w:right="12"/>
        <w:jc w:val="both"/>
      </w:pPr>
      <w:r>
        <w:t xml:space="preserve"> </w:t>
      </w:r>
    </w:p>
    <w:p w:rsidR="00506312" w:rsidRDefault="00FA044C" w:rsidP="00A76F4A">
      <w:pPr>
        <w:ind w:right="12"/>
        <w:jc w:val="both"/>
      </w:pPr>
      <w:r>
        <w:t xml:space="preserve">Pour satisfaire aux exigences de consultation et de diffusion de la Banque Mondiale, le Coordonnateur </w:t>
      </w:r>
      <w:r w:rsidR="00506312">
        <w:t>produira</w:t>
      </w:r>
      <w:r>
        <w:t xml:space="preserve"> une lettre de diffusion dans laquelle il informera la Banque Mon</w:t>
      </w:r>
      <w:r w:rsidR="00506312">
        <w:t>diale de l’approbation de l’AEI</w:t>
      </w:r>
      <w:r>
        <w:t>, il procèdera aussi à la diffusion effective de l’ensemble des rapports produits à tous les partenaires concernés et, éventuellement, les personnes susceptibles d’être affectées. Il adressera aussi une autorisation à la Banque pour que celle-ci procède à la diffusion de ces documents dans son site web.</w:t>
      </w:r>
    </w:p>
    <w:p w:rsidR="00506312" w:rsidRDefault="00506312" w:rsidP="00A76F4A">
      <w:pPr>
        <w:ind w:left="-284" w:right="12"/>
        <w:jc w:val="both"/>
      </w:pPr>
    </w:p>
    <w:p w:rsidR="00FA044C" w:rsidRPr="00A05698" w:rsidRDefault="00FA044C" w:rsidP="00A76F4A">
      <w:pPr>
        <w:ind w:right="12"/>
        <w:jc w:val="both"/>
      </w:pPr>
      <w:r>
        <w:t xml:space="preserve">Toutes ces étapes conduisant à la divulgation de documents </w:t>
      </w:r>
      <w:r w:rsidR="00506312">
        <w:t xml:space="preserve">de </w:t>
      </w:r>
      <w:r>
        <w:t xml:space="preserve">sauvegarde devront être terminées avant l’approbation du sous-projet afin que les coûts de mise en œuvre des mesures environnementales et sociales puissent être incorporés dans le coût du </w:t>
      </w:r>
      <w:r w:rsidR="007C0D87">
        <w:t>sous projet</w:t>
      </w:r>
      <w:r>
        <w:t>.</w:t>
      </w:r>
    </w:p>
    <w:p w:rsidR="002A59EE" w:rsidRDefault="002A59EE" w:rsidP="00A76F4A">
      <w:pPr>
        <w:ind w:left="-284" w:right="12"/>
        <w:jc w:val="both"/>
      </w:pPr>
    </w:p>
    <w:p w:rsidR="002B51E1" w:rsidRPr="0003666F" w:rsidRDefault="002B51E1" w:rsidP="00A76F4A">
      <w:pPr>
        <w:pStyle w:val="PargrafodaLista"/>
        <w:numPr>
          <w:ilvl w:val="2"/>
          <w:numId w:val="283"/>
        </w:numPr>
        <w:spacing w:after="120" w:line="240" w:lineRule="auto"/>
        <w:ind w:left="851" w:right="12"/>
        <w:outlineLvl w:val="1"/>
        <w:rPr>
          <w:rFonts w:ascii="Times New Roman" w:hAnsi="Times New Roman"/>
          <w:b/>
          <w:bCs/>
          <w:sz w:val="24"/>
          <w:szCs w:val="24"/>
        </w:rPr>
      </w:pPr>
      <w:bookmarkStart w:id="329" w:name="_Toc75432310"/>
      <w:r w:rsidRPr="00345951">
        <w:rPr>
          <w:rFonts w:ascii="Times New Roman" w:hAnsi="Times New Roman"/>
          <w:b/>
          <w:bCs/>
          <w:sz w:val="24"/>
          <w:szCs w:val="24"/>
        </w:rPr>
        <w:t>Intégration dans DAO du sous-projet de toutes les mesures de la phase des travaux devant être contractées avec l’entreprise, la préparation et l’approbation des PGES-Chantiers, et l’exécution des mesures E&amp;S</w:t>
      </w:r>
      <w:bookmarkEnd w:id="329"/>
    </w:p>
    <w:p w:rsidR="002B51E1" w:rsidRDefault="002B51E1" w:rsidP="00A76F4A">
      <w:pPr>
        <w:ind w:right="12"/>
        <w:jc w:val="both"/>
      </w:pPr>
      <w:r>
        <w:t xml:space="preserve">L’UCP veillera à intégrer les recommandations et mesures de gestion environnementale et sociale dans les dossiers d’appel d’offres et d’exécution </w:t>
      </w:r>
      <w:r w:rsidR="00C67F65">
        <w:t>des travaux</w:t>
      </w:r>
      <w:r>
        <w:t xml:space="preserve"> prévus dans le cadre du </w:t>
      </w:r>
      <w:r>
        <w:lastRenderedPageBreak/>
        <w:t>projet PUSA.  Ces recommandations et mesures seront intégrées dans le cahier de charge de chaque promoteur/gestionnaire.</w:t>
      </w:r>
    </w:p>
    <w:p w:rsidR="002B51E1" w:rsidRDefault="002B51E1" w:rsidP="00A76F4A">
      <w:pPr>
        <w:ind w:right="12"/>
        <w:jc w:val="both"/>
      </w:pPr>
    </w:p>
    <w:p w:rsidR="002B51E1" w:rsidRDefault="00C67F65" w:rsidP="00A76F4A">
      <w:pPr>
        <w:ind w:right="12"/>
        <w:jc w:val="both"/>
      </w:pPr>
      <w:r>
        <w:t>De plus, toutes les entreprises et prestataires devant exécuter des travaux dans le cadre du PUSA devront préparer et mettre en œuvre un Plan de Gestion Environnementale et Sociale</w:t>
      </w:r>
      <w:r w:rsidR="000A3F38">
        <w:t xml:space="preserve"> de chantier</w:t>
      </w:r>
      <w:r>
        <w:t xml:space="preserve"> (PGES –</w:t>
      </w:r>
      <w:r w:rsidR="000A3F38">
        <w:t>chantiers</w:t>
      </w:r>
      <w:r>
        <w:t xml:space="preserve">) sur la base du PGES du </w:t>
      </w:r>
      <w:r w:rsidR="00487693">
        <w:t>sous projet concerné</w:t>
      </w:r>
      <w:r>
        <w:t>.  L’UCP approuvera les PGES-</w:t>
      </w:r>
      <w:r w:rsidR="000A3F38">
        <w:t>chantiers</w:t>
      </w:r>
      <w:r>
        <w:t xml:space="preserve"> avec l’appui des structures techniques chargées du suivi de la mise en œuvre et du Spécia</w:t>
      </w:r>
      <w:r w:rsidR="00487693">
        <w:t xml:space="preserve">liste en Passation des Marchés </w:t>
      </w:r>
      <w:r>
        <w:t xml:space="preserve">(SPM).  De même, l’UCP devra veiller à intégrer </w:t>
      </w:r>
      <w:r w:rsidR="00487693">
        <w:t xml:space="preserve">dans les cahiers </w:t>
      </w:r>
      <w:r w:rsidR="00A57DCB">
        <w:t xml:space="preserve">de charges des promoteurs les mesures environnementales et sociales à </w:t>
      </w:r>
      <w:r w:rsidR="0060566C">
        <w:t>mettre en œuvre lors de</w:t>
      </w:r>
      <w:r>
        <w:t xml:space="preserve"> l’exploitation des infrastructures</w:t>
      </w:r>
      <w:r w:rsidR="003D1D6A">
        <w:t>.</w:t>
      </w:r>
    </w:p>
    <w:p w:rsidR="00487693" w:rsidRDefault="00487693" w:rsidP="00A76F4A">
      <w:pPr>
        <w:ind w:left="-284" w:right="12"/>
        <w:jc w:val="both"/>
      </w:pPr>
    </w:p>
    <w:p w:rsidR="00487693" w:rsidRPr="0003666F" w:rsidRDefault="00487693" w:rsidP="00A76F4A">
      <w:pPr>
        <w:pStyle w:val="PargrafodaLista"/>
        <w:numPr>
          <w:ilvl w:val="2"/>
          <w:numId w:val="283"/>
        </w:numPr>
        <w:spacing w:after="120" w:line="240" w:lineRule="auto"/>
        <w:ind w:left="851" w:right="12"/>
        <w:outlineLvl w:val="1"/>
        <w:rPr>
          <w:rFonts w:ascii="Times New Roman" w:hAnsi="Times New Roman"/>
          <w:b/>
          <w:bCs/>
          <w:sz w:val="24"/>
          <w:szCs w:val="24"/>
        </w:rPr>
      </w:pPr>
      <w:bookmarkStart w:id="330" w:name="_Toc75432311"/>
      <w:r w:rsidRPr="00487693">
        <w:rPr>
          <w:rFonts w:ascii="Times New Roman" w:hAnsi="Times New Roman"/>
          <w:b/>
          <w:bCs/>
          <w:sz w:val="24"/>
          <w:szCs w:val="24"/>
        </w:rPr>
        <w:t>La</w:t>
      </w:r>
      <w:r w:rsidRPr="00345951">
        <w:rPr>
          <w:rFonts w:ascii="Times New Roman" w:hAnsi="Times New Roman"/>
          <w:b/>
          <w:bCs/>
          <w:sz w:val="24"/>
          <w:szCs w:val="24"/>
        </w:rPr>
        <w:t xml:space="preserve"> supervision et le suivi-évaluation</w:t>
      </w:r>
      <w:bookmarkEnd w:id="330"/>
    </w:p>
    <w:p w:rsidR="00BA5056" w:rsidRDefault="00066689" w:rsidP="00A76F4A">
      <w:pPr>
        <w:ind w:right="12"/>
        <w:jc w:val="both"/>
      </w:pPr>
      <w:r>
        <w:t>P</w:t>
      </w:r>
      <w:r w:rsidRPr="00D47C37">
        <w:t xml:space="preserve">our la supervision et le suivi-évaluation </w:t>
      </w:r>
      <w:r>
        <w:t xml:space="preserve">du projet, </w:t>
      </w:r>
      <w:r w:rsidR="00BA5056" w:rsidRPr="00BA5056">
        <w:t>les acteurs suivants sont impliqués</w:t>
      </w:r>
      <w:r w:rsidR="00BA5056">
        <w:t xml:space="preserve"> : </w:t>
      </w:r>
    </w:p>
    <w:p w:rsidR="00BA5056" w:rsidRPr="00D47C37" w:rsidRDefault="00487693" w:rsidP="00A76F4A">
      <w:pPr>
        <w:pStyle w:val="PargrafodaLista"/>
        <w:numPr>
          <w:ilvl w:val="0"/>
          <w:numId w:val="272"/>
        </w:numPr>
        <w:ind w:right="12"/>
        <w:jc w:val="both"/>
        <w:rPr>
          <w:rFonts w:ascii="Times New Roman" w:hAnsi="Times New Roman"/>
          <w:sz w:val="22"/>
          <w:szCs w:val="22"/>
        </w:rPr>
      </w:pPr>
      <w:r w:rsidRPr="00D47C37">
        <w:rPr>
          <w:rFonts w:ascii="Times New Roman" w:hAnsi="Times New Roman"/>
          <w:b/>
          <w:bCs/>
          <w:i/>
          <w:iCs/>
          <w:sz w:val="22"/>
          <w:szCs w:val="22"/>
        </w:rPr>
        <w:t>Le bureau de contrôle</w:t>
      </w:r>
      <w:r w:rsidR="00BA5056" w:rsidRPr="00D47C37">
        <w:rPr>
          <w:rFonts w:ascii="Times New Roman" w:hAnsi="Times New Roman"/>
          <w:sz w:val="22"/>
          <w:szCs w:val="22"/>
        </w:rPr>
        <w:t> ;</w:t>
      </w:r>
      <w:r w:rsidR="00340AC8" w:rsidRPr="00D47C37">
        <w:rPr>
          <w:rFonts w:ascii="Times New Roman" w:hAnsi="Times New Roman"/>
          <w:sz w:val="22"/>
          <w:szCs w:val="22"/>
        </w:rPr>
        <w:t xml:space="preserve"> </w:t>
      </w:r>
      <w:r w:rsidRPr="00D47C37">
        <w:rPr>
          <w:rFonts w:ascii="Times New Roman" w:hAnsi="Times New Roman"/>
          <w:sz w:val="22"/>
          <w:szCs w:val="22"/>
        </w:rPr>
        <w:t xml:space="preserve">supervise l’exécution des mesures par les entreprises, </w:t>
      </w:r>
    </w:p>
    <w:p w:rsidR="00340AC8" w:rsidRDefault="00BA5056" w:rsidP="00A76F4A">
      <w:pPr>
        <w:pStyle w:val="PargrafodaLista"/>
        <w:numPr>
          <w:ilvl w:val="0"/>
          <w:numId w:val="272"/>
        </w:numPr>
        <w:ind w:right="12"/>
        <w:jc w:val="both"/>
        <w:rPr>
          <w:rFonts w:ascii="Times New Roman" w:hAnsi="Times New Roman"/>
          <w:sz w:val="22"/>
          <w:szCs w:val="22"/>
        </w:rPr>
      </w:pPr>
      <w:r w:rsidRPr="00D47C37">
        <w:rPr>
          <w:rFonts w:ascii="Times New Roman" w:hAnsi="Times New Roman"/>
          <w:b/>
          <w:bCs/>
          <w:i/>
          <w:iCs/>
          <w:sz w:val="22"/>
          <w:szCs w:val="22"/>
        </w:rPr>
        <w:t>L</w:t>
      </w:r>
      <w:r w:rsidR="00487693" w:rsidRPr="00D47C37">
        <w:rPr>
          <w:rFonts w:ascii="Times New Roman" w:hAnsi="Times New Roman"/>
          <w:b/>
          <w:bCs/>
          <w:i/>
          <w:iCs/>
          <w:sz w:val="22"/>
          <w:szCs w:val="22"/>
        </w:rPr>
        <w:t>e spécialiste E&amp;S de l’UCP</w:t>
      </w:r>
      <w:r w:rsidRPr="00D47C37">
        <w:rPr>
          <w:rFonts w:ascii="Times New Roman" w:hAnsi="Times New Roman"/>
          <w:b/>
          <w:bCs/>
          <w:i/>
          <w:iCs/>
          <w:sz w:val="22"/>
          <w:szCs w:val="22"/>
        </w:rPr>
        <w:t> ;</w:t>
      </w:r>
      <w:r w:rsidR="00487693" w:rsidRPr="00D47C37">
        <w:rPr>
          <w:rFonts w:ascii="Times New Roman" w:hAnsi="Times New Roman"/>
          <w:sz w:val="22"/>
          <w:szCs w:val="22"/>
        </w:rPr>
        <w:t xml:space="preserve"> supervise la mise en œuvre de tout le projet, </w:t>
      </w:r>
    </w:p>
    <w:p w:rsidR="00487693" w:rsidRPr="00D47C37" w:rsidRDefault="001136D5" w:rsidP="00A76F4A">
      <w:pPr>
        <w:pStyle w:val="PargrafodaLista"/>
        <w:numPr>
          <w:ilvl w:val="0"/>
          <w:numId w:val="272"/>
        </w:numPr>
        <w:ind w:right="12"/>
        <w:jc w:val="both"/>
        <w:rPr>
          <w:sz w:val="22"/>
          <w:szCs w:val="22"/>
        </w:rPr>
      </w:pPr>
      <w:r w:rsidRPr="00D47C37">
        <w:rPr>
          <w:rFonts w:ascii="Times New Roman" w:hAnsi="Times New Roman"/>
          <w:b/>
          <w:i/>
          <w:sz w:val="22"/>
          <w:szCs w:val="22"/>
        </w:rPr>
        <w:t>L’Autorité Compétente d’Évaluation Environnementale (AAAC)</w:t>
      </w:r>
      <w:r w:rsidR="00340AC8" w:rsidRPr="00D47C37">
        <w:rPr>
          <w:rFonts w:ascii="Times New Roman" w:hAnsi="Times New Roman"/>
          <w:b/>
          <w:bCs/>
          <w:sz w:val="22"/>
          <w:szCs w:val="22"/>
        </w:rPr>
        <w:t> :</w:t>
      </w:r>
      <w:r w:rsidR="00487693" w:rsidRPr="00D47C37">
        <w:rPr>
          <w:rFonts w:ascii="Times New Roman" w:hAnsi="Times New Roman"/>
          <w:b/>
          <w:bCs/>
          <w:sz w:val="22"/>
          <w:szCs w:val="22"/>
        </w:rPr>
        <w:t xml:space="preserve"> </w:t>
      </w:r>
      <w:r w:rsidR="00487693" w:rsidRPr="00D47C37">
        <w:rPr>
          <w:rFonts w:ascii="Times New Roman" w:hAnsi="Times New Roman"/>
          <w:sz w:val="22"/>
          <w:szCs w:val="22"/>
        </w:rPr>
        <w:t>à la mission régalienne nationale de suivi des projets et programmes, évaluation à mi-parcours et à la fin du projet pour des consultants</w:t>
      </w:r>
      <w:r w:rsidR="003D1D6A" w:rsidRPr="00D47C37">
        <w:rPr>
          <w:rFonts w:ascii="Times New Roman" w:hAnsi="Times New Roman"/>
          <w:sz w:val="22"/>
          <w:szCs w:val="22"/>
        </w:rPr>
        <w:t>.</w:t>
      </w:r>
    </w:p>
    <w:p w:rsidR="00902D51" w:rsidRDefault="00102548" w:rsidP="00A76F4A">
      <w:pPr>
        <w:ind w:right="12"/>
        <w:jc w:val="both"/>
      </w:pPr>
      <w:r w:rsidRPr="0060566C">
        <w:t>Le tableau ci-dessous présente les provisions des rapports réguliers et les responsabilités lors de la mise en œuvre des activités du projet.</w:t>
      </w:r>
    </w:p>
    <w:p w:rsidR="002C13EA" w:rsidRPr="00844462" w:rsidRDefault="00102548" w:rsidP="00A76F4A">
      <w:pPr>
        <w:pStyle w:val="Primeiroavanodecorpodetexto2"/>
        <w:spacing w:after="0" w:line="240" w:lineRule="auto"/>
        <w:ind w:right="12"/>
        <w:jc w:val="center"/>
        <w:rPr>
          <w:rFonts w:ascii="Times New Roman" w:hAnsi="Times New Roman"/>
          <w:b/>
          <w:sz w:val="20"/>
          <w:szCs w:val="20"/>
        </w:rPr>
      </w:pPr>
      <w:r w:rsidRPr="00844462">
        <w:rPr>
          <w:sz w:val="20"/>
          <w:szCs w:val="20"/>
        </w:rPr>
        <w:tab/>
      </w:r>
      <w:bookmarkStart w:id="331" w:name="_Toc75503452"/>
      <w:r w:rsidR="002C13EA" w:rsidRPr="00844462">
        <w:rPr>
          <w:rFonts w:ascii="Times New Roman" w:hAnsi="Times New Roman"/>
          <w:b/>
          <w:sz w:val="20"/>
          <w:szCs w:val="20"/>
        </w:rPr>
        <w:t xml:space="preserve">Tableau </w:t>
      </w:r>
      <w:r w:rsidR="002C13EA" w:rsidRPr="00844462">
        <w:rPr>
          <w:rFonts w:ascii="Times New Roman" w:hAnsi="Times New Roman"/>
          <w:b/>
          <w:sz w:val="20"/>
          <w:szCs w:val="20"/>
        </w:rPr>
        <w:fldChar w:fldCharType="begin"/>
      </w:r>
      <w:r w:rsidR="002C13EA" w:rsidRPr="00844462">
        <w:rPr>
          <w:rFonts w:ascii="Times New Roman" w:hAnsi="Times New Roman"/>
          <w:b/>
          <w:sz w:val="20"/>
          <w:szCs w:val="20"/>
        </w:rPr>
        <w:instrText xml:space="preserve"> SEQ Tableau \* ARABIC </w:instrText>
      </w:r>
      <w:r w:rsidR="002C13EA" w:rsidRPr="00844462">
        <w:rPr>
          <w:rFonts w:ascii="Times New Roman" w:hAnsi="Times New Roman"/>
          <w:b/>
          <w:sz w:val="20"/>
          <w:szCs w:val="20"/>
        </w:rPr>
        <w:fldChar w:fldCharType="separate"/>
      </w:r>
      <w:r w:rsidR="00BF042C" w:rsidRPr="00844462">
        <w:rPr>
          <w:rFonts w:ascii="Times New Roman" w:hAnsi="Times New Roman"/>
          <w:b/>
          <w:noProof/>
          <w:sz w:val="20"/>
          <w:szCs w:val="20"/>
        </w:rPr>
        <w:t>18</w:t>
      </w:r>
      <w:r w:rsidR="002C13EA" w:rsidRPr="00844462">
        <w:rPr>
          <w:rFonts w:ascii="Times New Roman" w:hAnsi="Times New Roman"/>
          <w:b/>
          <w:sz w:val="20"/>
          <w:szCs w:val="20"/>
        </w:rPr>
        <w:fldChar w:fldCharType="end"/>
      </w:r>
      <w:r w:rsidR="002C13EA" w:rsidRPr="00844462">
        <w:rPr>
          <w:rFonts w:ascii="Times New Roman" w:hAnsi="Times New Roman"/>
          <w:b/>
          <w:sz w:val="20"/>
          <w:szCs w:val="20"/>
        </w:rPr>
        <w:t>: provisions des rapports réguliers et les responsabilités</w:t>
      </w:r>
      <w:bookmarkEnd w:id="331"/>
    </w:p>
    <w:tbl>
      <w:tblPr>
        <w:tblStyle w:val="Tabelacomgrelha"/>
        <w:tblW w:w="9922" w:type="dxa"/>
        <w:tblInd w:w="-344" w:type="dxa"/>
        <w:tblLook w:val="04A0" w:firstRow="1" w:lastRow="0" w:firstColumn="1" w:lastColumn="0" w:noHBand="0" w:noVBand="1"/>
      </w:tblPr>
      <w:tblGrid>
        <w:gridCol w:w="3944"/>
        <w:gridCol w:w="2935"/>
        <w:gridCol w:w="3043"/>
      </w:tblGrid>
      <w:tr w:rsidR="00102548" w:rsidRPr="00F65B7C" w:rsidTr="00F65B7C">
        <w:tc>
          <w:tcPr>
            <w:tcW w:w="3944" w:type="dxa"/>
            <w:shd w:val="clear" w:color="auto" w:fill="FFF2CC" w:themeFill="accent4" w:themeFillTint="33"/>
          </w:tcPr>
          <w:p w:rsidR="00102548" w:rsidRPr="00F65B7C" w:rsidRDefault="00102548" w:rsidP="00A76F4A">
            <w:pPr>
              <w:widowControl w:val="0"/>
              <w:tabs>
                <w:tab w:val="left" w:pos="220"/>
                <w:tab w:val="left" w:pos="720"/>
              </w:tabs>
              <w:autoSpaceDE w:val="0"/>
              <w:autoSpaceDN w:val="0"/>
              <w:adjustRightInd w:val="0"/>
              <w:ind w:right="12"/>
              <w:jc w:val="center"/>
              <w:rPr>
                <w:b/>
                <w:color w:val="000000"/>
                <w:lang w:eastAsia="en-US"/>
              </w:rPr>
            </w:pPr>
            <w:r w:rsidRPr="00F65B7C">
              <w:rPr>
                <w:b/>
              </w:rPr>
              <w:t>Activités</w:t>
            </w:r>
          </w:p>
        </w:tc>
        <w:tc>
          <w:tcPr>
            <w:tcW w:w="2935" w:type="dxa"/>
            <w:shd w:val="clear" w:color="auto" w:fill="FFF2CC" w:themeFill="accent4" w:themeFillTint="33"/>
          </w:tcPr>
          <w:p w:rsidR="00102548" w:rsidRPr="00F65B7C" w:rsidRDefault="00102548" w:rsidP="00A76F4A">
            <w:pPr>
              <w:widowControl w:val="0"/>
              <w:tabs>
                <w:tab w:val="left" w:pos="220"/>
                <w:tab w:val="left" w:pos="720"/>
              </w:tabs>
              <w:autoSpaceDE w:val="0"/>
              <w:autoSpaceDN w:val="0"/>
              <w:adjustRightInd w:val="0"/>
              <w:ind w:right="12"/>
              <w:jc w:val="center"/>
              <w:rPr>
                <w:b/>
                <w:color w:val="000000"/>
                <w:lang w:eastAsia="en-US"/>
              </w:rPr>
            </w:pPr>
            <w:r w:rsidRPr="00F65B7C">
              <w:rPr>
                <w:b/>
              </w:rPr>
              <w:t>Responsables</w:t>
            </w:r>
          </w:p>
        </w:tc>
        <w:tc>
          <w:tcPr>
            <w:tcW w:w="3043" w:type="dxa"/>
            <w:shd w:val="clear" w:color="auto" w:fill="FFF2CC" w:themeFill="accent4" w:themeFillTint="33"/>
          </w:tcPr>
          <w:p w:rsidR="00102548" w:rsidRPr="00F65B7C" w:rsidRDefault="00102548" w:rsidP="00A76F4A">
            <w:pPr>
              <w:widowControl w:val="0"/>
              <w:tabs>
                <w:tab w:val="left" w:pos="220"/>
                <w:tab w:val="left" w:pos="720"/>
              </w:tabs>
              <w:autoSpaceDE w:val="0"/>
              <w:autoSpaceDN w:val="0"/>
              <w:adjustRightInd w:val="0"/>
              <w:ind w:right="12"/>
              <w:jc w:val="center"/>
              <w:rPr>
                <w:b/>
                <w:color w:val="000000"/>
                <w:lang w:eastAsia="en-US"/>
              </w:rPr>
            </w:pPr>
            <w:r w:rsidRPr="00F65B7C">
              <w:rPr>
                <w:b/>
                <w:color w:val="000000"/>
                <w:lang w:eastAsia="en-US"/>
              </w:rPr>
              <w:t>Approbations</w:t>
            </w:r>
          </w:p>
        </w:tc>
      </w:tr>
      <w:tr w:rsidR="00102548" w:rsidRPr="00F65B7C" w:rsidTr="00F65B7C">
        <w:tc>
          <w:tcPr>
            <w:tcW w:w="3944"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t>Screening-remplissage des formulaires et détermination du type d’instrument spécifique de sauvegarde</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SSES</w:t>
            </w:r>
            <w:r w:rsidR="00070094" w:rsidRPr="00F65B7C" w:rsidDel="00070094">
              <w:rPr>
                <w:color w:val="000000"/>
                <w:lang w:eastAsia="en-US"/>
              </w:rPr>
              <w:t xml:space="preserve"> </w:t>
            </w:r>
            <w:r w:rsidRPr="00F65B7C">
              <w:rPr>
                <w:color w:val="000000"/>
                <w:lang w:eastAsia="en-US"/>
              </w:rPr>
              <w:t>/FAO</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AAAC/Banque Mondiale</w:t>
            </w:r>
          </w:p>
        </w:tc>
      </w:tr>
      <w:tr w:rsidR="00102548" w:rsidRPr="00F65B7C" w:rsidTr="00F65B7C">
        <w:tc>
          <w:tcPr>
            <w:tcW w:w="3944" w:type="dxa"/>
          </w:tcPr>
          <w:p w:rsidR="00102548" w:rsidRPr="00F65B7C" w:rsidRDefault="00102548" w:rsidP="00A76F4A">
            <w:pPr>
              <w:widowControl w:val="0"/>
              <w:tabs>
                <w:tab w:val="left" w:pos="220"/>
                <w:tab w:val="left" w:pos="720"/>
              </w:tabs>
              <w:autoSpaceDE w:val="0"/>
              <w:autoSpaceDN w:val="0"/>
              <w:adjustRightInd w:val="0"/>
              <w:ind w:right="12"/>
              <w:jc w:val="both"/>
            </w:pPr>
            <w:r w:rsidRPr="00F65B7C">
              <w:t>Préparation des TDR</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SSES</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AAAC/Banque Mondiale</w:t>
            </w:r>
          </w:p>
        </w:tc>
      </w:tr>
      <w:tr w:rsidR="00102548" w:rsidRPr="00F65B7C" w:rsidTr="00F65B7C">
        <w:trPr>
          <w:trHeight w:val="515"/>
        </w:trPr>
        <w:tc>
          <w:tcPr>
            <w:tcW w:w="3944" w:type="dxa"/>
          </w:tcPr>
          <w:p w:rsidR="00102548" w:rsidRPr="00F65B7C" w:rsidRDefault="00102548" w:rsidP="00A76F4A">
            <w:pPr>
              <w:widowControl w:val="0"/>
              <w:tabs>
                <w:tab w:val="left" w:pos="220"/>
                <w:tab w:val="left" w:pos="720"/>
              </w:tabs>
              <w:autoSpaceDE w:val="0"/>
              <w:autoSpaceDN w:val="0"/>
              <w:adjustRightInd w:val="0"/>
              <w:ind w:right="12"/>
              <w:jc w:val="both"/>
            </w:pPr>
            <w:r w:rsidRPr="00F65B7C">
              <w:t>Réalisation des AEI y compris la consultation du publique</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Consultant</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AAAC/Banque Mondiale</w:t>
            </w:r>
          </w:p>
        </w:tc>
      </w:tr>
      <w:tr w:rsidR="00102548" w:rsidRPr="00F65B7C" w:rsidTr="00F65B7C">
        <w:tc>
          <w:tcPr>
            <w:tcW w:w="3944" w:type="dxa"/>
          </w:tcPr>
          <w:p w:rsidR="00102548" w:rsidRPr="00F65B7C" w:rsidRDefault="00102548" w:rsidP="00A76F4A">
            <w:pPr>
              <w:ind w:right="12"/>
              <w:rPr>
                <w:rFonts w:eastAsia="Times New Roman"/>
                <w:lang w:val="fr-CA" w:eastAsia="en-US"/>
              </w:rPr>
            </w:pPr>
            <w:r w:rsidRPr="00F65B7C">
              <w:t>Réalisation des directives, bonnes pratiques agricoles et manuel d’entretien des infrastructures agricoles</w:t>
            </w:r>
            <w:r w:rsidRPr="00F65B7C">
              <w:rPr>
                <w:rFonts w:eastAsia="Times New Roman"/>
                <w:lang w:val="fr-CA" w:eastAsia="en-US"/>
              </w:rPr>
              <w:t xml:space="preserve"> </w:t>
            </w:r>
          </w:p>
        </w:tc>
        <w:tc>
          <w:tcPr>
            <w:tcW w:w="2935" w:type="dxa"/>
          </w:tcPr>
          <w:p w:rsidR="00102548" w:rsidRPr="00F65B7C" w:rsidRDefault="00102548" w:rsidP="00A76F4A">
            <w:pPr>
              <w:widowControl w:val="0"/>
              <w:tabs>
                <w:tab w:val="left" w:pos="220"/>
                <w:tab w:val="left" w:pos="720"/>
                <w:tab w:val="right" w:pos="2051"/>
              </w:tabs>
              <w:autoSpaceDE w:val="0"/>
              <w:autoSpaceDN w:val="0"/>
              <w:adjustRightInd w:val="0"/>
              <w:ind w:right="12"/>
              <w:jc w:val="both"/>
              <w:rPr>
                <w:color w:val="000000"/>
                <w:lang w:eastAsia="en-US"/>
              </w:rPr>
            </w:pPr>
            <w:r w:rsidRPr="00F65B7C">
              <w:rPr>
                <w:rFonts w:eastAsia="Times New Roman"/>
                <w:lang w:val="fr-CA" w:eastAsia="en-US"/>
              </w:rPr>
              <w:t>DGA/DPV/consultant/ONG</w:t>
            </w:r>
            <w:r w:rsidRPr="00F65B7C">
              <w:rPr>
                <w:rFonts w:eastAsia="Times New Roman"/>
                <w:lang w:val="fr-CA" w:eastAsia="en-US"/>
              </w:rPr>
              <w:tab/>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SSES/FAO/ Banque Mondiale</w:t>
            </w:r>
          </w:p>
        </w:tc>
      </w:tr>
      <w:tr w:rsidR="00102548" w:rsidRPr="00F65B7C" w:rsidTr="00F65B7C">
        <w:tc>
          <w:tcPr>
            <w:tcW w:w="3944" w:type="dxa"/>
          </w:tcPr>
          <w:p w:rsidR="00102548" w:rsidRPr="00F65B7C" w:rsidRDefault="00102548" w:rsidP="00A76F4A">
            <w:pPr>
              <w:widowControl w:val="0"/>
              <w:tabs>
                <w:tab w:val="left" w:pos="220"/>
                <w:tab w:val="left" w:pos="720"/>
              </w:tabs>
              <w:autoSpaceDE w:val="0"/>
              <w:autoSpaceDN w:val="0"/>
              <w:adjustRightInd w:val="0"/>
              <w:ind w:right="12"/>
              <w:jc w:val="both"/>
            </w:pPr>
            <w:r w:rsidRPr="00F65B7C">
              <w:t xml:space="preserve">Réalisation des PGES de chantier </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ENTREPRISE</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SSES/ Bureaux de contrôle </w:t>
            </w:r>
          </w:p>
        </w:tc>
      </w:tr>
      <w:tr w:rsidR="00102548" w:rsidRPr="00F65B7C" w:rsidTr="00F65B7C">
        <w:tc>
          <w:tcPr>
            <w:tcW w:w="3944" w:type="dxa"/>
          </w:tcPr>
          <w:p w:rsidR="00102548" w:rsidRPr="00F65B7C" w:rsidRDefault="00102548" w:rsidP="00A76F4A">
            <w:pPr>
              <w:widowControl w:val="0"/>
              <w:tabs>
                <w:tab w:val="left" w:pos="220"/>
                <w:tab w:val="left" w:pos="720"/>
              </w:tabs>
              <w:autoSpaceDE w:val="0"/>
              <w:autoSpaceDN w:val="0"/>
              <w:adjustRightInd w:val="0"/>
              <w:ind w:right="12"/>
              <w:jc w:val="both"/>
            </w:pPr>
            <w:r w:rsidRPr="00F65B7C">
              <w:t>Elaboration d'un plan de gestion des déchets</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ENTREPRISE</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SSES/ Bureaux de contrôle/ Banque Mondiale</w:t>
            </w:r>
          </w:p>
        </w:tc>
      </w:tr>
      <w:tr w:rsidR="00102548" w:rsidRPr="00F65B7C" w:rsidTr="00F65B7C">
        <w:tc>
          <w:tcPr>
            <w:tcW w:w="3944" w:type="dxa"/>
          </w:tcPr>
          <w:p w:rsidR="00102548" w:rsidRPr="00F65B7C" w:rsidRDefault="00102548" w:rsidP="00A76F4A">
            <w:pPr>
              <w:widowControl w:val="0"/>
              <w:tabs>
                <w:tab w:val="left" w:pos="220"/>
                <w:tab w:val="left" w:pos="720"/>
              </w:tabs>
              <w:autoSpaceDE w:val="0"/>
              <w:autoSpaceDN w:val="0"/>
              <w:adjustRightInd w:val="0"/>
              <w:ind w:right="12"/>
              <w:jc w:val="both"/>
            </w:pPr>
            <w:r w:rsidRPr="00F65B7C">
              <w:rPr>
                <w:color w:val="000000"/>
                <w:lang w:eastAsia="en-US"/>
              </w:rPr>
              <w:t xml:space="preserve">Réalisation des rapports </w:t>
            </w:r>
            <w:r w:rsidR="0060798D" w:rsidRPr="00F65B7C">
              <w:rPr>
                <w:color w:val="000000"/>
                <w:lang w:eastAsia="en-US"/>
              </w:rPr>
              <w:t>trimestriels</w:t>
            </w:r>
            <w:r w:rsidRPr="00F65B7C">
              <w:rPr>
                <w:color w:val="000000"/>
                <w:lang w:eastAsia="en-US"/>
              </w:rPr>
              <w:t xml:space="preserve"> sur la conformité environnementale et sociale du projet</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SSES/</w:t>
            </w:r>
            <w:r w:rsidR="00597D5E" w:rsidRPr="00F65B7C">
              <w:rPr>
                <w:color w:val="000000"/>
                <w:lang w:eastAsia="en-US"/>
              </w:rPr>
              <w:t>FAO</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Banque Mondiale</w:t>
            </w:r>
          </w:p>
        </w:tc>
      </w:tr>
      <w:tr w:rsidR="00102548" w:rsidRPr="00F65B7C" w:rsidTr="00F65B7C">
        <w:tc>
          <w:tcPr>
            <w:tcW w:w="3944"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 xml:space="preserve">Réalisation des rapports mensuels </w:t>
            </w:r>
            <w:r w:rsidRPr="00F65B7C">
              <w:rPr>
                <w:rFonts w:eastAsia="MS Mincho"/>
                <w:color w:val="000000"/>
                <w:lang w:eastAsia="en-US"/>
              </w:rPr>
              <w:t>s</w:t>
            </w:r>
            <w:r w:rsidRPr="00F65B7C">
              <w:rPr>
                <w:color w:val="000000"/>
                <w:lang w:eastAsia="en-US"/>
              </w:rPr>
              <w:t>ur l’exécution des clauses environnementales et sociales par les entreprises et la FAO ;</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Bureaux de contrôle </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Banque Mondiale</w:t>
            </w:r>
          </w:p>
        </w:tc>
      </w:tr>
      <w:tr w:rsidR="00102548" w:rsidRPr="00F65B7C" w:rsidTr="00F65B7C">
        <w:tc>
          <w:tcPr>
            <w:tcW w:w="3944"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t>Réalisation des rapports de Suivi environnemental et social mensuelle</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AAAC</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Banque Mondiale</w:t>
            </w:r>
          </w:p>
        </w:tc>
      </w:tr>
      <w:tr w:rsidR="00102548" w:rsidRPr="00F65B7C" w:rsidTr="00F65B7C">
        <w:tc>
          <w:tcPr>
            <w:tcW w:w="3944" w:type="dxa"/>
          </w:tcPr>
          <w:p w:rsidR="00102548" w:rsidRPr="00F65B7C" w:rsidRDefault="00102548" w:rsidP="00A76F4A">
            <w:pPr>
              <w:widowControl w:val="0"/>
              <w:tabs>
                <w:tab w:val="left" w:pos="220"/>
                <w:tab w:val="left" w:pos="720"/>
              </w:tabs>
              <w:autoSpaceDE w:val="0"/>
              <w:autoSpaceDN w:val="0"/>
              <w:adjustRightInd w:val="0"/>
              <w:ind w:right="12"/>
              <w:jc w:val="both"/>
            </w:pPr>
            <w:r w:rsidRPr="00F65B7C">
              <w:rPr>
                <w:color w:val="000000"/>
                <w:lang w:eastAsia="en-US"/>
              </w:rPr>
              <w:t>Réalisation des rapports évaluation/audit de la mise en œuvre du CGES, des PGES à mi-parcours et à la fin du projet</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Consultants indépendants</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Banque Mondiale</w:t>
            </w:r>
          </w:p>
        </w:tc>
      </w:tr>
      <w:tr w:rsidR="00102548" w:rsidRPr="00F65B7C" w:rsidTr="00F65B7C">
        <w:tc>
          <w:tcPr>
            <w:tcW w:w="3944"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lastRenderedPageBreak/>
              <w:t>Diffusion de tous les rapports ou d’incident</w:t>
            </w:r>
          </w:p>
        </w:tc>
        <w:tc>
          <w:tcPr>
            <w:tcW w:w="2935"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Coordonnateur /SSES</w:t>
            </w:r>
          </w:p>
        </w:tc>
        <w:tc>
          <w:tcPr>
            <w:tcW w:w="3043" w:type="dxa"/>
          </w:tcPr>
          <w:p w:rsidR="00102548" w:rsidRPr="00F65B7C" w:rsidRDefault="00102548" w:rsidP="00A76F4A">
            <w:pPr>
              <w:widowControl w:val="0"/>
              <w:tabs>
                <w:tab w:val="left" w:pos="220"/>
                <w:tab w:val="left" w:pos="720"/>
              </w:tabs>
              <w:autoSpaceDE w:val="0"/>
              <w:autoSpaceDN w:val="0"/>
              <w:adjustRightInd w:val="0"/>
              <w:ind w:right="12"/>
              <w:jc w:val="both"/>
              <w:rPr>
                <w:color w:val="000000"/>
                <w:lang w:eastAsia="en-US"/>
              </w:rPr>
            </w:pPr>
            <w:r w:rsidRPr="00F65B7C">
              <w:rPr>
                <w:color w:val="000000"/>
                <w:lang w:eastAsia="en-US"/>
              </w:rPr>
              <w:t>Banque Mondiale</w:t>
            </w:r>
          </w:p>
        </w:tc>
      </w:tr>
    </w:tbl>
    <w:p w:rsidR="004E4D18" w:rsidRPr="00A05698" w:rsidRDefault="004E4D18" w:rsidP="00A76F4A">
      <w:pPr>
        <w:widowControl w:val="0"/>
        <w:autoSpaceDE w:val="0"/>
        <w:autoSpaceDN w:val="0"/>
        <w:adjustRightInd w:val="0"/>
        <w:spacing w:after="240"/>
        <w:ind w:right="12"/>
        <w:jc w:val="both"/>
      </w:pPr>
    </w:p>
    <w:p w:rsidR="00364223" w:rsidRPr="00540C5C" w:rsidRDefault="0003666F"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332" w:name="_Toc495851546"/>
      <w:bookmarkStart w:id="333" w:name="_Toc531092433"/>
      <w:bookmarkStart w:id="334" w:name="_Toc75432312"/>
      <w:r w:rsidRPr="00A05698">
        <w:rPr>
          <w:rFonts w:ascii="Times New Roman" w:hAnsi="Times New Roman"/>
          <w:b/>
          <w:bCs/>
          <w:sz w:val="24"/>
          <w:szCs w:val="24"/>
        </w:rPr>
        <w:t>ARRANGEMENTS INSTITUTIONNELS ET RECOMMANDATIONS DE MISE EN ŒUVRE DU CGES</w:t>
      </w:r>
      <w:bookmarkEnd w:id="332"/>
      <w:bookmarkEnd w:id="333"/>
      <w:bookmarkEnd w:id="334"/>
    </w:p>
    <w:p w:rsidR="00364223" w:rsidRPr="00A05698" w:rsidRDefault="00364223" w:rsidP="00A76F4A">
      <w:pPr>
        <w:ind w:right="12"/>
        <w:jc w:val="both"/>
      </w:pPr>
      <w:r w:rsidRPr="00A05698">
        <w:t>Ce</w:t>
      </w:r>
      <w:r w:rsidR="00B62342">
        <w:t xml:space="preserve"> chapitre</w:t>
      </w:r>
      <w:r w:rsidRPr="00A05698">
        <w:t xml:space="preserve"> décrit les rôles et responsabilités concernant la mise en œuvre des mesures enviro</w:t>
      </w:r>
      <w:r w:rsidR="00C33F4D" w:rsidRPr="00A05698">
        <w:t>nnementales prévues pour le projet PUSA</w:t>
      </w:r>
      <w:r w:rsidRPr="00A05698">
        <w:t>.</w:t>
      </w:r>
    </w:p>
    <w:p w:rsidR="00364223" w:rsidRPr="00A05698" w:rsidRDefault="00364223" w:rsidP="00A76F4A">
      <w:pPr>
        <w:tabs>
          <w:tab w:val="left" w:pos="426"/>
        </w:tabs>
        <w:ind w:right="12"/>
        <w:contextualSpacing/>
        <w:rPr>
          <w:sz w:val="22"/>
          <w:szCs w:val="22"/>
          <w:u w:val="single"/>
        </w:rPr>
      </w:pPr>
      <w:r w:rsidRPr="00A05698">
        <w:rPr>
          <w:sz w:val="22"/>
          <w:szCs w:val="22"/>
          <w:u w:val="single"/>
        </w:rPr>
        <w:t>Arrangements institutionnels pour la mise en œuvre du CGES :</w:t>
      </w:r>
    </w:p>
    <w:p w:rsidR="00364223" w:rsidRPr="00A05698" w:rsidRDefault="00364223" w:rsidP="00A76F4A">
      <w:pPr>
        <w:tabs>
          <w:tab w:val="left" w:pos="426"/>
        </w:tabs>
        <w:ind w:right="12"/>
        <w:contextualSpacing/>
        <w:rPr>
          <w:sz w:val="22"/>
          <w:szCs w:val="22"/>
          <w:u w:val="single"/>
        </w:rPr>
      </w:pPr>
    </w:p>
    <w:p w:rsidR="00364223" w:rsidRPr="00640A85" w:rsidRDefault="00364223" w:rsidP="00A76F4A">
      <w:pPr>
        <w:numPr>
          <w:ilvl w:val="0"/>
          <w:numId w:val="68"/>
        </w:numPr>
        <w:ind w:right="12"/>
        <w:jc w:val="both"/>
      </w:pPr>
      <w:r w:rsidRPr="00640A85">
        <w:rPr>
          <w:b/>
          <w:i/>
        </w:rPr>
        <w:t xml:space="preserve">L’UCP : </w:t>
      </w:r>
      <w:r w:rsidRPr="00640A85">
        <w:t>elle aura la responsabilité globale de la mise en œuvre du présent CGES et des instruments et autres mesures de sauvegarde environnementale et sociale relatives au programme. Elle assure, la préparation desdits documents, l’obtention des certificats et permis requis par la réglementation nationale pertinente avant toute action. Elle rend compte</w:t>
      </w:r>
      <w:r w:rsidR="0050327C" w:rsidRPr="00640A85">
        <w:t xml:space="preserve">, à travers </w:t>
      </w:r>
      <w:r w:rsidR="00CA3631" w:rsidRPr="00640A85">
        <w:t>son</w:t>
      </w:r>
      <w:r w:rsidR="0050327C" w:rsidRPr="00640A85">
        <w:t xml:space="preserve"> Coordonnateur,</w:t>
      </w:r>
      <w:r w:rsidRPr="00640A85">
        <w:t xml:space="preserve"> au comité de pilotage de toutes les diligences, et s’assure que la Banque </w:t>
      </w:r>
      <w:r w:rsidR="00982C79" w:rsidRPr="00640A85">
        <w:t>Mondiale</w:t>
      </w:r>
      <w:r w:rsidR="00276298" w:rsidRPr="00640A85">
        <w:t>,</w:t>
      </w:r>
      <w:r w:rsidR="00982C79" w:rsidRPr="00640A85">
        <w:t xml:space="preserve"> </w:t>
      </w:r>
      <w:r w:rsidR="006B6963" w:rsidRPr="00640A85">
        <w:t>la</w:t>
      </w:r>
      <w:r w:rsidR="00982C79" w:rsidRPr="00640A85">
        <w:t xml:space="preserve"> FAO</w:t>
      </w:r>
      <w:r w:rsidR="00FA1E53" w:rsidRPr="00640A85">
        <w:t>,</w:t>
      </w:r>
      <w:r w:rsidR="006B6963" w:rsidRPr="00640A85">
        <w:t xml:space="preserve"> l’AAC</w:t>
      </w:r>
      <w:r w:rsidR="00FA1E53" w:rsidRPr="00640A85">
        <w:t>,</w:t>
      </w:r>
      <w:r w:rsidR="00982C79" w:rsidRPr="00640A85">
        <w:t xml:space="preserve"> </w:t>
      </w:r>
      <w:r w:rsidRPr="00640A85">
        <w:t>et les autres acteurs reçoivent tous les rapports</w:t>
      </w:r>
      <w:r w:rsidR="00B23C22" w:rsidRPr="00640A85">
        <w:t xml:space="preserve"> trimestriels produits par l’</w:t>
      </w:r>
      <w:r w:rsidR="00031172" w:rsidRPr="00640A85">
        <w:t xml:space="preserve">UCP sur la </w:t>
      </w:r>
      <w:r w:rsidR="00E0578E" w:rsidRPr="00640A85">
        <w:t>performance</w:t>
      </w:r>
      <w:r w:rsidRPr="00640A85">
        <w:t xml:space="preserve"> environnementale et sociale</w:t>
      </w:r>
      <w:r w:rsidR="00E0578E" w:rsidRPr="00640A85">
        <w:t xml:space="preserve"> du projet</w:t>
      </w:r>
      <w:r w:rsidRPr="00640A85">
        <w:t xml:space="preserve">. </w:t>
      </w:r>
    </w:p>
    <w:p w:rsidR="00364223" w:rsidRPr="00640A85" w:rsidRDefault="00364223" w:rsidP="00A76F4A">
      <w:pPr>
        <w:ind w:left="720" w:right="12"/>
        <w:jc w:val="both"/>
      </w:pPr>
    </w:p>
    <w:p w:rsidR="00364223" w:rsidRPr="00475565" w:rsidRDefault="001136D5" w:rsidP="00A76F4A">
      <w:pPr>
        <w:numPr>
          <w:ilvl w:val="0"/>
          <w:numId w:val="68"/>
        </w:numPr>
        <w:ind w:right="12"/>
        <w:jc w:val="both"/>
        <w:rPr>
          <w:sz w:val="22"/>
          <w:szCs w:val="22"/>
        </w:rPr>
      </w:pPr>
      <w:r w:rsidRPr="00640A85">
        <w:rPr>
          <w:b/>
          <w:i/>
        </w:rPr>
        <w:t>L’</w:t>
      </w:r>
      <w:r w:rsidR="00364223" w:rsidRPr="00640A85">
        <w:rPr>
          <w:b/>
          <w:i/>
        </w:rPr>
        <w:t xml:space="preserve">AAAC : </w:t>
      </w:r>
      <w:r w:rsidR="00364223" w:rsidRPr="00640A85">
        <w:t>L’AAAC (i) validera la classification environnementale des sous-projets, (ii) assurera le suivi environnemental et social des activités du projet, mais aussi l’approbation des</w:t>
      </w:r>
      <w:r w:rsidR="00364223" w:rsidRPr="00475565">
        <w:rPr>
          <w:sz w:val="22"/>
          <w:szCs w:val="22"/>
        </w:rPr>
        <w:t xml:space="preserve"> éventuelles </w:t>
      </w:r>
      <w:r>
        <w:rPr>
          <w:sz w:val="22"/>
          <w:szCs w:val="22"/>
        </w:rPr>
        <w:t>AEIS</w:t>
      </w:r>
      <w:r w:rsidR="00364223" w:rsidRPr="00475565">
        <w:rPr>
          <w:sz w:val="22"/>
          <w:szCs w:val="22"/>
        </w:rPr>
        <w:t xml:space="preserve"> ainsi que l’adoption et la diffusion des informations issues du CGES et des </w:t>
      </w:r>
      <w:r>
        <w:rPr>
          <w:sz w:val="22"/>
          <w:szCs w:val="22"/>
        </w:rPr>
        <w:t>AEIS</w:t>
      </w:r>
      <w:r w:rsidR="00364223" w:rsidRPr="00475565">
        <w:rPr>
          <w:sz w:val="22"/>
          <w:szCs w:val="22"/>
        </w:rPr>
        <w:t>. Au niveau régional, l’AAAC s’appuie sur les Cabinets de Planification Régionale (CPR) pour le suivi de proximité.</w:t>
      </w:r>
    </w:p>
    <w:p w:rsidR="00364223" w:rsidRPr="00475565" w:rsidRDefault="00364223" w:rsidP="00A76F4A">
      <w:pPr>
        <w:ind w:left="708" w:right="12"/>
        <w:jc w:val="both"/>
        <w:rPr>
          <w:sz w:val="22"/>
          <w:szCs w:val="22"/>
        </w:rPr>
      </w:pPr>
    </w:p>
    <w:p w:rsidR="00364223" w:rsidRPr="001E7D5D" w:rsidRDefault="00364223" w:rsidP="00A76F4A">
      <w:pPr>
        <w:tabs>
          <w:tab w:val="left" w:pos="426"/>
        </w:tabs>
        <w:ind w:right="12"/>
        <w:contextualSpacing/>
        <w:rPr>
          <w:u w:val="single"/>
        </w:rPr>
      </w:pPr>
      <w:r w:rsidRPr="001E7D5D">
        <w:rPr>
          <w:u w:val="single"/>
        </w:rPr>
        <w:t>Rôles et responsabilités pour la mise en œuvre des mesures de gestion environnementales et sociales</w:t>
      </w:r>
    </w:p>
    <w:p w:rsidR="00364223" w:rsidRPr="00475565" w:rsidRDefault="00364223" w:rsidP="00A76F4A">
      <w:pPr>
        <w:tabs>
          <w:tab w:val="left" w:pos="426"/>
        </w:tabs>
        <w:ind w:right="12"/>
        <w:contextualSpacing/>
        <w:rPr>
          <w:sz w:val="22"/>
          <w:szCs w:val="22"/>
          <w:u w:val="single"/>
        </w:rPr>
      </w:pPr>
    </w:p>
    <w:p w:rsidR="00364223" w:rsidRPr="001E7D5D" w:rsidRDefault="00364223" w:rsidP="00A76F4A">
      <w:pPr>
        <w:pStyle w:val="PargrafodaLista"/>
        <w:numPr>
          <w:ilvl w:val="0"/>
          <w:numId w:val="69"/>
        </w:numPr>
        <w:spacing w:after="0" w:line="240" w:lineRule="auto"/>
        <w:ind w:right="12"/>
        <w:jc w:val="both"/>
        <w:rPr>
          <w:rFonts w:ascii="Times New Roman" w:hAnsi="Times New Roman"/>
          <w:sz w:val="24"/>
          <w:szCs w:val="24"/>
        </w:rPr>
      </w:pPr>
      <w:r w:rsidRPr="001E7D5D">
        <w:rPr>
          <w:rFonts w:ascii="Times New Roman" w:hAnsi="Times New Roman"/>
          <w:b/>
          <w:i/>
          <w:sz w:val="24"/>
          <w:szCs w:val="24"/>
        </w:rPr>
        <w:t xml:space="preserve">L’UCP </w:t>
      </w:r>
      <w:r w:rsidRPr="001E7D5D">
        <w:rPr>
          <w:rFonts w:ascii="Times New Roman" w:hAnsi="Times New Roman"/>
          <w:sz w:val="24"/>
          <w:szCs w:val="24"/>
        </w:rPr>
        <w:t xml:space="preserve">est responsable de l’approbation de la catégorisation et la diffusion du rapport de surveillance. </w:t>
      </w:r>
      <w:r w:rsidR="001C30E0" w:rsidRPr="001E7D5D">
        <w:rPr>
          <w:rFonts w:ascii="Times New Roman" w:hAnsi="Times New Roman"/>
          <w:sz w:val="24"/>
          <w:szCs w:val="24"/>
        </w:rPr>
        <w:t>Il</w:t>
      </w:r>
      <w:r w:rsidRPr="001E7D5D">
        <w:rPr>
          <w:rFonts w:ascii="Times New Roman" w:hAnsi="Times New Roman"/>
          <w:sz w:val="24"/>
          <w:szCs w:val="24"/>
        </w:rPr>
        <w:t xml:space="preserve"> va appuyer </w:t>
      </w:r>
      <w:r w:rsidR="001C30E0" w:rsidRPr="001E7D5D">
        <w:rPr>
          <w:rFonts w:ascii="Times New Roman" w:hAnsi="Times New Roman"/>
          <w:sz w:val="24"/>
          <w:szCs w:val="24"/>
        </w:rPr>
        <w:t xml:space="preserve">les </w:t>
      </w:r>
      <w:r w:rsidR="001C30E0" w:rsidRPr="001E7D5D">
        <w:rPr>
          <w:rFonts w:ascii="Times New Roman" w:hAnsi="Times New Roman"/>
          <w:color w:val="000000"/>
          <w:sz w:val="24"/>
          <w:szCs w:val="24"/>
        </w:rPr>
        <w:t>activités</w:t>
      </w:r>
      <w:r w:rsidRPr="001E7D5D">
        <w:rPr>
          <w:rFonts w:ascii="Times New Roman" w:hAnsi="Times New Roman"/>
          <w:color w:val="000000"/>
          <w:sz w:val="24"/>
          <w:szCs w:val="24"/>
        </w:rPr>
        <w:t xml:space="preserve"> de renforcement des capacités des autres structures impliquées dans la mise en œuvre du projet, et est responsable de l’application des mesures de sauvegarde du projet.</w:t>
      </w:r>
    </w:p>
    <w:p w:rsidR="00364223" w:rsidRPr="001E7D5D" w:rsidRDefault="00364223" w:rsidP="00A76F4A">
      <w:pPr>
        <w:ind w:left="360" w:right="12"/>
      </w:pPr>
    </w:p>
    <w:p w:rsidR="00364223" w:rsidRPr="001E7D5D" w:rsidRDefault="00364223" w:rsidP="00A76F4A">
      <w:pPr>
        <w:numPr>
          <w:ilvl w:val="0"/>
          <w:numId w:val="70"/>
        </w:numPr>
        <w:ind w:right="12"/>
        <w:jc w:val="both"/>
      </w:pPr>
      <w:r w:rsidRPr="001E7D5D">
        <w:rPr>
          <w:b/>
          <w:i/>
        </w:rPr>
        <w:t>Le Spécialiste en Sauvegardes Environnementales et Sociales (SSES)</w:t>
      </w:r>
      <w:r w:rsidRPr="001E7D5D">
        <w:t xml:space="preserve">  est responsable de : la sélection environnementale et sociale (Screening-remplissage des formulaires), et </w:t>
      </w:r>
      <w:r w:rsidR="0025747A" w:rsidRPr="001E7D5D">
        <w:t xml:space="preserve">la </w:t>
      </w:r>
      <w:r w:rsidRPr="001E7D5D">
        <w:t>détermination du type d’instrument spécifique de sauvegarde ; la préparation et l’approbation des TDR ; la réalisation de l’étude y compris la consultation du public ; la validation du document et l’obtention du certificat de conformité environnementale ; la publication du document ; l’approbation du PGES entreprise ; l’exécution/Mise en œuvre des mesures non contractualisées avec l’entreprise de construction ; la surveillance interne de  la mise en œuvre des mesures environnementales et sociales ; le renforcement des capacités des acteurs sur la mise en œuvre  environnementales et sociales et l’audit de mise en œuvre des mesures environnementales et sociales. Ils s’assurent de la qualité de tous documents de sauvegardes du projet en particu</w:t>
      </w:r>
      <w:r w:rsidR="00430564" w:rsidRPr="001E7D5D">
        <w:t>lier ceux à transmettre à la Banque Mondiale</w:t>
      </w:r>
      <w:r w:rsidR="00A77D67" w:rsidRPr="001E7D5D">
        <w:t>,</w:t>
      </w:r>
      <w:r w:rsidR="00430564" w:rsidRPr="001E7D5D">
        <w:t xml:space="preserve"> la FAO</w:t>
      </w:r>
      <w:r w:rsidR="00A77D67" w:rsidRPr="001E7D5D">
        <w:t>, et l’AAAC</w:t>
      </w:r>
      <w:r w:rsidRPr="001E7D5D">
        <w:t xml:space="preserve">. </w:t>
      </w:r>
      <w:r w:rsidR="002B42E3" w:rsidRPr="001E7D5D">
        <w:t>Il est responsable aussi de la mise en œuvre des actions relatives à la prévention, atténuation et réponse aux risques d’EAS/HS.</w:t>
      </w:r>
      <w:r w:rsidR="005D15B2" w:rsidRPr="001E7D5D">
        <w:t xml:space="preserve"> </w:t>
      </w:r>
      <w:r w:rsidR="00C357FE" w:rsidRPr="001E7D5D">
        <w:t xml:space="preserve">Il/Elle produit aussi des rapports trimestriels sur la performance environnementales et sociale du projet. </w:t>
      </w:r>
    </w:p>
    <w:p w:rsidR="00364223" w:rsidRPr="001E7D5D" w:rsidRDefault="00364223" w:rsidP="00A76F4A">
      <w:pPr>
        <w:ind w:left="720" w:right="12"/>
        <w:jc w:val="both"/>
      </w:pPr>
    </w:p>
    <w:p w:rsidR="00364223" w:rsidRPr="001E7D5D" w:rsidRDefault="00364223" w:rsidP="00A76F4A">
      <w:pPr>
        <w:numPr>
          <w:ilvl w:val="0"/>
          <w:numId w:val="70"/>
        </w:numPr>
        <w:ind w:right="12"/>
        <w:jc w:val="both"/>
      </w:pPr>
      <w:r w:rsidRPr="001E7D5D">
        <w:rPr>
          <w:b/>
          <w:i/>
        </w:rPr>
        <w:lastRenderedPageBreak/>
        <w:t xml:space="preserve">Le Responsable en Passation de Marchés (RPM) de </w:t>
      </w:r>
      <w:r w:rsidR="009C3BC4" w:rsidRPr="001E7D5D">
        <w:rPr>
          <w:b/>
          <w:i/>
        </w:rPr>
        <w:t>l’UCP</w:t>
      </w:r>
      <w:r w:rsidR="009C3BC4" w:rsidRPr="001E7D5D">
        <w:rPr>
          <w:b/>
        </w:rPr>
        <w:t xml:space="preserve"> :</w:t>
      </w:r>
      <w:r w:rsidRPr="001E7D5D">
        <w:t xml:space="preserve"> veille à l’inclusion des activités suivantes dans les plans de passation des marchés et prépare les documents contractuels y relatifs (études, intégration des mesures de sauvegardes dans le dossier d’appel d’offres ; PGES entreprise, exécution et mise en œuvre des mesures environnementales et sociales ; renforcement des capacités ; surveillance et audit).</w:t>
      </w:r>
    </w:p>
    <w:p w:rsidR="00364223" w:rsidRPr="001E7D5D" w:rsidRDefault="00364223" w:rsidP="00A76F4A">
      <w:pPr>
        <w:pStyle w:val="PargrafodaLista"/>
        <w:spacing w:after="0" w:line="240" w:lineRule="auto"/>
        <w:ind w:right="12"/>
        <w:rPr>
          <w:rFonts w:ascii="Times New Roman" w:hAnsi="Times New Roman"/>
          <w:sz w:val="24"/>
          <w:szCs w:val="24"/>
        </w:rPr>
      </w:pPr>
    </w:p>
    <w:p w:rsidR="00364223" w:rsidRPr="001E7D5D" w:rsidRDefault="00364223" w:rsidP="00A76F4A">
      <w:pPr>
        <w:pStyle w:val="PargrafodaLista"/>
        <w:numPr>
          <w:ilvl w:val="0"/>
          <w:numId w:val="69"/>
        </w:numPr>
        <w:spacing w:after="0" w:line="240" w:lineRule="auto"/>
        <w:ind w:right="12"/>
        <w:jc w:val="both"/>
        <w:rPr>
          <w:rFonts w:ascii="Times New Roman" w:hAnsi="Times New Roman"/>
          <w:sz w:val="24"/>
          <w:szCs w:val="24"/>
        </w:rPr>
      </w:pPr>
      <w:r w:rsidRPr="001E7D5D">
        <w:rPr>
          <w:rFonts w:ascii="Times New Roman" w:hAnsi="Times New Roman"/>
          <w:b/>
          <w:i/>
          <w:sz w:val="24"/>
          <w:szCs w:val="24"/>
        </w:rPr>
        <w:t xml:space="preserve">Le Responsable Administratif et Financier (RAF) de </w:t>
      </w:r>
      <w:r w:rsidR="009C3BC4" w:rsidRPr="001E7D5D">
        <w:rPr>
          <w:rFonts w:ascii="Times New Roman" w:hAnsi="Times New Roman"/>
          <w:b/>
          <w:i/>
          <w:sz w:val="24"/>
          <w:szCs w:val="24"/>
        </w:rPr>
        <w:t>l’UCP :</w:t>
      </w:r>
      <w:r w:rsidRPr="001E7D5D">
        <w:rPr>
          <w:rFonts w:ascii="Times New Roman" w:hAnsi="Times New Roman"/>
          <w:sz w:val="24"/>
          <w:szCs w:val="24"/>
        </w:rPr>
        <w:t xml:space="preserve"> inclut dans les états financiers les provisions budgétaires relatives à l’Exécution/Mise en œuvre des mesures et à la Surveillance de la mise en œuvre des mesures environnementales et sociales.</w:t>
      </w:r>
    </w:p>
    <w:p w:rsidR="00213D6C" w:rsidRPr="001E7D5D" w:rsidRDefault="00213D6C" w:rsidP="00A76F4A">
      <w:pPr>
        <w:pStyle w:val="PargrafodaLista"/>
        <w:spacing w:after="0" w:line="240" w:lineRule="auto"/>
        <w:ind w:right="12"/>
        <w:jc w:val="both"/>
        <w:rPr>
          <w:rFonts w:ascii="Times New Roman" w:hAnsi="Times New Roman"/>
          <w:sz w:val="24"/>
          <w:szCs w:val="24"/>
        </w:rPr>
      </w:pPr>
    </w:p>
    <w:p w:rsidR="00C67F65" w:rsidRPr="001E7D5D" w:rsidRDefault="00C67F65" w:rsidP="00A76F4A">
      <w:pPr>
        <w:pStyle w:val="PargrafodaLista"/>
        <w:numPr>
          <w:ilvl w:val="0"/>
          <w:numId w:val="69"/>
        </w:numPr>
        <w:ind w:right="12"/>
        <w:jc w:val="both"/>
        <w:rPr>
          <w:rFonts w:ascii="Times New Roman" w:hAnsi="Times New Roman"/>
          <w:sz w:val="24"/>
          <w:szCs w:val="24"/>
        </w:rPr>
      </w:pPr>
      <w:r w:rsidRPr="001E7D5D">
        <w:rPr>
          <w:rFonts w:ascii="Times New Roman" w:hAnsi="Times New Roman"/>
          <w:b/>
          <w:i/>
          <w:sz w:val="24"/>
          <w:szCs w:val="24"/>
        </w:rPr>
        <w:t xml:space="preserve">Bureaux de </w:t>
      </w:r>
      <w:r w:rsidR="0060566C" w:rsidRPr="001E7D5D">
        <w:rPr>
          <w:rFonts w:ascii="Times New Roman" w:hAnsi="Times New Roman"/>
          <w:b/>
          <w:i/>
          <w:sz w:val="24"/>
          <w:szCs w:val="24"/>
        </w:rPr>
        <w:t>contrôle :</w:t>
      </w:r>
      <w:r w:rsidRPr="001E7D5D">
        <w:rPr>
          <w:rFonts w:ascii="Times New Roman" w:hAnsi="Times New Roman"/>
          <w:sz w:val="24"/>
          <w:szCs w:val="24"/>
        </w:rPr>
        <w:t xml:space="preserve">  Ils assureront la surveillance environnementale et sociale. En effet, en plus du contrôle traditionnel des travaux, les Bureaux de contrôle recrutés seront chargés de contrôler sur le chantier le respect de </w:t>
      </w:r>
      <w:r w:rsidR="0060566C" w:rsidRPr="001E7D5D">
        <w:rPr>
          <w:rFonts w:ascii="Times New Roman" w:hAnsi="Times New Roman"/>
          <w:sz w:val="24"/>
          <w:szCs w:val="24"/>
        </w:rPr>
        <w:t>l’application des mesures environnementales et sociales</w:t>
      </w:r>
      <w:r w:rsidRPr="001E7D5D">
        <w:rPr>
          <w:rFonts w:ascii="Times New Roman" w:hAnsi="Times New Roman"/>
          <w:sz w:val="24"/>
          <w:szCs w:val="24"/>
        </w:rPr>
        <w:t xml:space="preserve">.  Ils sont </w:t>
      </w:r>
      <w:r w:rsidR="0060566C" w:rsidRPr="001E7D5D">
        <w:rPr>
          <w:rFonts w:ascii="Times New Roman" w:hAnsi="Times New Roman"/>
          <w:sz w:val="24"/>
          <w:szCs w:val="24"/>
        </w:rPr>
        <w:t>responsables au même titre que</w:t>
      </w:r>
      <w:r w:rsidRPr="001E7D5D">
        <w:rPr>
          <w:rFonts w:ascii="Times New Roman" w:hAnsi="Times New Roman"/>
          <w:sz w:val="24"/>
          <w:szCs w:val="24"/>
        </w:rPr>
        <w:t xml:space="preserve"> l’Entreprise de la sauvegarde de l’environnement et du social pour ce projet. </w:t>
      </w:r>
      <w:r w:rsidR="0060566C" w:rsidRPr="001E7D5D">
        <w:rPr>
          <w:rFonts w:ascii="Times New Roman" w:hAnsi="Times New Roman"/>
          <w:sz w:val="24"/>
          <w:szCs w:val="24"/>
        </w:rPr>
        <w:t>Le</w:t>
      </w:r>
      <w:r w:rsidRPr="001E7D5D">
        <w:rPr>
          <w:rFonts w:ascii="Times New Roman" w:hAnsi="Times New Roman"/>
          <w:sz w:val="24"/>
          <w:szCs w:val="24"/>
        </w:rPr>
        <w:t xml:space="preserve"> Bureaux de contrôle qui supervise l’exécution du PGES-chantier et qui doit produire des rapports mensuels sur la conformité E&amp;S du chantier</w:t>
      </w:r>
      <w:r w:rsidR="00C357FE" w:rsidRPr="001E7D5D">
        <w:rPr>
          <w:rFonts w:ascii="Times New Roman" w:hAnsi="Times New Roman"/>
          <w:sz w:val="24"/>
          <w:szCs w:val="24"/>
        </w:rPr>
        <w:t>.</w:t>
      </w:r>
    </w:p>
    <w:p w:rsidR="00364223" w:rsidRPr="001E7D5D" w:rsidRDefault="00364223" w:rsidP="00A76F4A">
      <w:pPr>
        <w:pStyle w:val="PargrafodaLista"/>
        <w:spacing w:after="0" w:line="240" w:lineRule="auto"/>
        <w:ind w:right="12"/>
        <w:rPr>
          <w:rFonts w:ascii="Times New Roman" w:hAnsi="Times New Roman"/>
          <w:sz w:val="24"/>
          <w:szCs w:val="24"/>
        </w:rPr>
      </w:pPr>
    </w:p>
    <w:p w:rsidR="00364223" w:rsidRPr="001E7D5D" w:rsidRDefault="00364223" w:rsidP="00A76F4A">
      <w:pPr>
        <w:pStyle w:val="PargrafodaLista"/>
        <w:numPr>
          <w:ilvl w:val="0"/>
          <w:numId w:val="69"/>
        </w:numPr>
        <w:spacing w:after="0" w:line="240" w:lineRule="auto"/>
        <w:ind w:right="12"/>
        <w:jc w:val="both"/>
        <w:rPr>
          <w:rFonts w:ascii="Times New Roman" w:hAnsi="Times New Roman"/>
          <w:sz w:val="24"/>
          <w:szCs w:val="24"/>
        </w:rPr>
      </w:pPr>
      <w:r w:rsidRPr="001E7D5D">
        <w:rPr>
          <w:rFonts w:ascii="Times New Roman" w:hAnsi="Times New Roman"/>
          <w:b/>
          <w:i/>
          <w:sz w:val="24"/>
          <w:szCs w:val="24"/>
        </w:rPr>
        <w:t>L’Autorité Compétente d’Évaluation Environnementale (AAAC</w:t>
      </w:r>
      <w:r w:rsidR="001C30E0" w:rsidRPr="001E7D5D">
        <w:rPr>
          <w:rFonts w:ascii="Times New Roman" w:hAnsi="Times New Roman"/>
          <w:b/>
          <w:i/>
          <w:sz w:val="24"/>
          <w:szCs w:val="24"/>
        </w:rPr>
        <w:t>) :</w:t>
      </w:r>
      <w:r w:rsidRPr="001E7D5D">
        <w:rPr>
          <w:rFonts w:ascii="Times New Roman" w:hAnsi="Times New Roman"/>
          <w:sz w:val="24"/>
          <w:szCs w:val="24"/>
        </w:rPr>
        <w:t xml:space="preserve"> elle appuie la préparation et approbation des TDR</w:t>
      </w:r>
      <w:r w:rsidR="00547624" w:rsidRPr="001E7D5D">
        <w:rPr>
          <w:rFonts w:ascii="Times New Roman" w:hAnsi="Times New Roman"/>
          <w:sz w:val="24"/>
          <w:szCs w:val="24"/>
        </w:rPr>
        <w:t xml:space="preserve">, la validation du présent CGES, des </w:t>
      </w:r>
      <w:r w:rsidR="000C2ACE" w:rsidRPr="001E7D5D">
        <w:rPr>
          <w:rFonts w:ascii="Times New Roman" w:hAnsi="Times New Roman"/>
          <w:sz w:val="24"/>
          <w:szCs w:val="24"/>
        </w:rPr>
        <w:t>AEI</w:t>
      </w:r>
      <w:r w:rsidR="00566D4D" w:rsidRPr="001E7D5D">
        <w:rPr>
          <w:rFonts w:ascii="Times New Roman" w:hAnsi="Times New Roman"/>
          <w:sz w:val="24"/>
          <w:szCs w:val="24"/>
        </w:rPr>
        <w:t>,</w:t>
      </w:r>
      <w:r w:rsidRPr="001E7D5D">
        <w:rPr>
          <w:rFonts w:ascii="Times New Roman" w:hAnsi="Times New Roman"/>
          <w:sz w:val="24"/>
          <w:szCs w:val="24"/>
        </w:rPr>
        <w:t xml:space="preserve"> et elle est responsable du Suivi environnemental et social.</w:t>
      </w:r>
    </w:p>
    <w:p w:rsidR="005374C6" w:rsidRPr="001E7D5D" w:rsidRDefault="005374C6" w:rsidP="00A76F4A">
      <w:pPr>
        <w:ind w:right="12"/>
        <w:jc w:val="both"/>
      </w:pPr>
    </w:p>
    <w:p w:rsidR="005374C6" w:rsidRPr="001E7D5D" w:rsidRDefault="00876765" w:rsidP="00A76F4A">
      <w:pPr>
        <w:pStyle w:val="PargrafodaLista"/>
        <w:numPr>
          <w:ilvl w:val="0"/>
          <w:numId w:val="69"/>
        </w:numPr>
        <w:spacing w:after="0" w:line="240" w:lineRule="auto"/>
        <w:ind w:right="12"/>
        <w:jc w:val="both"/>
        <w:rPr>
          <w:rFonts w:ascii="Times New Roman" w:hAnsi="Times New Roman"/>
          <w:sz w:val="24"/>
          <w:szCs w:val="24"/>
        </w:rPr>
      </w:pPr>
      <w:r w:rsidRPr="001E7D5D">
        <w:rPr>
          <w:rFonts w:ascii="Times New Roman" w:hAnsi="Times New Roman"/>
          <w:b/>
          <w:i/>
          <w:sz w:val="24"/>
          <w:szCs w:val="24"/>
        </w:rPr>
        <w:t>La Banque mondiale (BM)</w:t>
      </w:r>
      <w:r w:rsidRPr="001E7D5D">
        <w:rPr>
          <w:rFonts w:ascii="Times New Roman" w:hAnsi="Times New Roman"/>
          <w:b/>
          <w:sz w:val="24"/>
          <w:szCs w:val="24"/>
        </w:rPr>
        <w:t> </w:t>
      </w:r>
      <w:r w:rsidRPr="001E7D5D">
        <w:rPr>
          <w:rFonts w:ascii="Times New Roman" w:hAnsi="Times New Roman"/>
          <w:sz w:val="24"/>
          <w:szCs w:val="24"/>
        </w:rPr>
        <w:t xml:space="preserve">: </w:t>
      </w:r>
      <w:r w:rsidR="00264C0E" w:rsidRPr="001E7D5D">
        <w:rPr>
          <w:rFonts w:ascii="Times New Roman" w:hAnsi="Times New Roman"/>
          <w:sz w:val="24"/>
          <w:szCs w:val="24"/>
        </w:rPr>
        <w:t xml:space="preserve">Elle assure le financement du projet, appuie la préparation </w:t>
      </w:r>
      <w:r w:rsidR="00B032B1" w:rsidRPr="001E7D5D">
        <w:rPr>
          <w:rFonts w:ascii="Times New Roman" w:hAnsi="Times New Roman"/>
          <w:sz w:val="24"/>
          <w:szCs w:val="24"/>
        </w:rPr>
        <w:t xml:space="preserve">des TDR </w:t>
      </w:r>
      <w:r w:rsidR="00264C0E" w:rsidRPr="001E7D5D">
        <w:rPr>
          <w:rFonts w:ascii="Times New Roman" w:hAnsi="Times New Roman"/>
          <w:sz w:val="24"/>
          <w:szCs w:val="24"/>
        </w:rPr>
        <w:t xml:space="preserve">et </w:t>
      </w:r>
      <w:r w:rsidR="006F3DCA" w:rsidRPr="001E7D5D">
        <w:rPr>
          <w:rFonts w:ascii="Times New Roman" w:hAnsi="Times New Roman"/>
          <w:sz w:val="24"/>
          <w:szCs w:val="24"/>
        </w:rPr>
        <w:t>à l’approbation du CGES et des EIES</w:t>
      </w:r>
      <w:r w:rsidR="00DD6EB7" w:rsidRPr="001E7D5D">
        <w:rPr>
          <w:rFonts w:ascii="Times New Roman" w:hAnsi="Times New Roman"/>
          <w:sz w:val="24"/>
          <w:szCs w:val="24"/>
        </w:rPr>
        <w:t xml:space="preserve"> ou </w:t>
      </w:r>
      <w:r w:rsidR="00DE6C7F" w:rsidRPr="001E7D5D">
        <w:rPr>
          <w:rFonts w:ascii="Times New Roman" w:hAnsi="Times New Roman"/>
          <w:sz w:val="24"/>
          <w:szCs w:val="24"/>
        </w:rPr>
        <w:t xml:space="preserve">AEI </w:t>
      </w:r>
      <w:r w:rsidR="00322F10" w:rsidRPr="001E7D5D">
        <w:rPr>
          <w:rFonts w:ascii="Times New Roman" w:hAnsi="Times New Roman"/>
          <w:sz w:val="24"/>
          <w:szCs w:val="24"/>
        </w:rPr>
        <w:t xml:space="preserve">et elle intervient dans la gestion et le </w:t>
      </w:r>
      <w:r w:rsidR="00FC2BF6" w:rsidRPr="001E7D5D">
        <w:rPr>
          <w:rFonts w:ascii="Times New Roman" w:hAnsi="Times New Roman"/>
          <w:sz w:val="24"/>
          <w:szCs w:val="24"/>
        </w:rPr>
        <w:t>s</w:t>
      </w:r>
      <w:r w:rsidR="00264C0E" w:rsidRPr="001E7D5D">
        <w:rPr>
          <w:rFonts w:ascii="Times New Roman" w:hAnsi="Times New Roman"/>
          <w:sz w:val="24"/>
          <w:szCs w:val="24"/>
        </w:rPr>
        <w:t>uivi environnemental et social</w:t>
      </w:r>
      <w:r w:rsidR="00FC2BF6" w:rsidRPr="001E7D5D">
        <w:rPr>
          <w:rFonts w:ascii="Times New Roman" w:hAnsi="Times New Roman"/>
          <w:sz w:val="24"/>
          <w:szCs w:val="24"/>
        </w:rPr>
        <w:t xml:space="preserve"> du projet</w:t>
      </w:r>
      <w:r w:rsidR="00264C0E" w:rsidRPr="001E7D5D">
        <w:rPr>
          <w:rFonts w:ascii="Times New Roman" w:hAnsi="Times New Roman"/>
          <w:sz w:val="24"/>
          <w:szCs w:val="24"/>
        </w:rPr>
        <w:t>.</w:t>
      </w:r>
    </w:p>
    <w:p w:rsidR="00844462" w:rsidRPr="00844462" w:rsidRDefault="00844462" w:rsidP="00844462">
      <w:bookmarkStart w:id="335" w:name="_Toc531092490"/>
    </w:p>
    <w:p w:rsidR="00364223" w:rsidRPr="00844462" w:rsidRDefault="00014AFD" w:rsidP="00A76F4A">
      <w:pPr>
        <w:pStyle w:val="Primeiroavanodecorpodetexto2"/>
        <w:spacing w:after="0" w:line="240" w:lineRule="auto"/>
        <w:ind w:right="12"/>
        <w:jc w:val="center"/>
        <w:rPr>
          <w:rFonts w:ascii="Times New Roman" w:hAnsi="Times New Roman"/>
          <w:b/>
          <w:sz w:val="20"/>
          <w:szCs w:val="20"/>
        </w:rPr>
      </w:pPr>
      <w:bookmarkStart w:id="336" w:name="_Toc75503453"/>
      <w:r w:rsidRPr="00844462">
        <w:rPr>
          <w:rFonts w:ascii="Times New Roman" w:hAnsi="Times New Roman"/>
          <w:b/>
          <w:sz w:val="20"/>
          <w:szCs w:val="20"/>
        </w:rPr>
        <w:t xml:space="preserve">Tableau </w:t>
      </w:r>
      <w:r w:rsidRPr="00844462">
        <w:rPr>
          <w:rFonts w:ascii="Times New Roman" w:hAnsi="Times New Roman"/>
          <w:b/>
          <w:sz w:val="20"/>
          <w:szCs w:val="20"/>
        </w:rPr>
        <w:fldChar w:fldCharType="begin"/>
      </w:r>
      <w:r w:rsidRPr="00844462">
        <w:rPr>
          <w:rFonts w:ascii="Times New Roman" w:hAnsi="Times New Roman"/>
          <w:b/>
          <w:sz w:val="20"/>
          <w:szCs w:val="20"/>
        </w:rPr>
        <w:instrText xml:space="preserve"> </w:instrText>
      </w:r>
      <w:r w:rsidR="006C5620" w:rsidRPr="00844462">
        <w:rPr>
          <w:rFonts w:ascii="Times New Roman" w:hAnsi="Times New Roman"/>
          <w:b/>
          <w:sz w:val="20"/>
          <w:szCs w:val="20"/>
        </w:rPr>
        <w:instrText>SEQ</w:instrText>
      </w:r>
      <w:r w:rsidRPr="00844462">
        <w:rPr>
          <w:rFonts w:ascii="Times New Roman" w:hAnsi="Times New Roman"/>
          <w:b/>
          <w:sz w:val="20"/>
          <w:szCs w:val="20"/>
        </w:rPr>
        <w:instrText xml:space="preserve"> Tableau \* ARABIC </w:instrText>
      </w:r>
      <w:r w:rsidRPr="00844462">
        <w:rPr>
          <w:rFonts w:ascii="Times New Roman" w:hAnsi="Times New Roman"/>
          <w:b/>
          <w:sz w:val="20"/>
          <w:szCs w:val="20"/>
        </w:rPr>
        <w:fldChar w:fldCharType="separate"/>
      </w:r>
      <w:r w:rsidR="00BF042C" w:rsidRPr="00844462">
        <w:rPr>
          <w:rFonts w:ascii="Times New Roman" w:hAnsi="Times New Roman"/>
          <w:b/>
          <w:noProof/>
          <w:sz w:val="20"/>
          <w:szCs w:val="20"/>
        </w:rPr>
        <w:t>19</w:t>
      </w:r>
      <w:r w:rsidRPr="00844462">
        <w:rPr>
          <w:rFonts w:ascii="Times New Roman" w:hAnsi="Times New Roman"/>
          <w:b/>
          <w:sz w:val="20"/>
          <w:szCs w:val="20"/>
        </w:rPr>
        <w:fldChar w:fldCharType="end"/>
      </w:r>
      <w:r w:rsidR="00364223" w:rsidRPr="00844462">
        <w:rPr>
          <w:rFonts w:ascii="Times New Roman" w:hAnsi="Times New Roman"/>
          <w:b/>
          <w:sz w:val="20"/>
          <w:szCs w:val="20"/>
        </w:rPr>
        <w:t>: Matrice des rôles et responsabilités au regard de l’arrangement institutionnel de mise en œuvre du CGES</w:t>
      </w:r>
      <w:bookmarkEnd w:id="335"/>
      <w:bookmarkEnd w:id="336"/>
    </w:p>
    <w:tbl>
      <w:tblPr>
        <w:tblW w:w="10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952"/>
        <w:gridCol w:w="1559"/>
        <w:gridCol w:w="2267"/>
      </w:tblGrid>
      <w:tr w:rsidR="00640A85" w:rsidRPr="00844462" w:rsidTr="00640A85">
        <w:trPr>
          <w:jc w:val="center"/>
        </w:trPr>
        <w:tc>
          <w:tcPr>
            <w:tcW w:w="567" w:type="dxa"/>
            <w:shd w:val="clear" w:color="auto" w:fill="E2EFD9" w:themeFill="accent6" w:themeFillTint="33"/>
          </w:tcPr>
          <w:p w:rsidR="00364223" w:rsidRPr="00844462" w:rsidRDefault="00364223" w:rsidP="00A76F4A">
            <w:pPr>
              <w:ind w:right="12"/>
              <w:rPr>
                <w:b/>
              </w:rPr>
            </w:pPr>
            <w:r w:rsidRPr="00844462">
              <w:rPr>
                <w:b/>
              </w:rPr>
              <w:t>No</w:t>
            </w:r>
          </w:p>
        </w:tc>
        <w:tc>
          <w:tcPr>
            <w:tcW w:w="5952" w:type="dxa"/>
            <w:shd w:val="clear" w:color="auto" w:fill="E2EFD9" w:themeFill="accent6" w:themeFillTint="33"/>
          </w:tcPr>
          <w:p w:rsidR="00364223" w:rsidRPr="00844462" w:rsidRDefault="00364223" w:rsidP="00A76F4A">
            <w:pPr>
              <w:ind w:right="12"/>
              <w:rPr>
                <w:b/>
              </w:rPr>
            </w:pPr>
            <w:r w:rsidRPr="00844462">
              <w:rPr>
                <w:b/>
              </w:rPr>
              <w:t>Étapes/Activités</w:t>
            </w:r>
          </w:p>
        </w:tc>
        <w:tc>
          <w:tcPr>
            <w:tcW w:w="1559" w:type="dxa"/>
            <w:shd w:val="clear" w:color="auto" w:fill="E2EFD9" w:themeFill="accent6" w:themeFillTint="33"/>
          </w:tcPr>
          <w:p w:rsidR="00364223" w:rsidRPr="00844462" w:rsidRDefault="00364223" w:rsidP="00A76F4A">
            <w:pPr>
              <w:ind w:right="12"/>
              <w:rPr>
                <w:b/>
              </w:rPr>
            </w:pPr>
            <w:r w:rsidRPr="00844462">
              <w:rPr>
                <w:b/>
              </w:rPr>
              <w:t>Responsable</w:t>
            </w:r>
          </w:p>
        </w:tc>
        <w:tc>
          <w:tcPr>
            <w:tcW w:w="2267" w:type="dxa"/>
            <w:shd w:val="clear" w:color="auto" w:fill="E2EFD9" w:themeFill="accent6" w:themeFillTint="33"/>
          </w:tcPr>
          <w:p w:rsidR="00364223" w:rsidRPr="00844462" w:rsidRDefault="00364223" w:rsidP="00A76F4A">
            <w:pPr>
              <w:ind w:right="12"/>
              <w:rPr>
                <w:b/>
              </w:rPr>
            </w:pPr>
            <w:r w:rsidRPr="00844462">
              <w:rPr>
                <w:b/>
              </w:rPr>
              <w:t>Prestataire</w:t>
            </w:r>
          </w:p>
        </w:tc>
      </w:tr>
      <w:tr w:rsidR="00640A85" w:rsidRPr="00844462" w:rsidTr="00640A85">
        <w:trPr>
          <w:jc w:val="center"/>
        </w:trPr>
        <w:tc>
          <w:tcPr>
            <w:tcW w:w="567" w:type="dxa"/>
            <w:vAlign w:val="center"/>
          </w:tcPr>
          <w:p w:rsidR="00364223" w:rsidRPr="00844462" w:rsidRDefault="00364223" w:rsidP="00A76F4A">
            <w:pPr>
              <w:ind w:right="12"/>
              <w:jc w:val="center"/>
            </w:pPr>
            <w:r w:rsidRPr="00844462">
              <w:t>1.</w:t>
            </w:r>
          </w:p>
        </w:tc>
        <w:tc>
          <w:tcPr>
            <w:tcW w:w="5952" w:type="dxa"/>
          </w:tcPr>
          <w:p w:rsidR="00364223" w:rsidRPr="00844462" w:rsidRDefault="00364223" w:rsidP="00A76F4A">
            <w:pPr>
              <w:ind w:right="12"/>
            </w:pPr>
            <w:r w:rsidRPr="00844462">
              <w:t>Identification de la localisation/site et principale</w:t>
            </w:r>
            <w:r w:rsidR="00352823" w:rsidRPr="00844462">
              <w:t>s caractéristiques techniques des activités du projet PUSA</w:t>
            </w:r>
            <w:r w:rsidRPr="00844462">
              <w:t xml:space="preserve">  </w:t>
            </w:r>
          </w:p>
        </w:tc>
        <w:tc>
          <w:tcPr>
            <w:tcW w:w="1559" w:type="dxa"/>
            <w:vAlign w:val="center"/>
          </w:tcPr>
          <w:p w:rsidR="00364223" w:rsidRPr="00844462" w:rsidRDefault="00364223" w:rsidP="00A76F4A">
            <w:pPr>
              <w:ind w:right="12"/>
              <w:jc w:val="center"/>
            </w:pPr>
            <w:r w:rsidRPr="00844462">
              <w:t>Coordonnateur de</w:t>
            </w:r>
            <w:r w:rsidR="00B85CB9" w:rsidRPr="00844462">
              <w:t xml:space="preserve"> </w:t>
            </w:r>
            <w:r w:rsidRPr="00844462">
              <w:t>l´UCP</w:t>
            </w:r>
          </w:p>
        </w:tc>
        <w:tc>
          <w:tcPr>
            <w:tcW w:w="2267" w:type="dxa"/>
            <w:vAlign w:val="center"/>
          </w:tcPr>
          <w:p w:rsidR="00364223" w:rsidRPr="00844462" w:rsidRDefault="00B62342" w:rsidP="00A76F4A">
            <w:pPr>
              <w:ind w:right="12"/>
              <w:jc w:val="center"/>
            </w:pPr>
            <w:r w:rsidRPr="00844462">
              <w:t>Consultant</w:t>
            </w:r>
          </w:p>
        </w:tc>
      </w:tr>
      <w:tr w:rsidR="00640A85" w:rsidRPr="00844462" w:rsidTr="00640A85">
        <w:trPr>
          <w:trHeight w:val="489"/>
          <w:jc w:val="center"/>
        </w:trPr>
        <w:tc>
          <w:tcPr>
            <w:tcW w:w="567" w:type="dxa"/>
            <w:vAlign w:val="center"/>
          </w:tcPr>
          <w:p w:rsidR="00364223" w:rsidRPr="00844462" w:rsidRDefault="00364223" w:rsidP="00A76F4A">
            <w:pPr>
              <w:ind w:right="12"/>
              <w:jc w:val="center"/>
            </w:pPr>
          </w:p>
          <w:p w:rsidR="00364223" w:rsidRPr="00844462" w:rsidRDefault="00364223" w:rsidP="00A76F4A">
            <w:pPr>
              <w:ind w:right="12"/>
              <w:jc w:val="center"/>
            </w:pPr>
            <w:r w:rsidRPr="00844462">
              <w:t>2.</w:t>
            </w:r>
          </w:p>
        </w:tc>
        <w:tc>
          <w:tcPr>
            <w:tcW w:w="5952" w:type="dxa"/>
          </w:tcPr>
          <w:p w:rsidR="00364223" w:rsidRPr="00844462" w:rsidRDefault="00364223" w:rsidP="00A76F4A">
            <w:pPr>
              <w:ind w:right="12"/>
            </w:pPr>
            <w:r w:rsidRPr="00844462">
              <w:t xml:space="preserve">Sélection environnementale et sociale (Screening-remplissage des formulaires), et détermination du type d’instrument spécifique de sauvegarde </w:t>
            </w:r>
          </w:p>
        </w:tc>
        <w:tc>
          <w:tcPr>
            <w:tcW w:w="1559" w:type="dxa"/>
            <w:vAlign w:val="center"/>
          </w:tcPr>
          <w:p w:rsidR="00364223" w:rsidRPr="00844462" w:rsidRDefault="00364223" w:rsidP="00A76F4A">
            <w:pPr>
              <w:ind w:right="12"/>
              <w:jc w:val="center"/>
            </w:pPr>
            <w:r w:rsidRPr="00844462">
              <w:t>SSES</w:t>
            </w:r>
          </w:p>
        </w:tc>
        <w:tc>
          <w:tcPr>
            <w:tcW w:w="2267" w:type="dxa"/>
            <w:vAlign w:val="center"/>
          </w:tcPr>
          <w:p w:rsidR="00364223" w:rsidRPr="00844462" w:rsidRDefault="00364223" w:rsidP="00A76F4A">
            <w:pPr>
              <w:ind w:right="12"/>
              <w:jc w:val="center"/>
            </w:pPr>
            <w:r w:rsidRPr="00844462">
              <w:t>SSES</w:t>
            </w:r>
          </w:p>
        </w:tc>
      </w:tr>
      <w:tr w:rsidR="00640A85" w:rsidRPr="00844462" w:rsidTr="00640A85">
        <w:trPr>
          <w:trHeight w:val="55"/>
          <w:jc w:val="center"/>
        </w:trPr>
        <w:tc>
          <w:tcPr>
            <w:tcW w:w="567" w:type="dxa"/>
            <w:vAlign w:val="center"/>
          </w:tcPr>
          <w:p w:rsidR="00364223" w:rsidRPr="00844462" w:rsidRDefault="00364223" w:rsidP="00A76F4A">
            <w:pPr>
              <w:ind w:right="12"/>
              <w:jc w:val="center"/>
            </w:pPr>
            <w:r w:rsidRPr="00844462">
              <w:t>3.</w:t>
            </w:r>
          </w:p>
        </w:tc>
        <w:tc>
          <w:tcPr>
            <w:tcW w:w="5952" w:type="dxa"/>
          </w:tcPr>
          <w:p w:rsidR="00364223" w:rsidRPr="00844462" w:rsidRDefault="00364223" w:rsidP="00A76F4A">
            <w:pPr>
              <w:ind w:right="12"/>
            </w:pPr>
            <w:r w:rsidRPr="00844462">
              <w:t xml:space="preserve">Approbation de la catégorisation </w:t>
            </w:r>
          </w:p>
        </w:tc>
        <w:tc>
          <w:tcPr>
            <w:tcW w:w="1559" w:type="dxa"/>
            <w:vAlign w:val="center"/>
          </w:tcPr>
          <w:p w:rsidR="00364223" w:rsidRPr="00844462" w:rsidRDefault="00364223" w:rsidP="00A76F4A">
            <w:pPr>
              <w:ind w:right="12"/>
              <w:jc w:val="center"/>
            </w:pPr>
            <w:r w:rsidRPr="00844462">
              <w:t>UCP</w:t>
            </w:r>
          </w:p>
        </w:tc>
        <w:tc>
          <w:tcPr>
            <w:tcW w:w="2267" w:type="dxa"/>
            <w:vAlign w:val="center"/>
          </w:tcPr>
          <w:p w:rsidR="00364223" w:rsidRPr="00844462" w:rsidRDefault="00364223" w:rsidP="00A76F4A">
            <w:pPr>
              <w:pStyle w:val="PargrafodaLista"/>
              <w:tabs>
                <w:tab w:val="left" w:pos="0"/>
              </w:tabs>
              <w:spacing w:after="0" w:line="240" w:lineRule="auto"/>
              <w:ind w:left="360" w:right="12"/>
              <w:jc w:val="center"/>
              <w:rPr>
                <w:rFonts w:ascii="Times New Roman" w:hAnsi="Times New Roman"/>
                <w:sz w:val="24"/>
                <w:szCs w:val="24"/>
              </w:rPr>
            </w:pPr>
            <w:r w:rsidRPr="00844462">
              <w:rPr>
                <w:rFonts w:ascii="Times New Roman" w:hAnsi="Times New Roman"/>
                <w:sz w:val="24"/>
                <w:szCs w:val="24"/>
              </w:rPr>
              <w:t>AAAC</w:t>
            </w:r>
          </w:p>
        </w:tc>
      </w:tr>
      <w:tr w:rsidR="00640A85" w:rsidRPr="00844462" w:rsidTr="00640A85">
        <w:trPr>
          <w:trHeight w:val="85"/>
          <w:jc w:val="center"/>
        </w:trPr>
        <w:tc>
          <w:tcPr>
            <w:tcW w:w="567" w:type="dxa"/>
            <w:vMerge w:val="restart"/>
            <w:vAlign w:val="center"/>
          </w:tcPr>
          <w:p w:rsidR="00AC2CE2" w:rsidRPr="00844462" w:rsidRDefault="002465A6" w:rsidP="00A76F4A">
            <w:pPr>
              <w:ind w:right="12"/>
              <w:jc w:val="center"/>
            </w:pPr>
            <w:r w:rsidRPr="00844462">
              <w:t>4.</w:t>
            </w:r>
          </w:p>
        </w:tc>
        <w:tc>
          <w:tcPr>
            <w:tcW w:w="5952" w:type="dxa"/>
          </w:tcPr>
          <w:p w:rsidR="00AC2CE2" w:rsidRPr="00844462" w:rsidRDefault="00AC2CE2" w:rsidP="00A76F4A">
            <w:pPr>
              <w:tabs>
                <w:tab w:val="left" w:pos="0"/>
              </w:tabs>
              <w:ind w:right="12"/>
            </w:pPr>
            <w:r w:rsidRPr="00844462">
              <w:t>Préparation et approbation des TDR</w:t>
            </w:r>
          </w:p>
        </w:tc>
        <w:tc>
          <w:tcPr>
            <w:tcW w:w="1559" w:type="dxa"/>
            <w:vMerge w:val="restart"/>
            <w:vAlign w:val="center"/>
          </w:tcPr>
          <w:p w:rsidR="00AC2CE2" w:rsidRPr="00844462" w:rsidRDefault="00AC2CE2" w:rsidP="00A76F4A">
            <w:pPr>
              <w:ind w:right="12"/>
              <w:jc w:val="center"/>
            </w:pPr>
            <w:r w:rsidRPr="00844462">
              <w:t>SSES</w:t>
            </w:r>
          </w:p>
        </w:tc>
        <w:tc>
          <w:tcPr>
            <w:tcW w:w="2267" w:type="dxa"/>
            <w:vAlign w:val="center"/>
          </w:tcPr>
          <w:p w:rsidR="00D16CF9" w:rsidRPr="00844462" w:rsidRDefault="00960112" w:rsidP="00A76F4A">
            <w:pPr>
              <w:tabs>
                <w:tab w:val="left" w:pos="0"/>
              </w:tabs>
              <w:ind w:right="12"/>
              <w:jc w:val="center"/>
            </w:pPr>
            <w:r w:rsidRPr="00844462">
              <w:t>AAAC et Banque Mondiale</w:t>
            </w:r>
          </w:p>
        </w:tc>
      </w:tr>
      <w:tr w:rsidR="00640A85" w:rsidRPr="00844462" w:rsidTr="00640A85">
        <w:trPr>
          <w:trHeight w:val="83"/>
          <w:jc w:val="center"/>
        </w:trPr>
        <w:tc>
          <w:tcPr>
            <w:tcW w:w="567" w:type="dxa"/>
            <w:vMerge/>
            <w:vAlign w:val="center"/>
          </w:tcPr>
          <w:p w:rsidR="00AC2CE2" w:rsidRPr="00844462" w:rsidRDefault="00AC2CE2" w:rsidP="00A76F4A">
            <w:pPr>
              <w:ind w:right="12"/>
              <w:jc w:val="center"/>
            </w:pPr>
          </w:p>
        </w:tc>
        <w:tc>
          <w:tcPr>
            <w:tcW w:w="5952" w:type="dxa"/>
          </w:tcPr>
          <w:p w:rsidR="00AC2CE2" w:rsidRPr="00844462" w:rsidRDefault="00AC2CE2" w:rsidP="00A76F4A">
            <w:pPr>
              <w:tabs>
                <w:tab w:val="left" w:pos="0"/>
              </w:tabs>
              <w:ind w:right="12"/>
            </w:pPr>
            <w:r w:rsidRPr="00844462">
              <w:t>Réalisation de l´étude y compris la consultation du publique</w:t>
            </w:r>
            <w:r w:rsidR="00C33278" w:rsidRPr="00844462">
              <w:t xml:space="preserve"> (</w:t>
            </w:r>
            <w:r w:rsidR="00D92E88" w:rsidRPr="00844462">
              <w:t xml:space="preserve">avec la </w:t>
            </w:r>
            <w:r w:rsidR="00C33278" w:rsidRPr="00844462">
              <w:t xml:space="preserve">participation </w:t>
            </w:r>
            <w:r w:rsidR="00D92E88" w:rsidRPr="00844462">
              <w:t>d’</w:t>
            </w:r>
            <w:r w:rsidR="00C33278" w:rsidRPr="00844462">
              <w:t xml:space="preserve">AAAC) </w:t>
            </w:r>
          </w:p>
        </w:tc>
        <w:tc>
          <w:tcPr>
            <w:tcW w:w="1559" w:type="dxa"/>
            <w:vMerge/>
            <w:vAlign w:val="center"/>
          </w:tcPr>
          <w:p w:rsidR="00AC2CE2" w:rsidRPr="00844462" w:rsidRDefault="00AC2CE2" w:rsidP="00A76F4A">
            <w:pPr>
              <w:ind w:right="12"/>
              <w:jc w:val="center"/>
            </w:pPr>
          </w:p>
        </w:tc>
        <w:tc>
          <w:tcPr>
            <w:tcW w:w="2267" w:type="dxa"/>
            <w:vAlign w:val="center"/>
          </w:tcPr>
          <w:p w:rsidR="00AC2CE2" w:rsidRPr="00844462" w:rsidRDefault="00102548" w:rsidP="00A76F4A">
            <w:pPr>
              <w:tabs>
                <w:tab w:val="left" w:pos="162"/>
              </w:tabs>
              <w:ind w:right="12"/>
              <w:jc w:val="center"/>
            </w:pPr>
            <w:r w:rsidRPr="00844462">
              <w:t>Consultant /AAAC</w:t>
            </w:r>
          </w:p>
        </w:tc>
      </w:tr>
      <w:tr w:rsidR="00640A85" w:rsidRPr="00844462" w:rsidTr="00640A85">
        <w:trPr>
          <w:jc w:val="center"/>
        </w:trPr>
        <w:tc>
          <w:tcPr>
            <w:tcW w:w="567" w:type="dxa"/>
            <w:vMerge/>
            <w:vAlign w:val="center"/>
          </w:tcPr>
          <w:p w:rsidR="00AC2CE2" w:rsidRPr="00844462" w:rsidRDefault="00AC2CE2" w:rsidP="00A76F4A">
            <w:pPr>
              <w:ind w:right="12"/>
              <w:jc w:val="center"/>
            </w:pPr>
          </w:p>
        </w:tc>
        <w:tc>
          <w:tcPr>
            <w:tcW w:w="5952" w:type="dxa"/>
          </w:tcPr>
          <w:p w:rsidR="00AC2CE2" w:rsidRPr="00844462" w:rsidRDefault="00AC2CE2" w:rsidP="00A76F4A">
            <w:pPr>
              <w:ind w:right="12"/>
            </w:pPr>
            <w:r w:rsidRPr="00844462">
              <w:t>Validation du document et obtention du certificat de conformité environnementale</w:t>
            </w:r>
          </w:p>
        </w:tc>
        <w:tc>
          <w:tcPr>
            <w:tcW w:w="1559" w:type="dxa"/>
            <w:vMerge/>
            <w:vAlign w:val="center"/>
          </w:tcPr>
          <w:p w:rsidR="00AC2CE2" w:rsidRPr="00844462" w:rsidRDefault="00AC2CE2" w:rsidP="00A76F4A">
            <w:pPr>
              <w:ind w:right="12"/>
              <w:jc w:val="center"/>
            </w:pPr>
          </w:p>
        </w:tc>
        <w:tc>
          <w:tcPr>
            <w:tcW w:w="2267" w:type="dxa"/>
            <w:vAlign w:val="center"/>
          </w:tcPr>
          <w:p w:rsidR="00AC2CE2" w:rsidRPr="00844462" w:rsidRDefault="00102548" w:rsidP="00A76F4A">
            <w:pPr>
              <w:tabs>
                <w:tab w:val="left" w:pos="0"/>
              </w:tabs>
              <w:ind w:right="12"/>
              <w:jc w:val="center"/>
            </w:pPr>
            <w:r w:rsidRPr="00844462">
              <w:t>AAAC</w:t>
            </w:r>
          </w:p>
        </w:tc>
      </w:tr>
      <w:tr w:rsidR="00640A85" w:rsidRPr="00844462" w:rsidTr="00640A85">
        <w:trPr>
          <w:jc w:val="center"/>
        </w:trPr>
        <w:tc>
          <w:tcPr>
            <w:tcW w:w="567" w:type="dxa"/>
            <w:vMerge/>
            <w:vAlign w:val="center"/>
          </w:tcPr>
          <w:p w:rsidR="00102548" w:rsidRPr="00844462" w:rsidRDefault="00102548" w:rsidP="00A76F4A">
            <w:pPr>
              <w:ind w:right="12"/>
              <w:jc w:val="center"/>
            </w:pPr>
          </w:p>
        </w:tc>
        <w:tc>
          <w:tcPr>
            <w:tcW w:w="5952" w:type="dxa"/>
          </w:tcPr>
          <w:p w:rsidR="00102548" w:rsidRPr="00844462" w:rsidRDefault="00102548" w:rsidP="00A76F4A">
            <w:pPr>
              <w:ind w:right="12"/>
            </w:pPr>
            <w:r w:rsidRPr="00844462">
              <w:t>Publication du document</w:t>
            </w:r>
          </w:p>
        </w:tc>
        <w:tc>
          <w:tcPr>
            <w:tcW w:w="1559" w:type="dxa"/>
            <w:vMerge/>
            <w:vAlign w:val="center"/>
          </w:tcPr>
          <w:p w:rsidR="00102548" w:rsidRPr="00844462" w:rsidRDefault="00102548" w:rsidP="00A76F4A">
            <w:pPr>
              <w:ind w:right="12"/>
              <w:jc w:val="center"/>
            </w:pPr>
          </w:p>
        </w:tc>
        <w:tc>
          <w:tcPr>
            <w:tcW w:w="2267" w:type="dxa"/>
            <w:vAlign w:val="center"/>
          </w:tcPr>
          <w:p w:rsidR="00102548" w:rsidRPr="00844462" w:rsidRDefault="00102548" w:rsidP="00A76F4A">
            <w:pPr>
              <w:tabs>
                <w:tab w:val="left" w:pos="0"/>
              </w:tabs>
              <w:ind w:right="12"/>
              <w:jc w:val="center"/>
            </w:pPr>
            <w:r w:rsidRPr="00844462">
              <w:t>AAAC et Banque Mondiale</w:t>
            </w:r>
          </w:p>
        </w:tc>
      </w:tr>
      <w:tr w:rsidR="00640A85" w:rsidRPr="00844462" w:rsidTr="00640A85">
        <w:trPr>
          <w:trHeight w:val="529"/>
          <w:jc w:val="center"/>
        </w:trPr>
        <w:tc>
          <w:tcPr>
            <w:tcW w:w="567" w:type="dxa"/>
            <w:vMerge w:val="restart"/>
            <w:vAlign w:val="center"/>
          </w:tcPr>
          <w:p w:rsidR="00102548" w:rsidRPr="00844462" w:rsidRDefault="00102548" w:rsidP="00A76F4A">
            <w:pPr>
              <w:ind w:right="12"/>
              <w:jc w:val="center"/>
            </w:pPr>
          </w:p>
          <w:p w:rsidR="00102548" w:rsidRPr="00844462" w:rsidRDefault="00102548" w:rsidP="00A76F4A">
            <w:pPr>
              <w:ind w:right="12"/>
              <w:jc w:val="center"/>
            </w:pPr>
            <w:r w:rsidRPr="00844462">
              <w:t>5.</w:t>
            </w:r>
          </w:p>
        </w:tc>
        <w:tc>
          <w:tcPr>
            <w:tcW w:w="5952" w:type="dxa"/>
            <w:tcBorders>
              <w:bottom w:val="single" w:sz="4" w:space="0" w:color="auto"/>
            </w:tcBorders>
          </w:tcPr>
          <w:p w:rsidR="00102548" w:rsidRPr="00844462" w:rsidRDefault="00102548" w:rsidP="00A76F4A">
            <w:pPr>
              <w:ind w:right="12"/>
            </w:pPr>
            <w:r w:rsidRPr="00844462">
              <w:t>Intégration dans le dossier d´appel d´offres (DAO) du programme, de toutes les mesures de la phase des travaux pouvant être contractées avec l´entreprise</w:t>
            </w:r>
          </w:p>
        </w:tc>
        <w:tc>
          <w:tcPr>
            <w:tcW w:w="1559" w:type="dxa"/>
            <w:tcBorders>
              <w:bottom w:val="single" w:sz="4" w:space="0" w:color="auto"/>
            </w:tcBorders>
            <w:vAlign w:val="center"/>
          </w:tcPr>
          <w:p w:rsidR="00102548" w:rsidRPr="00844462" w:rsidRDefault="00102548" w:rsidP="00A76F4A">
            <w:pPr>
              <w:ind w:right="12"/>
              <w:jc w:val="center"/>
            </w:pPr>
            <w:r w:rsidRPr="00844462">
              <w:t>SSES/Spécialiste Passation de Marché</w:t>
            </w:r>
          </w:p>
        </w:tc>
        <w:tc>
          <w:tcPr>
            <w:tcW w:w="2267" w:type="dxa"/>
            <w:tcBorders>
              <w:bottom w:val="single" w:sz="4" w:space="0" w:color="auto"/>
            </w:tcBorders>
            <w:vAlign w:val="center"/>
          </w:tcPr>
          <w:p w:rsidR="00102548" w:rsidRPr="00844462" w:rsidRDefault="00102548" w:rsidP="00A76F4A">
            <w:pPr>
              <w:ind w:right="12"/>
              <w:jc w:val="center"/>
            </w:pPr>
            <w:r w:rsidRPr="00844462">
              <w:t>Bureau d’étude chargé d’élaborer le DAO</w:t>
            </w:r>
          </w:p>
        </w:tc>
      </w:tr>
      <w:tr w:rsidR="00640A85" w:rsidRPr="00844462" w:rsidTr="00640A85">
        <w:trPr>
          <w:trHeight w:val="169"/>
          <w:jc w:val="center"/>
        </w:trPr>
        <w:tc>
          <w:tcPr>
            <w:tcW w:w="567" w:type="dxa"/>
            <w:vMerge/>
            <w:vAlign w:val="center"/>
          </w:tcPr>
          <w:p w:rsidR="00102548" w:rsidRPr="00844462" w:rsidRDefault="00102548" w:rsidP="00A76F4A">
            <w:pPr>
              <w:ind w:right="12"/>
              <w:jc w:val="center"/>
            </w:pPr>
          </w:p>
        </w:tc>
        <w:tc>
          <w:tcPr>
            <w:tcW w:w="5952" w:type="dxa"/>
            <w:tcBorders>
              <w:top w:val="single" w:sz="4" w:space="0" w:color="auto"/>
            </w:tcBorders>
          </w:tcPr>
          <w:p w:rsidR="00102548" w:rsidRPr="00844462" w:rsidRDefault="00102548" w:rsidP="00A76F4A">
            <w:pPr>
              <w:ind w:right="12"/>
            </w:pPr>
            <w:r w:rsidRPr="00844462">
              <w:t xml:space="preserve">Approbation du PGES entreprise </w:t>
            </w:r>
          </w:p>
        </w:tc>
        <w:tc>
          <w:tcPr>
            <w:tcW w:w="1559" w:type="dxa"/>
            <w:tcBorders>
              <w:top w:val="single" w:sz="4" w:space="0" w:color="auto"/>
            </w:tcBorders>
            <w:vAlign w:val="center"/>
          </w:tcPr>
          <w:p w:rsidR="00102548" w:rsidRPr="00844462" w:rsidRDefault="00102548" w:rsidP="00A76F4A">
            <w:pPr>
              <w:ind w:right="12"/>
              <w:jc w:val="center"/>
            </w:pPr>
            <w:r w:rsidRPr="00844462">
              <w:t>SSES</w:t>
            </w:r>
          </w:p>
        </w:tc>
        <w:tc>
          <w:tcPr>
            <w:tcW w:w="2267" w:type="dxa"/>
            <w:tcBorders>
              <w:top w:val="single" w:sz="4" w:space="0" w:color="auto"/>
            </w:tcBorders>
            <w:vAlign w:val="center"/>
          </w:tcPr>
          <w:p w:rsidR="00102548" w:rsidRPr="00844462" w:rsidRDefault="00102548" w:rsidP="00A76F4A">
            <w:pPr>
              <w:ind w:right="12"/>
              <w:jc w:val="center"/>
            </w:pPr>
            <w:r w:rsidRPr="00844462">
              <w:t>Bureau de contrôle</w:t>
            </w:r>
          </w:p>
        </w:tc>
      </w:tr>
      <w:tr w:rsidR="00640A85" w:rsidRPr="00844462" w:rsidTr="00640A85">
        <w:trPr>
          <w:jc w:val="center"/>
        </w:trPr>
        <w:tc>
          <w:tcPr>
            <w:tcW w:w="567" w:type="dxa"/>
            <w:vAlign w:val="center"/>
          </w:tcPr>
          <w:p w:rsidR="00102548" w:rsidRPr="00844462" w:rsidRDefault="00102548" w:rsidP="00A76F4A">
            <w:pPr>
              <w:ind w:right="12"/>
              <w:jc w:val="center"/>
            </w:pPr>
          </w:p>
          <w:p w:rsidR="00102548" w:rsidRPr="00844462" w:rsidRDefault="00102548" w:rsidP="00A76F4A">
            <w:pPr>
              <w:ind w:right="12"/>
              <w:jc w:val="center"/>
            </w:pPr>
            <w:r w:rsidRPr="00844462">
              <w:t>6.</w:t>
            </w:r>
          </w:p>
        </w:tc>
        <w:tc>
          <w:tcPr>
            <w:tcW w:w="5952" w:type="dxa"/>
          </w:tcPr>
          <w:p w:rsidR="00102548" w:rsidRPr="00844462" w:rsidRDefault="00102548" w:rsidP="00A76F4A">
            <w:pPr>
              <w:ind w:right="12"/>
            </w:pPr>
            <w:r w:rsidRPr="00844462">
              <w:t>Exécution/Mise en œuvre des mesures non contractualisées avec l´entreprise de construction</w:t>
            </w:r>
          </w:p>
        </w:tc>
        <w:tc>
          <w:tcPr>
            <w:tcW w:w="1559" w:type="dxa"/>
            <w:vAlign w:val="center"/>
          </w:tcPr>
          <w:p w:rsidR="00102548" w:rsidRPr="00844462" w:rsidRDefault="00102548" w:rsidP="00A76F4A">
            <w:pPr>
              <w:ind w:right="12"/>
              <w:jc w:val="center"/>
            </w:pPr>
            <w:r w:rsidRPr="00844462">
              <w:t>SSES</w:t>
            </w:r>
          </w:p>
        </w:tc>
        <w:tc>
          <w:tcPr>
            <w:tcW w:w="2267" w:type="dxa"/>
            <w:vAlign w:val="center"/>
          </w:tcPr>
          <w:p w:rsidR="00102548" w:rsidRPr="00844462" w:rsidRDefault="00102548" w:rsidP="00A76F4A">
            <w:pPr>
              <w:tabs>
                <w:tab w:val="left" w:pos="0"/>
              </w:tabs>
              <w:ind w:right="12"/>
              <w:jc w:val="center"/>
            </w:pPr>
            <w:r w:rsidRPr="00844462">
              <w:t>Entreprises</w:t>
            </w:r>
          </w:p>
          <w:p w:rsidR="00102548" w:rsidRPr="00844462" w:rsidRDefault="00102548" w:rsidP="00A76F4A">
            <w:pPr>
              <w:tabs>
                <w:tab w:val="left" w:pos="0"/>
              </w:tabs>
              <w:ind w:right="12"/>
              <w:jc w:val="center"/>
            </w:pPr>
            <w:r w:rsidRPr="00844462">
              <w:t>ONGs</w:t>
            </w:r>
          </w:p>
        </w:tc>
      </w:tr>
      <w:tr w:rsidR="00640A85" w:rsidRPr="00844462" w:rsidTr="00640A85">
        <w:trPr>
          <w:jc w:val="center"/>
        </w:trPr>
        <w:tc>
          <w:tcPr>
            <w:tcW w:w="567" w:type="dxa"/>
            <w:vMerge w:val="restart"/>
            <w:vAlign w:val="center"/>
          </w:tcPr>
          <w:p w:rsidR="00102548" w:rsidRPr="00844462" w:rsidRDefault="00102548" w:rsidP="00A76F4A">
            <w:pPr>
              <w:ind w:right="12"/>
              <w:jc w:val="center"/>
            </w:pPr>
          </w:p>
          <w:p w:rsidR="00102548" w:rsidRPr="00844462" w:rsidRDefault="00102548" w:rsidP="00A76F4A">
            <w:pPr>
              <w:ind w:right="12"/>
              <w:jc w:val="center"/>
            </w:pPr>
          </w:p>
          <w:p w:rsidR="00102548" w:rsidRPr="00844462" w:rsidRDefault="00102548" w:rsidP="00A76F4A">
            <w:pPr>
              <w:ind w:right="12"/>
              <w:jc w:val="center"/>
            </w:pPr>
            <w:r w:rsidRPr="00844462">
              <w:t>7.</w:t>
            </w:r>
          </w:p>
        </w:tc>
        <w:tc>
          <w:tcPr>
            <w:tcW w:w="5952" w:type="dxa"/>
          </w:tcPr>
          <w:p w:rsidR="00102548" w:rsidRPr="00844462" w:rsidRDefault="00102548" w:rsidP="00A76F4A">
            <w:pPr>
              <w:ind w:right="12"/>
            </w:pPr>
            <w:r w:rsidRPr="00844462">
              <w:t>Surveillance interne de la mise en œuvre des mesures environnementales et sociales</w:t>
            </w:r>
          </w:p>
          <w:p w:rsidR="00102548" w:rsidRPr="00844462" w:rsidRDefault="00102548" w:rsidP="00A76F4A">
            <w:pPr>
              <w:ind w:right="12"/>
            </w:pPr>
          </w:p>
        </w:tc>
        <w:tc>
          <w:tcPr>
            <w:tcW w:w="1559" w:type="dxa"/>
            <w:vAlign w:val="center"/>
          </w:tcPr>
          <w:p w:rsidR="00102548" w:rsidRPr="00844462" w:rsidRDefault="00102548" w:rsidP="00A76F4A">
            <w:pPr>
              <w:ind w:right="12"/>
              <w:jc w:val="center"/>
            </w:pPr>
            <w:r w:rsidRPr="00844462">
              <w:t>SSES</w:t>
            </w:r>
          </w:p>
        </w:tc>
        <w:tc>
          <w:tcPr>
            <w:tcW w:w="2267" w:type="dxa"/>
            <w:vAlign w:val="center"/>
          </w:tcPr>
          <w:p w:rsidR="00102548" w:rsidRPr="00844462" w:rsidRDefault="00102548" w:rsidP="00A76F4A">
            <w:pPr>
              <w:ind w:right="12"/>
              <w:jc w:val="center"/>
            </w:pPr>
            <w:r w:rsidRPr="00844462">
              <w:t>Bureau de contrôle</w:t>
            </w:r>
          </w:p>
        </w:tc>
      </w:tr>
      <w:tr w:rsidR="00640A85" w:rsidRPr="00844462" w:rsidTr="00640A85">
        <w:trPr>
          <w:jc w:val="center"/>
        </w:trPr>
        <w:tc>
          <w:tcPr>
            <w:tcW w:w="567" w:type="dxa"/>
            <w:vMerge/>
            <w:vAlign w:val="center"/>
          </w:tcPr>
          <w:p w:rsidR="00102548" w:rsidRPr="00844462" w:rsidRDefault="00102548" w:rsidP="00A76F4A">
            <w:pPr>
              <w:ind w:right="12"/>
              <w:jc w:val="center"/>
            </w:pPr>
          </w:p>
        </w:tc>
        <w:tc>
          <w:tcPr>
            <w:tcW w:w="5952" w:type="dxa"/>
          </w:tcPr>
          <w:p w:rsidR="00102548" w:rsidRPr="00844462" w:rsidRDefault="00102548" w:rsidP="00A76F4A">
            <w:pPr>
              <w:ind w:right="12"/>
            </w:pPr>
            <w:r w:rsidRPr="00844462">
              <w:t xml:space="preserve">Diffusion du rapport de surveillance </w:t>
            </w:r>
          </w:p>
        </w:tc>
        <w:tc>
          <w:tcPr>
            <w:tcW w:w="1559" w:type="dxa"/>
            <w:vAlign w:val="center"/>
          </w:tcPr>
          <w:p w:rsidR="00102548" w:rsidRPr="00844462" w:rsidRDefault="00102548" w:rsidP="00A76F4A">
            <w:pPr>
              <w:ind w:right="12"/>
              <w:jc w:val="center"/>
            </w:pPr>
            <w:r w:rsidRPr="00844462">
              <w:t>Coordonnateur de l’UCP</w:t>
            </w:r>
          </w:p>
        </w:tc>
        <w:tc>
          <w:tcPr>
            <w:tcW w:w="2267" w:type="dxa"/>
            <w:vAlign w:val="center"/>
          </w:tcPr>
          <w:p w:rsidR="00102548" w:rsidRPr="00844462" w:rsidRDefault="00102548" w:rsidP="00A76F4A">
            <w:pPr>
              <w:pStyle w:val="PargrafodaLista"/>
              <w:tabs>
                <w:tab w:val="left" w:pos="0"/>
              </w:tabs>
              <w:spacing w:after="0" w:line="240" w:lineRule="auto"/>
              <w:ind w:left="360" w:right="12"/>
              <w:jc w:val="center"/>
              <w:rPr>
                <w:rFonts w:ascii="Times New Roman" w:hAnsi="Times New Roman"/>
                <w:sz w:val="24"/>
                <w:szCs w:val="24"/>
              </w:rPr>
            </w:pPr>
            <w:r w:rsidRPr="00844462">
              <w:rPr>
                <w:rFonts w:ascii="Times New Roman" w:hAnsi="Times New Roman"/>
                <w:sz w:val="24"/>
                <w:szCs w:val="24"/>
              </w:rPr>
              <w:t>Média</w:t>
            </w:r>
          </w:p>
          <w:p w:rsidR="00102548" w:rsidRPr="00844462" w:rsidRDefault="00102548" w:rsidP="00A76F4A">
            <w:pPr>
              <w:pStyle w:val="PargrafodaLista"/>
              <w:tabs>
                <w:tab w:val="left" w:pos="0"/>
              </w:tabs>
              <w:spacing w:after="0" w:line="240" w:lineRule="auto"/>
              <w:ind w:left="360" w:right="12"/>
              <w:jc w:val="center"/>
              <w:rPr>
                <w:rFonts w:ascii="Times New Roman" w:hAnsi="Times New Roman"/>
                <w:sz w:val="24"/>
                <w:szCs w:val="24"/>
              </w:rPr>
            </w:pPr>
            <w:r w:rsidRPr="00844462">
              <w:rPr>
                <w:rFonts w:ascii="Times New Roman" w:hAnsi="Times New Roman"/>
                <w:sz w:val="24"/>
                <w:szCs w:val="24"/>
              </w:rPr>
              <w:t>Banque mondiale</w:t>
            </w:r>
          </w:p>
        </w:tc>
      </w:tr>
      <w:tr w:rsidR="00640A85" w:rsidRPr="00844462" w:rsidTr="00640A85">
        <w:trPr>
          <w:jc w:val="center"/>
        </w:trPr>
        <w:tc>
          <w:tcPr>
            <w:tcW w:w="567" w:type="dxa"/>
            <w:vAlign w:val="center"/>
          </w:tcPr>
          <w:p w:rsidR="00102548" w:rsidRPr="00844462" w:rsidRDefault="00102548" w:rsidP="00A76F4A">
            <w:pPr>
              <w:ind w:right="12"/>
              <w:jc w:val="center"/>
            </w:pPr>
            <w:r w:rsidRPr="00844462">
              <w:t>8.</w:t>
            </w:r>
          </w:p>
        </w:tc>
        <w:tc>
          <w:tcPr>
            <w:tcW w:w="5952" w:type="dxa"/>
          </w:tcPr>
          <w:p w:rsidR="00102548" w:rsidRPr="00844462" w:rsidRDefault="00102548" w:rsidP="00A76F4A">
            <w:pPr>
              <w:ind w:right="12"/>
            </w:pPr>
            <w:r w:rsidRPr="00844462">
              <w:t>Suivi environnemental et social</w:t>
            </w:r>
          </w:p>
        </w:tc>
        <w:tc>
          <w:tcPr>
            <w:tcW w:w="1559" w:type="dxa"/>
            <w:vAlign w:val="center"/>
          </w:tcPr>
          <w:p w:rsidR="00102548" w:rsidRPr="00844462" w:rsidRDefault="00102548" w:rsidP="00A76F4A">
            <w:pPr>
              <w:ind w:right="12"/>
              <w:jc w:val="center"/>
            </w:pPr>
            <w:r w:rsidRPr="00844462">
              <w:t>AAAC</w:t>
            </w:r>
          </w:p>
        </w:tc>
        <w:tc>
          <w:tcPr>
            <w:tcW w:w="2267" w:type="dxa"/>
            <w:vAlign w:val="center"/>
          </w:tcPr>
          <w:p w:rsidR="00102548" w:rsidRPr="00844462" w:rsidRDefault="00102548" w:rsidP="00A76F4A">
            <w:pPr>
              <w:pStyle w:val="PargrafodaLista"/>
              <w:tabs>
                <w:tab w:val="left" w:pos="0"/>
              </w:tabs>
              <w:spacing w:after="0" w:line="240" w:lineRule="auto"/>
              <w:ind w:left="360" w:right="12"/>
              <w:jc w:val="center"/>
              <w:rPr>
                <w:rFonts w:ascii="Times New Roman" w:hAnsi="Times New Roman"/>
                <w:sz w:val="24"/>
                <w:szCs w:val="24"/>
              </w:rPr>
            </w:pPr>
          </w:p>
        </w:tc>
      </w:tr>
      <w:tr w:rsidR="00640A85" w:rsidRPr="00844462" w:rsidTr="00640A85">
        <w:trPr>
          <w:jc w:val="center"/>
        </w:trPr>
        <w:tc>
          <w:tcPr>
            <w:tcW w:w="567" w:type="dxa"/>
            <w:vAlign w:val="center"/>
          </w:tcPr>
          <w:p w:rsidR="00102548" w:rsidRPr="00844462" w:rsidRDefault="00102548" w:rsidP="00A76F4A">
            <w:pPr>
              <w:ind w:right="12"/>
              <w:jc w:val="center"/>
            </w:pPr>
            <w:r w:rsidRPr="00844462">
              <w:t>9.</w:t>
            </w:r>
          </w:p>
        </w:tc>
        <w:tc>
          <w:tcPr>
            <w:tcW w:w="5952" w:type="dxa"/>
          </w:tcPr>
          <w:p w:rsidR="00102548" w:rsidRPr="00844462" w:rsidRDefault="00102548" w:rsidP="00A76F4A">
            <w:pPr>
              <w:ind w:right="12"/>
            </w:pPr>
            <w:r w:rsidRPr="00844462">
              <w:t>Renforcement des capacités des acteurs en mise en œuvre environnementales et sociales</w:t>
            </w:r>
          </w:p>
        </w:tc>
        <w:tc>
          <w:tcPr>
            <w:tcW w:w="1559" w:type="dxa"/>
            <w:vAlign w:val="center"/>
          </w:tcPr>
          <w:p w:rsidR="00102548" w:rsidRPr="00844462" w:rsidRDefault="00102548" w:rsidP="00A76F4A">
            <w:pPr>
              <w:ind w:right="12"/>
              <w:jc w:val="center"/>
            </w:pPr>
            <w:r w:rsidRPr="00844462">
              <w:t>SSES</w:t>
            </w:r>
          </w:p>
        </w:tc>
        <w:tc>
          <w:tcPr>
            <w:tcW w:w="2267" w:type="dxa"/>
            <w:vAlign w:val="center"/>
          </w:tcPr>
          <w:p w:rsidR="00102548" w:rsidRPr="00844462" w:rsidRDefault="00102548" w:rsidP="00A76F4A">
            <w:pPr>
              <w:pStyle w:val="PargrafodaLista"/>
              <w:tabs>
                <w:tab w:val="left" w:pos="0"/>
              </w:tabs>
              <w:spacing w:after="0" w:line="240" w:lineRule="auto"/>
              <w:ind w:left="32" w:right="12"/>
              <w:jc w:val="center"/>
              <w:rPr>
                <w:rFonts w:ascii="Times New Roman" w:hAnsi="Times New Roman"/>
                <w:sz w:val="24"/>
                <w:szCs w:val="24"/>
              </w:rPr>
            </w:pPr>
            <w:r w:rsidRPr="00844462">
              <w:rPr>
                <w:rFonts w:ascii="Times New Roman" w:hAnsi="Times New Roman"/>
                <w:sz w:val="24"/>
                <w:szCs w:val="24"/>
              </w:rPr>
              <w:t>Consultant</w:t>
            </w:r>
          </w:p>
        </w:tc>
      </w:tr>
      <w:tr w:rsidR="00640A85" w:rsidRPr="00844462" w:rsidTr="00640A85">
        <w:trPr>
          <w:trHeight w:val="391"/>
          <w:jc w:val="center"/>
        </w:trPr>
        <w:tc>
          <w:tcPr>
            <w:tcW w:w="567" w:type="dxa"/>
          </w:tcPr>
          <w:p w:rsidR="00102548" w:rsidRPr="00844462" w:rsidRDefault="00102548" w:rsidP="00A76F4A">
            <w:pPr>
              <w:ind w:right="12"/>
            </w:pPr>
          </w:p>
          <w:p w:rsidR="00102548" w:rsidRPr="00844462" w:rsidRDefault="00102548" w:rsidP="00A76F4A">
            <w:pPr>
              <w:ind w:right="12"/>
            </w:pPr>
            <w:r w:rsidRPr="00844462">
              <w:t>11.</w:t>
            </w:r>
          </w:p>
        </w:tc>
        <w:tc>
          <w:tcPr>
            <w:tcW w:w="5952" w:type="dxa"/>
          </w:tcPr>
          <w:p w:rsidR="00102548" w:rsidRPr="00844462" w:rsidRDefault="00102548" w:rsidP="00A76F4A">
            <w:pPr>
              <w:ind w:right="12"/>
            </w:pPr>
            <w:r w:rsidRPr="00844462">
              <w:t>Audit de mise en œuvre des mesures environnementales et sociales</w:t>
            </w:r>
          </w:p>
        </w:tc>
        <w:tc>
          <w:tcPr>
            <w:tcW w:w="1559" w:type="dxa"/>
          </w:tcPr>
          <w:p w:rsidR="00102548" w:rsidRPr="00844462" w:rsidRDefault="00186618" w:rsidP="00A76F4A">
            <w:pPr>
              <w:ind w:right="12"/>
              <w:jc w:val="center"/>
            </w:pPr>
            <w:r w:rsidRPr="00844462">
              <w:t>SSES</w:t>
            </w:r>
          </w:p>
        </w:tc>
        <w:tc>
          <w:tcPr>
            <w:tcW w:w="2267" w:type="dxa"/>
            <w:vAlign w:val="center"/>
          </w:tcPr>
          <w:p w:rsidR="00102548" w:rsidRPr="00844462" w:rsidRDefault="00102548" w:rsidP="00A76F4A">
            <w:pPr>
              <w:pStyle w:val="PargrafodaLista"/>
              <w:tabs>
                <w:tab w:val="left" w:pos="0"/>
              </w:tabs>
              <w:spacing w:after="0" w:line="240" w:lineRule="auto"/>
              <w:ind w:left="32" w:right="12"/>
              <w:jc w:val="center"/>
              <w:rPr>
                <w:rFonts w:ascii="Times New Roman" w:hAnsi="Times New Roman"/>
                <w:sz w:val="24"/>
                <w:szCs w:val="24"/>
              </w:rPr>
            </w:pPr>
            <w:r w:rsidRPr="00844462">
              <w:rPr>
                <w:rFonts w:ascii="Times New Roman" w:hAnsi="Times New Roman"/>
                <w:sz w:val="24"/>
                <w:szCs w:val="24"/>
              </w:rPr>
              <w:t>Consultant</w:t>
            </w:r>
          </w:p>
        </w:tc>
      </w:tr>
    </w:tbl>
    <w:p w:rsidR="00364223" w:rsidRPr="00A05698" w:rsidRDefault="00364223" w:rsidP="00A76F4A">
      <w:pPr>
        <w:ind w:right="12"/>
        <w:jc w:val="both"/>
        <w:rPr>
          <w:sz w:val="16"/>
          <w:szCs w:val="16"/>
        </w:rPr>
      </w:pPr>
    </w:p>
    <w:p w:rsidR="00260F28" w:rsidRPr="00026F2D" w:rsidRDefault="000D775D" w:rsidP="00A76F4A">
      <w:pPr>
        <w:ind w:right="12"/>
        <w:jc w:val="both"/>
      </w:pPr>
      <w:r w:rsidRPr="00026F2D">
        <w:t>Ainsi, c</w:t>
      </w:r>
      <w:r w:rsidR="00C35F3F" w:rsidRPr="00026F2D">
        <w:t>es rapports</w:t>
      </w:r>
      <w:r w:rsidR="006B339E" w:rsidRPr="00026F2D">
        <w:t xml:space="preserve"> sur la performance E&amp;S du projet</w:t>
      </w:r>
      <w:r w:rsidR="00C35F3F" w:rsidRPr="00026F2D">
        <w:t xml:space="preserve"> fourniront un dossier précis et objectif de la mise en </w:t>
      </w:r>
      <w:r w:rsidRPr="00026F2D">
        <w:t>œuvre</w:t>
      </w:r>
      <w:r w:rsidR="00C35F3F" w:rsidRPr="00026F2D">
        <w:t xml:space="preserve"> du projet, y compris le respect du PEES et des </w:t>
      </w:r>
      <w:r w:rsidR="00334587" w:rsidRPr="00026F2D">
        <w:t>exigences des normes environnementales et sociales</w:t>
      </w:r>
      <w:r w:rsidR="00C35F3F" w:rsidRPr="00026F2D">
        <w:t xml:space="preserve">. Ces rapports comprendront de l'information sur l'engagement des intervenants effectuée pendant la mise en </w:t>
      </w:r>
      <w:r w:rsidR="00334587" w:rsidRPr="00026F2D">
        <w:t>œuvre</w:t>
      </w:r>
      <w:r w:rsidR="00C35F3F" w:rsidRPr="00026F2D">
        <w:t xml:space="preserve"> du projet conformément à la NES 10. </w:t>
      </w:r>
      <w:r w:rsidR="00941652" w:rsidRPr="00026F2D">
        <w:t>De plus</w:t>
      </w:r>
      <w:r w:rsidR="00E41B25" w:rsidRPr="00026F2D">
        <w:t xml:space="preserve">, il est </w:t>
      </w:r>
      <w:r w:rsidR="0001075F" w:rsidRPr="00026F2D">
        <w:t xml:space="preserve">important pour l’ensemble des acteurs du projet </w:t>
      </w:r>
      <w:r w:rsidR="00E41B25" w:rsidRPr="00026F2D">
        <w:t>de veiller à la performance environnementale et sociale du projet conformément à l'accord juridique (y compris le PEES</w:t>
      </w:r>
      <w:r w:rsidR="0001075F" w:rsidRPr="00026F2D">
        <w:t>)</w:t>
      </w:r>
      <w:r w:rsidR="00380BB2" w:rsidRPr="00026F2D">
        <w:t xml:space="preserve"> de la Banque mondiale</w:t>
      </w:r>
      <w:r w:rsidR="0001075F" w:rsidRPr="00026F2D">
        <w:t>.</w:t>
      </w:r>
    </w:p>
    <w:p w:rsidR="00EC327A" w:rsidRPr="00026F2D" w:rsidRDefault="00EC327A" w:rsidP="00A76F4A">
      <w:pPr>
        <w:ind w:right="12"/>
        <w:jc w:val="both"/>
      </w:pPr>
    </w:p>
    <w:p w:rsidR="00CC4953" w:rsidRDefault="00CC4953" w:rsidP="00A76F4A">
      <w:pPr>
        <w:ind w:right="12"/>
        <w:jc w:val="both"/>
      </w:pPr>
      <w:r w:rsidRPr="00026F2D">
        <w:t>Sur la base des résultats du suivi, toutes les mesures correctives et préventives nécessaires seront identifiées et intégrées dans un PEES modifié ou dans l'outil de gestion pertinent, d'une manière acceptable pour la Banque. Les mesures correctives et préventives seront mises en œuvre et convenues conformément à le PEES modifié ou l'outil de gestion pertinent et surveillera et rendra compte de ces actions.</w:t>
      </w:r>
    </w:p>
    <w:p w:rsidR="006920E0" w:rsidRDefault="006920E0" w:rsidP="00640A85">
      <w:pPr>
        <w:autoSpaceDE w:val="0"/>
        <w:autoSpaceDN w:val="0"/>
        <w:adjustRightInd w:val="0"/>
        <w:ind w:right="12"/>
        <w:jc w:val="both"/>
        <w:rPr>
          <w:sz w:val="22"/>
          <w:szCs w:val="22"/>
          <w:lang w:val="fr"/>
        </w:rPr>
      </w:pPr>
    </w:p>
    <w:p w:rsidR="00181A38" w:rsidRPr="00D47C37" w:rsidRDefault="00181A38" w:rsidP="00A76F4A">
      <w:pPr>
        <w:autoSpaceDE w:val="0"/>
        <w:autoSpaceDN w:val="0"/>
        <w:adjustRightInd w:val="0"/>
        <w:ind w:left="-284" w:right="12"/>
        <w:jc w:val="both"/>
        <w:rPr>
          <w:b/>
          <w:bCs/>
          <w:sz w:val="22"/>
          <w:szCs w:val="22"/>
          <w:lang w:val="fr"/>
        </w:rPr>
      </w:pPr>
      <w:r w:rsidRPr="00D47C37">
        <w:rPr>
          <w:b/>
          <w:bCs/>
          <w:sz w:val="22"/>
          <w:szCs w:val="22"/>
          <w:lang w:val="fr"/>
        </w:rPr>
        <w:t>Notification des incidents</w:t>
      </w:r>
    </w:p>
    <w:p w:rsidR="00181A38" w:rsidRDefault="00181A38" w:rsidP="00A76F4A">
      <w:pPr>
        <w:autoSpaceDE w:val="0"/>
        <w:autoSpaceDN w:val="0"/>
        <w:adjustRightInd w:val="0"/>
        <w:ind w:left="-284" w:right="12"/>
        <w:jc w:val="both"/>
        <w:rPr>
          <w:sz w:val="22"/>
          <w:szCs w:val="22"/>
          <w:lang w:val="fr"/>
        </w:rPr>
      </w:pPr>
    </w:p>
    <w:p w:rsidR="00F6666D" w:rsidRPr="00026F2D" w:rsidRDefault="00910AB7" w:rsidP="00A76F4A">
      <w:pPr>
        <w:ind w:right="12"/>
        <w:jc w:val="both"/>
      </w:pPr>
      <w:r w:rsidRPr="00026F2D">
        <w:t xml:space="preserve">En cas d’incident </w:t>
      </w:r>
      <w:r w:rsidR="00266C22" w:rsidRPr="00026F2D">
        <w:t>susceptible d'avoir un effet négatif important sur l'environnement, les communautés touchées ou les travailleurs,</w:t>
      </w:r>
      <w:r w:rsidR="00F54553" w:rsidRPr="00026F2D">
        <w:t xml:space="preserve"> </w:t>
      </w:r>
      <w:r w:rsidR="00867896" w:rsidRPr="00026F2D">
        <w:t xml:space="preserve">le </w:t>
      </w:r>
      <w:r w:rsidR="00F54553" w:rsidRPr="00026F2D">
        <w:t xml:space="preserve">SSES est chargé informer le coordinateur du projet qui son tour </w:t>
      </w:r>
      <w:r w:rsidR="00F126AF" w:rsidRPr="00026F2D">
        <w:t>transmettra l’info à la Banque Mondiale.</w:t>
      </w:r>
      <w:r w:rsidR="00C75E66" w:rsidRPr="00026F2D">
        <w:t xml:space="preserve"> Cette notification fournira suffisamment de détails sur un tel incident ou accident, y compris les décès ou les blessures graves. </w:t>
      </w:r>
      <w:r w:rsidR="00C07C2F" w:rsidRPr="00026F2D">
        <w:t xml:space="preserve"> </w:t>
      </w:r>
      <w:r w:rsidR="00D73F44" w:rsidRPr="00026F2D">
        <w:t xml:space="preserve">Toute blessure grave (nécessitant des soins médicaux hors site) ou tout décès doit être signalé à la Banque dans les </w:t>
      </w:r>
      <w:r w:rsidR="00EC6861" w:rsidRPr="00026F2D">
        <w:t>24-</w:t>
      </w:r>
      <w:r w:rsidR="00D73F44" w:rsidRPr="00026F2D">
        <w:t xml:space="preserve">48 heures. </w:t>
      </w:r>
      <w:r w:rsidR="00C07C2F" w:rsidRPr="00026F2D">
        <w:t xml:space="preserve">Le </w:t>
      </w:r>
      <w:r w:rsidR="0060566C" w:rsidRPr="00026F2D">
        <w:t>projet prendra</w:t>
      </w:r>
      <w:r w:rsidR="004606FB" w:rsidRPr="00026F2D">
        <w:t xml:space="preserve"> des mesures immédiates pour faire face à l'incident ou à l'accident et pour éviter toute récidive, conformément à la législation nationale et aux NES</w:t>
      </w:r>
      <w:r w:rsidR="00723D8D" w:rsidRPr="00026F2D">
        <w:t>.</w:t>
      </w:r>
    </w:p>
    <w:p w:rsidR="0001075F" w:rsidRPr="00A05698" w:rsidRDefault="0001075F" w:rsidP="00A76F4A">
      <w:pPr>
        <w:autoSpaceDE w:val="0"/>
        <w:autoSpaceDN w:val="0"/>
        <w:adjustRightInd w:val="0"/>
        <w:ind w:left="-284" w:right="12"/>
        <w:jc w:val="both"/>
        <w:rPr>
          <w:sz w:val="22"/>
          <w:szCs w:val="22"/>
        </w:rPr>
      </w:pPr>
    </w:p>
    <w:p w:rsidR="00685FF4" w:rsidRDefault="0003666F"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337" w:name="_Toc55460169"/>
      <w:bookmarkStart w:id="338" w:name="_Toc55465562"/>
      <w:bookmarkStart w:id="339" w:name="_Toc75432313"/>
      <w:r w:rsidRPr="00A05698">
        <w:rPr>
          <w:rFonts w:ascii="Times New Roman" w:hAnsi="Times New Roman"/>
          <w:b/>
          <w:bCs/>
          <w:sz w:val="24"/>
          <w:szCs w:val="24"/>
        </w:rPr>
        <w:t>LES INDICATEURS DE SUIVI DU PROCESSUS DE MISE EN ŒUVRE</w:t>
      </w:r>
      <w:bookmarkEnd w:id="337"/>
      <w:bookmarkEnd w:id="338"/>
      <w:r>
        <w:rPr>
          <w:rFonts w:ascii="Times New Roman" w:hAnsi="Times New Roman"/>
          <w:b/>
          <w:bCs/>
          <w:sz w:val="24"/>
          <w:szCs w:val="24"/>
        </w:rPr>
        <w:t xml:space="preserve"> DU PROJET</w:t>
      </w:r>
      <w:bookmarkEnd w:id="339"/>
    </w:p>
    <w:p w:rsidR="001546F2" w:rsidRPr="00A05698" w:rsidRDefault="001546F2" w:rsidP="001546F2">
      <w:pPr>
        <w:pStyle w:val="PargrafodaLista"/>
        <w:spacing w:after="120" w:line="240" w:lineRule="auto"/>
        <w:ind w:left="1440" w:right="12"/>
        <w:outlineLvl w:val="1"/>
        <w:rPr>
          <w:rFonts w:ascii="Times New Roman" w:hAnsi="Times New Roman"/>
          <w:b/>
          <w:bCs/>
          <w:sz w:val="24"/>
          <w:szCs w:val="24"/>
        </w:rPr>
      </w:pPr>
    </w:p>
    <w:p w:rsidR="001546F2" w:rsidRPr="001546F2" w:rsidRDefault="001546F2" w:rsidP="001546F2">
      <w:pPr>
        <w:pStyle w:val="PargrafodaLista"/>
        <w:keepNext/>
        <w:numPr>
          <w:ilvl w:val="0"/>
          <w:numId w:val="104"/>
        </w:numPr>
        <w:tabs>
          <w:tab w:val="left" w:pos="284"/>
          <w:tab w:val="left" w:pos="426"/>
        </w:tabs>
        <w:jc w:val="both"/>
        <w:outlineLvl w:val="3"/>
        <w:rPr>
          <w:b/>
          <w:i/>
          <w:sz w:val="24"/>
          <w:szCs w:val="24"/>
        </w:rPr>
      </w:pPr>
      <w:bookmarkStart w:id="340" w:name="_Toc414259909"/>
      <w:bookmarkStart w:id="341" w:name="_Toc414260179"/>
      <w:bookmarkStart w:id="342" w:name="_Toc414262928"/>
      <w:bookmarkStart w:id="343" w:name="_Toc414263067"/>
      <w:r w:rsidRPr="001546F2">
        <w:rPr>
          <w:b/>
          <w:i/>
          <w:sz w:val="24"/>
          <w:szCs w:val="24"/>
        </w:rPr>
        <w:t>Le suivi "interne" par l’expert environnement du projet</w:t>
      </w:r>
      <w:bookmarkEnd w:id="340"/>
      <w:bookmarkEnd w:id="341"/>
      <w:bookmarkEnd w:id="342"/>
      <w:bookmarkEnd w:id="343"/>
    </w:p>
    <w:p w:rsidR="00E63761" w:rsidRPr="00026F2D" w:rsidRDefault="00E63761" w:rsidP="00A76F4A">
      <w:pPr>
        <w:ind w:right="12"/>
        <w:jc w:val="both"/>
      </w:pPr>
      <w:r w:rsidRPr="00026F2D">
        <w:t>Ces indicateurs servent à apprécier le niveau de mise en œuvre du CGES sur :</w:t>
      </w:r>
    </w:p>
    <w:p w:rsidR="008C12DE" w:rsidRPr="004D1BD0" w:rsidRDefault="008C12DE" w:rsidP="00A76F4A">
      <w:pPr>
        <w:autoSpaceDE w:val="0"/>
        <w:autoSpaceDN w:val="0"/>
        <w:adjustRightInd w:val="0"/>
        <w:ind w:left="-284" w:right="12"/>
        <w:jc w:val="both"/>
      </w:pPr>
    </w:p>
    <w:p w:rsidR="00685FF4" w:rsidRPr="00640A85" w:rsidRDefault="00685FF4" w:rsidP="00A76F4A">
      <w:pPr>
        <w:numPr>
          <w:ilvl w:val="0"/>
          <w:numId w:val="72"/>
        </w:numPr>
        <w:ind w:left="709" w:right="12" w:hanging="284"/>
        <w:jc w:val="both"/>
        <w:rPr>
          <w:rFonts w:eastAsia="Calibri"/>
        </w:rPr>
      </w:pPr>
      <w:r w:rsidRPr="00640A85">
        <w:rPr>
          <w:rFonts w:eastAsia="Calibri"/>
        </w:rPr>
        <w:t xml:space="preserve">Le recrutement d'un expert consultant environnemental intervenant </w:t>
      </w:r>
      <w:r w:rsidR="00062E84" w:rsidRPr="00640A85">
        <w:rPr>
          <w:rFonts w:eastAsia="Calibri"/>
        </w:rPr>
        <w:t>au sein de l'unité de coordination</w:t>
      </w:r>
      <w:r w:rsidRPr="00640A85">
        <w:rPr>
          <w:rFonts w:eastAsia="Calibri"/>
        </w:rPr>
        <w:t xml:space="preserve"> de projet et qui serait responsable du suivi environnemental ; </w:t>
      </w:r>
    </w:p>
    <w:p w:rsidR="00685FF4" w:rsidRPr="00640A85" w:rsidRDefault="00685FF4" w:rsidP="00A76F4A">
      <w:pPr>
        <w:numPr>
          <w:ilvl w:val="0"/>
          <w:numId w:val="72"/>
        </w:numPr>
        <w:ind w:left="709" w:right="12" w:hanging="284"/>
        <w:jc w:val="both"/>
        <w:rPr>
          <w:rFonts w:eastAsia="Calibri"/>
        </w:rPr>
      </w:pPr>
      <w:r w:rsidRPr="00640A85">
        <w:rPr>
          <w:rFonts w:eastAsia="Calibri"/>
        </w:rPr>
        <w:t>La désignation de Points Focaux environne</w:t>
      </w:r>
      <w:r w:rsidR="00081D6F" w:rsidRPr="00640A85">
        <w:rPr>
          <w:rFonts w:eastAsia="Calibri"/>
        </w:rPr>
        <w:t xml:space="preserve">ment et social rattachés au </w:t>
      </w:r>
      <w:r w:rsidR="00794D9A" w:rsidRPr="00640A85">
        <w:rPr>
          <w:rFonts w:eastAsia="Calibri"/>
        </w:rPr>
        <w:t>Ministère</w:t>
      </w:r>
      <w:r w:rsidR="00081D6F" w:rsidRPr="00640A85">
        <w:rPr>
          <w:rFonts w:eastAsia="Calibri"/>
        </w:rPr>
        <w:t xml:space="preserve"> de l’environnement</w:t>
      </w:r>
      <w:r w:rsidRPr="00640A85">
        <w:rPr>
          <w:rFonts w:eastAsia="Calibri"/>
        </w:rPr>
        <w:t xml:space="preserve"> </w:t>
      </w:r>
      <w:r w:rsidR="005C32FE" w:rsidRPr="00640A85">
        <w:rPr>
          <w:rFonts w:eastAsia="Calibri"/>
        </w:rPr>
        <w:t>(AAAC</w:t>
      </w:r>
      <w:r w:rsidRPr="00640A85">
        <w:rPr>
          <w:rFonts w:eastAsia="Calibri"/>
        </w:rPr>
        <w:t>)</w:t>
      </w:r>
    </w:p>
    <w:p w:rsidR="00685FF4" w:rsidRPr="00640A85" w:rsidRDefault="00685FF4" w:rsidP="00A76F4A">
      <w:pPr>
        <w:numPr>
          <w:ilvl w:val="0"/>
          <w:numId w:val="72"/>
        </w:numPr>
        <w:ind w:left="709" w:right="12" w:hanging="284"/>
        <w:jc w:val="both"/>
        <w:rPr>
          <w:rFonts w:eastAsia="Calibri"/>
        </w:rPr>
      </w:pPr>
      <w:r w:rsidRPr="00640A85">
        <w:rPr>
          <w:rFonts w:eastAsia="Calibri"/>
        </w:rPr>
        <w:lastRenderedPageBreak/>
        <w:t xml:space="preserve">L’effectivité des évaluations environnementales dans la mise en œuvre des activités du projet </w:t>
      </w:r>
    </w:p>
    <w:p w:rsidR="00685FF4" w:rsidRPr="00640A85" w:rsidRDefault="00685FF4" w:rsidP="00A76F4A">
      <w:pPr>
        <w:numPr>
          <w:ilvl w:val="0"/>
          <w:numId w:val="72"/>
        </w:numPr>
        <w:ind w:left="709" w:right="12" w:hanging="284"/>
        <w:jc w:val="both"/>
        <w:rPr>
          <w:rFonts w:eastAsia="Calibri"/>
        </w:rPr>
      </w:pPr>
      <w:r w:rsidRPr="00640A85">
        <w:rPr>
          <w:rFonts w:eastAsia="Calibri"/>
        </w:rPr>
        <w:t xml:space="preserve">La mise en œuvre des programmes de renforcement des capacités </w:t>
      </w:r>
    </w:p>
    <w:p w:rsidR="00685FF4" w:rsidRPr="00640A85" w:rsidRDefault="00685FF4" w:rsidP="00A76F4A">
      <w:pPr>
        <w:numPr>
          <w:ilvl w:val="0"/>
          <w:numId w:val="72"/>
        </w:numPr>
        <w:ind w:left="709" w:right="12" w:hanging="284"/>
        <w:jc w:val="both"/>
        <w:rPr>
          <w:rFonts w:eastAsia="Calibri"/>
        </w:rPr>
      </w:pPr>
      <w:r w:rsidRPr="00640A85">
        <w:rPr>
          <w:rFonts w:eastAsia="Calibri"/>
        </w:rPr>
        <w:t>L’effectivité de la coordination et du suivi environnemental et social.</w:t>
      </w:r>
    </w:p>
    <w:p w:rsidR="00626ADC" w:rsidRPr="00640A85" w:rsidRDefault="00626ADC" w:rsidP="00A76F4A">
      <w:pPr>
        <w:numPr>
          <w:ilvl w:val="0"/>
          <w:numId w:val="72"/>
        </w:numPr>
        <w:ind w:left="709" w:right="12" w:hanging="284"/>
        <w:jc w:val="both"/>
        <w:rPr>
          <w:rFonts w:eastAsia="Calibri"/>
        </w:rPr>
      </w:pPr>
      <w:r w:rsidRPr="00640A85">
        <w:rPr>
          <w:rFonts w:eastAsia="Calibri"/>
        </w:rPr>
        <w:t>Nombre d’accidents liés au non-respect des mesures de sécurité</w:t>
      </w:r>
    </w:p>
    <w:p w:rsidR="00F43160" w:rsidRDefault="00F43160" w:rsidP="00A76F4A">
      <w:pPr>
        <w:autoSpaceDE w:val="0"/>
        <w:autoSpaceDN w:val="0"/>
        <w:adjustRightInd w:val="0"/>
        <w:ind w:left="-284" w:right="12"/>
        <w:jc w:val="both"/>
      </w:pPr>
    </w:p>
    <w:p w:rsidR="00F43160" w:rsidRDefault="00F43160" w:rsidP="00A76F4A">
      <w:pPr>
        <w:ind w:right="12"/>
        <w:jc w:val="both"/>
      </w:pPr>
      <w:r w:rsidRPr="00F43160">
        <w:t>Ces indicateurs seront suivis au niveau interne par le SSES du projet qui devra effectuer régulièrement l’évaluation de la mise en œuvre de ces différents indicateurs cités ci-dessous dans le tableau avant, pendant et après la mise en œuvre du projet PUSA.</w:t>
      </w:r>
    </w:p>
    <w:p w:rsidR="001546F2" w:rsidRDefault="001546F2" w:rsidP="00A76F4A">
      <w:pPr>
        <w:ind w:right="12"/>
        <w:jc w:val="both"/>
      </w:pPr>
    </w:p>
    <w:p w:rsidR="00305B16" w:rsidRPr="00305B16" w:rsidRDefault="001546F2" w:rsidP="00305B16">
      <w:pPr>
        <w:pStyle w:val="PargrafodaLista"/>
        <w:keepNext/>
        <w:numPr>
          <w:ilvl w:val="0"/>
          <w:numId w:val="104"/>
        </w:numPr>
        <w:tabs>
          <w:tab w:val="left" w:pos="284"/>
          <w:tab w:val="left" w:pos="426"/>
        </w:tabs>
        <w:jc w:val="both"/>
        <w:outlineLvl w:val="3"/>
        <w:rPr>
          <w:b/>
          <w:i/>
          <w:sz w:val="24"/>
          <w:szCs w:val="24"/>
        </w:rPr>
      </w:pPr>
      <w:bookmarkStart w:id="344" w:name="_Toc414259910"/>
      <w:bookmarkStart w:id="345" w:name="_Toc414260180"/>
      <w:bookmarkStart w:id="346" w:name="_Toc414262929"/>
      <w:bookmarkStart w:id="347" w:name="_Toc414263068"/>
      <w:r w:rsidRPr="00305B16">
        <w:rPr>
          <w:b/>
          <w:i/>
          <w:sz w:val="24"/>
          <w:szCs w:val="24"/>
        </w:rPr>
        <w:t xml:space="preserve">Le suivi "externe" </w:t>
      </w:r>
    </w:p>
    <w:p w:rsidR="001546F2" w:rsidRPr="001546F2" w:rsidRDefault="00305B16" w:rsidP="00305B16">
      <w:pPr>
        <w:jc w:val="both"/>
      </w:pPr>
      <w:r>
        <w:t xml:space="preserve">IL </w:t>
      </w:r>
      <w:r w:rsidR="001546F2" w:rsidRPr="001546F2">
        <w:t>est une activité d’observations et de mesures à court, moyen et long terme qui vise à déterminer les impacts réels les plus préoccupants du projet comparativement aux pronostics d'impacts réalisés lors de l'étude d'</w:t>
      </w:r>
      <w:r>
        <w:t>A</w:t>
      </w:r>
      <w:r w:rsidR="007B546B">
        <w:t xml:space="preserve">EI </w:t>
      </w:r>
      <w:r w:rsidR="001546F2" w:rsidRPr="001546F2">
        <w:t>afin de pouvoir apporter, le cas échéant, les correctifs nécessaires aux mesures d’atténuation préconisées.</w:t>
      </w:r>
    </w:p>
    <w:p w:rsidR="001546F2" w:rsidRDefault="001546F2" w:rsidP="001546F2">
      <w:r w:rsidRPr="001546F2">
        <w:t xml:space="preserve">Il est assuré par les institutions disposant d'un protocole d'intervention dans le cadre du projet sont : AAAC, CSE, DGA, DVP, SRH, les Chambres de </w:t>
      </w:r>
      <w:bookmarkEnd w:id="344"/>
      <w:bookmarkEnd w:id="345"/>
      <w:bookmarkEnd w:id="346"/>
      <w:bookmarkEnd w:id="347"/>
      <w:r w:rsidRPr="001546F2">
        <w:t>Commerce, la direction des eaux et forêts, l’inspection du travail, les services de santé, les chefs de secteur, etc.</w:t>
      </w:r>
    </w:p>
    <w:p w:rsidR="007B546B" w:rsidRPr="001546F2" w:rsidRDefault="007B546B" w:rsidP="001546F2"/>
    <w:p w:rsidR="00726900" w:rsidRDefault="001546F2" w:rsidP="007B546B">
      <w:r w:rsidRPr="001546F2">
        <w:t>Dans le cadre des appuis institutionnels et des renforcements des capacités, il est recommandé de prévoir des moyens (logistiques et techniques) aux différents acteurs qui interviendront pour le suivi.</w:t>
      </w:r>
    </w:p>
    <w:p w:rsidR="00A80494" w:rsidRPr="00844462" w:rsidRDefault="00014AFD" w:rsidP="00A76F4A">
      <w:pPr>
        <w:pStyle w:val="Primeiroavanodecorpodetexto2"/>
        <w:spacing w:after="0" w:line="240" w:lineRule="auto"/>
        <w:ind w:right="12"/>
        <w:jc w:val="center"/>
        <w:rPr>
          <w:b/>
          <w:bCs/>
          <w:sz w:val="20"/>
          <w:szCs w:val="20"/>
        </w:rPr>
      </w:pPr>
      <w:bookmarkStart w:id="348" w:name="_Toc75503454"/>
      <w:bookmarkStart w:id="349" w:name="_Toc385976599"/>
      <w:bookmarkStart w:id="350" w:name="_Toc424233908"/>
      <w:bookmarkStart w:id="351" w:name="_Toc424236287"/>
      <w:bookmarkStart w:id="352" w:name="_Toc11189476"/>
      <w:r w:rsidRPr="00844462">
        <w:rPr>
          <w:rFonts w:ascii="Times New Roman" w:hAnsi="Times New Roman"/>
          <w:b/>
          <w:sz w:val="20"/>
          <w:szCs w:val="20"/>
        </w:rPr>
        <w:t xml:space="preserve">Tableau </w:t>
      </w:r>
      <w:r w:rsidRPr="00844462">
        <w:rPr>
          <w:rFonts w:ascii="Times New Roman" w:hAnsi="Times New Roman"/>
          <w:b/>
          <w:sz w:val="20"/>
          <w:szCs w:val="20"/>
        </w:rPr>
        <w:fldChar w:fldCharType="begin"/>
      </w:r>
      <w:r w:rsidRPr="00844462">
        <w:rPr>
          <w:rFonts w:ascii="Times New Roman" w:hAnsi="Times New Roman"/>
          <w:b/>
          <w:sz w:val="20"/>
          <w:szCs w:val="20"/>
        </w:rPr>
        <w:instrText xml:space="preserve"> </w:instrText>
      </w:r>
      <w:r w:rsidR="006C5620" w:rsidRPr="00844462">
        <w:rPr>
          <w:rFonts w:ascii="Times New Roman" w:hAnsi="Times New Roman"/>
          <w:b/>
          <w:sz w:val="20"/>
          <w:szCs w:val="20"/>
        </w:rPr>
        <w:instrText>SEQ</w:instrText>
      </w:r>
      <w:r w:rsidRPr="00844462">
        <w:rPr>
          <w:rFonts w:ascii="Times New Roman" w:hAnsi="Times New Roman"/>
          <w:b/>
          <w:sz w:val="20"/>
          <w:szCs w:val="20"/>
        </w:rPr>
        <w:instrText xml:space="preserve"> Tableau \* ARABIC </w:instrText>
      </w:r>
      <w:r w:rsidRPr="00844462">
        <w:rPr>
          <w:rFonts w:ascii="Times New Roman" w:hAnsi="Times New Roman"/>
          <w:b/>
          <w:sz w:val="20"/>
          <w:szCs w:val="20"/>
        </w:rPr>
        <w:fldChar w:fldCharType="separate"/>
      </w:r>
      <w:r w:rsidR="00BF042C" w:rsidRPr="00844462">
        <w:rPr>
          <w:rFonts w:ascii="Times New Roman" w:hAnsi="Times New Roman"/>
          <w:b/>
          <w:noProof/>
          <w:sz w:val="20"/>
          <w:szCs w:val="20"/>
        </w:rPr>
        <w:t>20</w:t>
      </w:r>
      <w:r w:rsidRPr="00844462">
        <w:rPr>
          <w:rFonts w:ascii="Times New Roman" w:hAnsi="Times New Roman"/>
          <w:b/>
          <w:sz w:val="20"/>
          <w:szCs w:val="20"/>
        </w:rPr>
        <w:fldChar w:fldCharType="end"/>
      </w:r>
      <w:r w:rsidR="00A80494" w:rsidRPr="00844462">
        <w:rPr>
          <w:rFonts w:ascii="Times New Roman" w:hAnsi="Times New Roman"/>
          <w:b/>
          <w:sz w:val="20"/>
          <w:szCs w:val="20"/>
        </w:rPr>
        <w:t xml:space="preserve">: </w:t>
      </w:r>
      <w:r w:rsidR="00BF561D" w:rsidRPr="00844462">
        <w:rPr>
          <w:rFonts w:ascii="Times New Roman" w:hAnsi="Times New Roman"/>
          <w:b/>
          <w:bCs/>
          <w:sz w:val="20"/>
          <w:szCs w:val="20"/>
          <w:lang w:val="fr-BE"/>
        </w:rPr>
        <w:t>Indicateurs de suivi des mesures du PCGES</w:t>
      </w:r>
      <w:bookmarkEnd w:id="348"/>
      <w:r w:rsidR="00BF561D" w:rsidRPr="00844462" w:rsidDel="00403BA0">
        <w:rPr>
          <w:b/>
          <w:bCs/>
          <w:sz w:val="20"/>
          <w:szCs w:val="20"/>
        </w:rPr>
        <w:t xml:space="preserve"> </w:t>
      </w:r>
      <w:bookmarkEnd w:id="349"/>
      <w:bookmarkEnd w:id="350"/>
      <w:bookmarkEnd w:id="351"/>
      <w:bookmarkEnd w:id="352"/>
    </w:p>
    <w:tbl>
      <w:tblPr>
        <w:tblW w:w="557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3593"/>
        <w:gridCol w:w="4845"/>
      </w:tblGrid>
      <w:tr w:rsidR="00E770F3" w:rsidRPr="00E770F3" w:rsidTr="00E770F3">
        <w:trPr>
          <w:jc w:val="center"/>
        </w:trPr>
        <w:tc>
          <w:tcPr>
            <w:tcW w:w="930" w:type="pct"/>
            <w:tcBorders>
              <w:top w:val="nil"/>
            </w:tcBorders>
            <w:shd w:val="clear" w:color="auto" w:fill="E2EFD9" w:themeFill="accent6" w:themeFillTint="33"/>
            <w:vAlign w:val="center"/>
          </w:tcPr>
          <w:p w:rsidR="00C16BE6" w:rsidRPr="00E770F3" w:rsidRDefault="00C16BE6" w:rsidP="00A76F4A">
            <w:pPr>
              <w:ind w:right="12"/>
              <w:jc w:val="center"/>
              <w:rPr>
                <w:rFonts w:eastAsia="Times New Roman"/>
                <w:lang w:val="fr-BE" w:eastAsia="fr-BE"/>
              </w:rPr>
            </w:pPr>
            <w:r w:rsidRPr="00E770F3">
              <w:rPr>
                <w:rFonts w:eastAsia="Times New Roman"/>
                <w:b/>
                <w:bCs/>
                <w:lang w:val="fr-BE" w:eastAsia="fr-BE"/>
              </w:rPr>
              <w:t>Mesures</w:t>
            </w:r>
          </w:p>
        </w:tc>
        <w:tc>
          <w:tcPr>
            <w:tcW w:w="1733" w:type="pct"/>
            <w:tcBorders>
              <w:top w:val="nil"/>
            </w:tcBorders>
            <w:shd w:val="clear" w:color="auto" w:fill="E2EFD9" w:themeFill="accent6" w:themeFillTint="33"/>
            <w:vAlign w:val="center"/>
          </w:tcPr>
          <w:p w:rsidR="00C16BE6" w:rsidRPr="00E770F3" w:rsidRDefault="00C16BE6" w:rsidP="00A76F4A">
            <w:pPr>
              <w:ind w:right="12"/>
              <w:jc w:val="center"/>
              <w:rPr>
                <w:rFonts w:eastAsia="Times New Roman"/>
                <w:lang w:val="fr-BE" w:eastAsia="fr-BE"/>
              </w:rPr>
            </w:pPr>
            <w:r w:rsidRPr="00E770F3">
              <w:rPr>
                <w:rFonts w:eastAsia="Times New Roman"/>
                <w:b/>
                <w:bCs/>
                <w:lang w:val="fr-BE" w:eastAsia="fr-BE"/>
              </w:rPr>
              <w:t>Domaines d’intervention</w:t>
            </w:r>
          </w:p>
        </w:tc>
        <w:tc>
          <w:tcPr>
            <w:tcW w:w="2337" w:type="pct"/>
            <w:tcBorders>
              <w:top w:val="nil"/>
            </w:tcBorders>
            <w:shd w:val="clear" w:color="auto" w:fill="E2EFD9" w:themeFill="accent6" w:themeFillTint="33"/>
            <w:vAlign w:val="center"/>
          </w:tcPr>
          <w:p w:rsidR="00C16BE6" w:rsidRPr="00E770F3" w:rsidRDefault="00C16BE6" w:rsidP="00A76F4A">
            <w:pPr>
              <w:ind w:right="12"/>
              <w:jc w:val="center"/>
              <w:rPr>
                <w:rFonts w:eastAsia="Times New Roman"/>
                <w:lang w:val="fr-BE" w:eastAsia="fr-BE"/>
              </w:rPr>
            </w:pPr>
            <w:r w:rsidRPr="00E770F3">
              <w:rPr>
                <w:rFonts w:eastAsia="Times New Roman"/>
                <w:b/>
                <w:bCs/>
                <w:lang w:val="fr-BE" w:eastAsia="fr-BE"/>
              </w:rPr>
              <w:t>Indicateurs</w:t>
            </w:r>
          </w:p>
        </w:tc>
      </w:tr>
      <w:tr w:rsidR="00E770F3" w:rsidRPr="00E770F3" w:rsidTr="00E770F3">
        <w:trPr>
          <w:jc w:val="center"/>
        </w:trPr>
        <w:tc>
          <w:tcPr>
            <w:tcW w:w="930" w:type="pct"/>
            <w:vAlign w:val="center"/>
          </w:tcPr>
          <w:p w:rsidR="00C16BE6" w:rsidRPr="00E770F3" w:rsidRDefault="00C16BE6" w:rsidP="00A76F4A">
            <w:pPr>
              <w:autoSpaceDE w:val="0"/>
              <w:autoSpaceDN w:val="0"/>
              <w:adjustRightInd w:val="0"/>
              <w:ind w:right="12"/>
              <w:jc w:val="both"/>
              <w:rPr>
                <w:rFonts w:eastAsia="Times New Roman"/>
                <w:lang w:val="fr-BE" w:eastAsia="fr-BE"/>
              </w:rPr>
            </w:pPr>
            <w:r w:rsidRPr="00E770F3">
              <w:rPr>
                <w:rFonts w:eastAsia="Times New Roman"/>
                <w:b/>
                <w:bCs/>
                <w:lang w:val="fr-BE" w:eastAsia="fr-BE"/>
              </w:rPr>
              <w:t>Mesures techniques (études)</w:t>
            </w:r>
          </w:p>
        </w:tc>
        <w:tc>
          <w:tcPr>
            <w:tcW w:w="1733" w:type="pct"/>
            <w:vAlign w:val="center"/>
          </w:tcPr>
          <w:p w:rsidR="00C16BE6" w:rsidRPr="00E770F3" w:rsidRDefault="00C16BE6" w:rsidP="00A76F4A">
            <w:pPr>
              <w:numPr>
                <w:ilvl w:val="0"/>
                <w:numId w:val="77"/>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 xml:space="preserve">Remplissage du formulaire de </w:t>
            </w:r>
            <w:r w:rsidR="00F50E38" w:rsidRPr="00E770F3">
              <w:rPr>
                <w:rFonts w:eastAsia="Times New Roman"/>
                <w:lang w:val="fr-BE" w:eastAsia="fr-BE"/>
              </w:rPr>
              <w:t>sélection</w:t>
            </w:r>
            <w:r w:rsidRPr="00E770F3">
              <w:rPr>
                <w:rFonts w:eastAsia="Times New Roman"/>
                <w:lang w:val="fr-BE" w:eastAsia="fr-BE"/>
              </w:rPr>
              <w:t xml:space="preserve"> socio-environnemental,</w:t>
            </w:r>
          </w:p>
          <w:p w:rsidR="00C16BE6" w:rsidRPr="00E770F3" w:rsidRDefault="00C16BE6" w:rsidP="00A76F4A">
            <w:pPr>
              <w:numPr>
                <w:ilvl w:val="0"/>
                <w:numId w:val="77"/>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Réalisation des AEI pour les sous-projets du PUSA,</w:t>
            </w:r>
          </w:p>
        </w:tc>
        <w:tc>
          <w:tcPr>
            <w:tcW w:w="2337" w:type="pct"/>
            <w:vAlign w:val="center"/>
          </w:tcPr>
          <w:p w:rsidR="00C16BE6" w:rsidRPr="00E770F3" w:rsidRDefault="00C16BE6" w:rsidP="00A76F4A">
            <w:pPr>
              <w:numPr>
                <w:ilvl w:val="0"/>
                <w:numId w:val="78"/>
              </w:numPr>
              <w:ind w:right="12"/>
              <w:rPr>
                <w:rFonts w:eastAsia="Times New Roman"/>
                <w:lang w:val="fr-BE" w:eastAsia="fr-BE"/>
              </w:rPr>
            </w:pPr>
            <w:r w:rsidRPr="00E770F3">
              <w:rPr>
                <w:rFonts w:eastAsia="Times New Roman"/>
                <w:lang w:val="fr-BE" w:eastAsia="fr-BE"/>
              </w:rPr>
              <w:t xml:space="preserve">Nombre de formation sur le remplissage du formulaire </w:t>
            </w:r>
          </w:p>
          <w:p w:rsidR="00C16BE6" w:rsidRPr="00E770F3" w:rsidRDefault="00C16BE6" w:rsidP="00A76F4A">
            <w:pPr>
              <w:numPr>
                <w:ilvl w:val="0"/>
                <w:numId w:val="78"/>
              </w:numPr>
              <w:ind w:right="12"/>
              <w:rPr>
                <w:rFonts w:eastAsia="Times New Roman"/>
                <w:lang w:val="fr-BE" w:eastAsia="fr-BE"/>
              </w:rPr>
            </w:pPr>
            <w:r w:rsidRPr="00E770F3">
              <w:rPr>
                <w:rFonts w:eastAsia="Times New Roman"/>
                <w:lang w:val="fr-BE" w:eastAsia="fr-BE"/>
              </w:rPr>
              <w:t xml:space="preserve">Remplissage du formulaire socio-environnemental est maitrisé par tous les acteurs, </w:t>
            </w:r>
          </w:p>
          <w:p w:rsidR="00C16BE6" w:rsidRPr="00E770F3" w:rsidRDefault="00C16BE6" w:rsidP="00A76F4A">
            <w:pPr>
              <w:numPr>
                <w:ilvl w:val="0"/>
                <w:numId w:val="78"/>
              </w:numPr>
              <w:ind w:right="12"/>
              <w:rPr>
                <w:rFonts w:eastAsia="Calibri"/>
              </w:rPr>
            </w:pPr>
            <w:r w:rsidRPr="00E770F3">
              <w:rPr>
                <w:rFonts w:eastAsia="Calibri"/>
              </w:rPr>
              <w:t>Le nombre de sous projet faisant l'objet d'une sélection environnementale</w:t>
            </w:r>
          </w:p>
          <w:p w:rsidR="00C16BE6" w:rsidRPr="00E770F3" w:rsidRDefault="00C16BE6" w:rsidP="00A76F4A">
            <w:pPr>
              <w:numPr>
                <w:ilvl w:val="0"/>
                <w:numId w:val="78"/>
              </w:numPr>
              <w:ind w:right="12"/>
              <w:rPr>
                <w:rFonts w:eastAsia="Calibri"/>
              </w:rPr>
            </w:pPr>
            <w:r w:rsidRPr="00E770F3">
              <w:rPr>
                <w:rFonts w:eastAsia="Calibri"/>
              </w:rPr>
              <w:t>Le nombre de sous-projet ayant fait l’objet d’une AEI mis en œuvre</w:t>
            </w:r>
          </w:p>
        </w:tc>
      </w:tr>
      <w:tr w:rsidR="00E770F3" w:rsidRPr="00E770F3" w:rsidTr="00E770F3">
        <w:trPr>
          <w:jc w:val="center"/>
        </w:trPr>
        <w:tc>
          <w:tcPr>
            <w:tcW w:w="930" w:type="pct"/>
            <w:vMerge w:val="restart"/>
            <w:vAlign w:val="center"/>
          </w:tcPr>
          <w:p w:rsidR="00C16BE6" w:rsidRPr="00E770F3" w:rsidRDefault="00C16BE6" w:rsidP="00A76F4A">
            <w:pPr>
              <w:autoSpaceDE w:val="0"/>
              <w:autoSpaceDN w:val="0"/>
              <w:adjustRightInd w:val="0"/>
              <w:ind w:right="12"/>
              <w:rPr>
                <w:rFonts w:eastAsia="Times New Roman"/>
                <w:lang w:val="fr-BE" w:eastAsia="fr-BE"/>
              </w:rPr>
            </w:pPr>
            <w:r w:rsidRPr="00E770F3">
              <w:rPr>
                <w:rFonts w:eastAsia="Times New Roman"/>
                <w:b/>
                <w:bCs/>
                <w:lang w:val="fr-BE" w:eastAsia="fr-BE"/>
              </w:rPr>
              <w:t>Mesures de suivi et d’évaluation des projets</w:t>
            </w:r>
          </w:p>
        </w:tc>
        <w:tc>
          <w:tcPr>
            <w:tcW w:w="1733" w:type="pct"/>
            <w:vAlign w:val="center"/>
          </w:tcPr>
          <w:p w:rsidR="00C16BE6" w:rsidRPr="00E770F3" w:rsidRDefault="00C16BE6" w:rsidP="00A76F4A">
            <w:pPr>
              <w:numPr>
                <w:ilvl w:val="0"/>
                <w:numId w:val="77"/>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Suivi socio-environnemental du PUSA (interne)</w:t>
            </w:r>
          </w:p>
          <w:p w:rsidR="00C16BE6" w:rsidRPr="00E770F3" w:rsidRDefault="00C16BE6" w:rsidP="00A76F4A">
            <w:pPr>
              <w:numPr>
                <w:ilvl w:val="0"/>
                <w:numId w:val="77"/>
              </w:numPr>
              <w:ind w:left="171" w:right="12" w:hanging="171"/>
              <w:jc w:val="both"/>
              <w:rPr>
                <w:rFonts w:eastAsia="Times New Roman"/>
                <w:lang w:val="fr-BE" w:eastAsia="fr-BE"/>
              </w:rPr>
            </w:pPr>
            <w:r w:rsidRPr="00E770F3">
              <w:rPr>
                <w:rFonts w:eastAsia="Times New Roman"/>
                <w:lang w:val="fr-BE" w:eastAsia="fr-BE"/>
              </w:rPr>
              <w:t>Surveillance socio-environnementale du projet PUSA</w:t>
            </w:r>
          </w:p>
        </w:tc>
        <w:tc>
          <w:tcPr>
            <w:tcW w:w="2337" w:type="pct"/>
            <w:vAlign w:val="center"/>
          </w:tcPr>
          <w:p w:rsidR="00C16BE6" w:rsidRPr="00E770F3" w:rsidRDefault="00C16BE6" w:rsidP="00A76F4A">
            <w:pPr>
              <w:numPr>
                <w:ilvl w:val="0"/>
                <w:numId w:val="78"/>
              </w:numPr>
              <w:ind w:right="12"/>
              <w:jc w:val="both"/>
              <w:rPr>
                <w:rFonts w:eastAsia="Times New Roman"/>
                <w:lang w:val="fr-BE" w:eastAsia="fr-BE"/>
              </w:rPr>
            </w:pPr>
            <w:r w:rsidRPr="00E770F3">
              <w:rPr>
                <w:rFonts w:eastAsia="Times New Roman"/>
                <w:lang w:val="fr-BE" w:eastAsia="fr-BE"/>
              </w:rPr>
              <w:t>Nombre de missions d’inspection réalisées par chaque secteur technique par semestre</w:t>
            </w:r>
          </w:p>
          <w:p w:rsidR="00C16BE6" w:rsidRPr="00E770F3" w:rsidRDefault="00C16BE6" w:rsidP="00A76F4A">
            <w:pPr>
              <w:numPr>
                <w:ilvl w:val="0"/>
                <w:numId w:val="78"/>
              </w:numPr>
              <w:ind w:right="12"/>
              <w:jc w:val="both"/>
              <w:rPr>
                <w:rFonts w:eastAsia="Calibri"/>
              </w:rPr>
            </w:pPr>
            <w:r w:rsidRPr="00E770F3">
              <w:rPr>
                <w:rFonts w:eastAsia="Times New Roman"/>
                <w:lang w:val="fr-BE" w:eastAsia="fr-BE"/>
              </w:rPr>
              <w:t xml:space="preserve">Nombre de visites de terrain réalisées par trimestre </w:t>
            </w:r>
          </w:p>
          <w:p w:rsidR="00C16BE6" w:rsidRPr="00E770F3" w:rsidRDefault="00C16BE6" w:rsidP="00A76F4A">
            <w:pPr>
              <w:numPr>
                <w:ilvl w:val="0"/>
                <w:numId w:val="78"/>
              </w:numPr>
              <w:ind w:right="12"/>
              <w:jc w:val="both"/>
              <w:rPr>
                <w:rFonts w:eastAsia="Calibri"/>
              </w:rPr>
            </w:pPr>
            <w:r w:rsidRPr="00E770F3">
              <w:rPr>
                <w:rFonts w:eastAsia="Calibri"/>
              </w:rPr>
              <w:t xml:space="preserve">Le niveau d’implication des collectivités et acteurs locaux dans le suivi des travaux </w:t>
            </w:r>
          </w:p>
          <w:p w:rsidR="00C16BE6" w:rsidRPr="00E770F3" w:rsidRDefault="00C16BE6" w:rsidP="00A76F4A">
            <w:pPr>
              <w:numPr>
                <w:ilvl w:val="0"/>
                <w:numId w:val="78"/>
              </w:numPr>
              <w:ind w:right="12"/>
              <w:jc w:val="both"/>
              <w:rPr>
                <w:rFonts w:eastAsia="Calibri"/>
              </w:rPr>
            </w:pPr>
            <w:r w:rsidRPr="00E770F3">
              <w:rPr>
                <w:rFonts w:eastAsia="Calibri"/>
              </w:rPr>
              <w:t>Le niveau de respects des mesures d’hygiène et de sécurité ;</w:t>
            </w:r>
          </w:p>
          <w:p w:rsidR="00C16BE6" w:rsidRPr="00E770F3" w:rsidRDefault="00C16BE6" w:rsidP="00A76F4A">
            <w:pPr>
              <w:numPr>
                <w:ilvl w:val="0"/>
                <w:numId w:val="78"/>
              </w:numPr>
              <w:ind w:right="12"/>
              <w:jc w:val="both"/>
              <w:rPr>
                <w:rFonts w:eastAsia="Calibri"/>
              </w:rPr>
            </w:pPr>
            <w:r w:rsidRPr="00E770F3">
              <w:rPr>
                <w:rFonts w:eastAsia="Calibri"/>
              </w:rPr>
              <w:t>Le % de plaintes d’EAS/HS reçues et référées aux services VBG</w:t>
            </w:r>
          </w:p>
          <w:p w:rsidR="00C16BE6" w:rsidRPr="00E770F3" w:rsidRDefault="00C16BE6" w:rsidP="00A76F4A">
            <w:pPr>
              <w:numPr>
                <w:ilvl w:val="0"/>
                <w:numId w:val="78"/>
              </w:numPr>
              <w:ind w:right="12"/>
              <w:jc w:val="both"/>
              <w:rPr>
                <w:rFonts w:eastAsia="Calibri"/>
              </w:rPr>
            </w:pPr>
            <w:r w:rsidRPr="00E770F3">
              <w:rPr>
                <w:rFonts w:eastAsia="Calibri"/>
              </w:rPr>
              <w:t>Le nombre d’accidents liés au non-respect des mesures de sécurité</w:t>
            </w:r>
          </w:p>
          <w:p w:rsidR="00C16BE6" w:rsidRPr="00E770F3" w:rsidRDefault="00C16BE6" w:rsidP="00A76F4A">
            <w:pPr>
              <w:numPr>
                <w:ilvl w:val="0"/>
                <w:numId w:val="78"/>
              </w:numPr>
              <w:ind w:right="12"/>
              <w:jc w:val="both"/>
              <w:rPr>
                <w:rFonts w:eastAsia="Calibri"/>
              </w:rPr>
            </w:pPr>
            <w:r w:rsidRPr="00E770F3">
              <w:rPr>
                <w:rFonts w:eastAsia="Calibri"/>
              </w:rPr>
              <w:t>La superficie reboisée après déboisement de sites d’emprise</w:t>
            </w:r>
          </w:p>
          <w:p w:rsidR="00C16BE6" w:rsidRPr="00E770F3" w:rsidRDefault="00C16BE6" w:rsidP="00A76F4A">
            <w:pPr>
              <w:numPr>
                <w:ilvl w:val="0"/>
                <w:numId w:val="78"/>
              </w:numPr>
              <w:ind w:right="12"/>
              <w:jc w:val="both"/>
              <w:rPr>
                <w:rFonts w:eastAsia="Calibri"/>
              </w:rPr>
            </w:pPr>
            <w:r w:rsidRPr="00E770F3">
              <w:rPr>
                <w:rFonts w:eastAsia="Calibri"/>
              </w:rPr>
              <w:t>Le nombre de personne affectées par les travaux ventilés par sexe ;</w:t>
            </w:r>
          </w:p>
        </w:tc>
      </w:tr>
      <w:tr w:rsidR="00E770F3" w:rsidRPr="00E770F3" w:rsidTr="00E770F3">
        <w:trPr>
          <w:jc w:val="center"/>
        </w:trPr>
        <w:tc>
          <w:tcPr>
            <w:tcW w:w="930" w:type="pct"/>
            <w:vMerge/>
            <w:vAlign w:val="center"/>
          </w:tcPr>
          <w:p w:rsidR="00C16BE6" w:rsidRPr="00E770F3" w:rsidRDefault="00C16BE6" w:rsidP="00A76F4A">
            <w:pPr>
              <w:autoSpaceDE w:val="0"/>
              <w:autoSpaceDN w:val="0"/>
              <w:adjustRightInd w:val="0"/>
              <w:ind w:right="12"/>
              <w:jc w:val="both"/>
              <w:rPr>
                <w:rFonts w:eastAsia="Times New Roman"/>
                <w:lang w:val="fr-BE" w:eastAsia="fr-BE"/>
              </w:rPr>
            </w:pPr>
          </w:p>
        </w:tc>
        <w:tc>
          <w:tcPr>
            <w:tcW w:w="1733" w:type="pct"/>
            <w:vAlign w:val="center"/>
          </w:tcPr>
          <w:p w:rsidR="00C16BE6" w:rsidRPr="00E770F3" w:rsidRDefault="00C16BE6" w:rsidP="00A76F4A">
            <w:pPr>
              <w:numPr>
                <w:ilvl w:val="0"/>
                <w:numId w:val="77"/>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Appui technique dans l’identification des priorités et la préparation des sous – projets</w:t>
            </w:r>
          </w:p>
        </w:tc>
        <w:tc>
          <w:tcPr>
            <w:tcW w:w="2337" w:type="pct"/>
            <w:vAlign w:val="center"/>
          </w:tcPr>
          <w:p w:rsidR="00C16BE6" w:rsidRPr="00E770F3" w:rsidRDefault="00C16BE6" w:rsidP="00A76F4A">
            <w:pPr>
              <w:numPr>
                <w:ilvl w:val="0"/>
                <w:numId w:val="78"/>
              </w:numPr>
              <w:autoSpaceDE w:val="0"/>
              <w:autoSpaceDN w:val="0"/>
              <w:adjustRightInd w:val="0"/>
              <w:ind w:left="196" w:right="12" w:hanging="196"/>
              <w:jc w:val="both"/>
              <w:rPr>
                <w:rFonts w:eastAsia="Times New Roman"/>
                <w:lang w:val="fr-BE" w:eastAsia="fr-BE"/>
              </w:rPr>
            </w:pPr>
            <w:r w:rsidRPr="00E770F3">
              <w:rPr>
                <w:rFonts w:eastAsia="Times New Roman"/>
                <w:lang w:val="fr-BE" w:eastAsia="fr-BE"/>
              </w:rPr>
              <w:t>% des sous –projets étudiés</w:t>
            </w:r>
          </w:p>
        </w:tc>
      </w:tr>
      <w:tr w:rsidR="00E770F3" w:rsidRPr="00E770F3" w:rsidTr="00E770F3">
        <w:trPr>
          <w:jc w:val="center"/>
        </w:trPr>
        <w:tc>
          <w:tcPr>
            <w:tcW w:w="930" w:type="pct"/>
            <w:vMerge/>
            <w:vAlign w:val="center"/>
          </w:tcPr>
          <w:p w:rsidR="00C16BE6" w:rsidRPr="00E770F3" w:rsidRDefault="00C16BE6" w:rsidP="00A76F4A">
            <w:pPr>
              <w:autoSpaceDE w:val="0"/>
              <w:autoSpaceDN w:val="0"/>
              <w:adjustRightInd w:val="0"/>
              <w:ind w:right="12"/>
              <w:jc w:val="both"/>
              <w:rPr>
                <w:rFonts w:eastAsia="Times New Roman"/>
                <w:b/>
                <w:bCs/>
                <w:lang w:val="fr-BE" w:eastAsia="fr-BE"/>
              </w:rPr>
            </w:pPr>
          </w:p>
        </w:tc>
        <w:tc>
          <w:tcPr>
            <w:tcW w:w="1733" w:type="pct"/>
            <w:vAlign w:val="center"/>
          </w:tcPr>
          <w:p w:rsidR="00C16BE6" w:rsidRPr="00E770F3" w:rsidRDefault="00C16BE6" w:rsidP="00A76F4A">
            <w:pPr>
              <w:numPr>
                <w:ilvl w:val="0"/>
                <w:numId w:val="77"/>
              </w:numPr>
              <w:ind w:left="171" w:right="12" w:hanging="171"/>
              <w:jc w:val="both"/>
              <w:rPr>
                <w:rFonts w:eastAsia="Times New Roman"/>
                <w:lang w:val="fr-BE" w:eastAsia="fr-BE"/>
              </w:rPr>
            </w:pPr>
            <w:r w:rsidRPr="00E770F3">
              <w:rPr>
                <w:rFonts w:eastAsia="Times New Roman"/>
                <w:lang w:val="fr-BE" w:eastAsia="fr-BE"/>
              </w:rPr>
              <w:t>Appui à l’organisation de consultations locales</w:t>
            </w:r>
          </w:p>
        </w:tc>
        <w:tc>
          <w:tcPr>
            <w:tcW w:w="2337" w:type="pct"/>
            <w:vAlign w:val="center"/>
          </w:tcPr>
          <w:p w:rsidR="00C16BE6" w:rsidRPr="00E770F3" w:rsidRDefault="00C16BE6" w:rsidP="00A76F4A">
            <w:pPr>
              <w:numPr>
                <w:ilvl w:val="0"/>
                <w:numId w:val="78"/>
              </w:numPr>
              <w:autoSpaceDE w:val="0"/>
              <w:autoSpaceDN w:val="0"/>
              <w:adjustRightInd w:val="0"/>
              <w:ind w:left="196" w:right="12" w:hanging="196"/>
              <w:jc w:val="both"/>
              <w:rPr>
                <w:rFonts w:eastAsia="Times New Roman"/>
                <w:lang w:val="fr-BE" w:eastAsia="fr-BE"/>
              </w:rPr>
            </w:pPr>
            <w:r w:rsidRPr="00E770F3">
              <w:rPr>
                <w:rFonts w:eastAsia="Times New Roman"/>
                <w:lang w:val="fr-BE" w:eastAsia="fr-BE"/>
              </w:rPr>
              <w:t>Nombre de consultations organisés par commune</w:t>
            </w:r>
          </w:p>
        </w:tc>
      </w:tr>
      <w:tr w:rsidR="00E770F3" w:rsidRPr="00E770F3" w:rsidTr="00E770F3">
        <w:trPr>
          <w:jc w:val="center"/>
        </w:trPr>
        <w:tc>
          <w:tcPr>
            <w:tcW w:w="930" w:type="pct"/>
            <w:vAlign w:val="center"/>
          </w:tcPr>
          <w:p w:rsidR="00C16BE6" w:rsidRPr="00E770F3" w:rsidRDefault="00C16BE6" w:rsidP="00A76F4A">
            <w:pPr>
              <w:ind w:right="12"/>
              <w:jc w:val="both"/>
              <w:rPr>
                <w:rFonts w:eastAsia="Times New Roman"/>
                <w:lang w:val="fr-BE" w:eastAsia="fr-BE"/>
              </w:rPr>
            </w:pPr>
            <w:r w:rsidRPr="00E770F3">
              <w:rPr>
                <w:rFonts w:eastAsia="Times New Roman"/>
                <w:b/>
                <w:bCs/>
                <w:lang w:val="fr-BE" w:eastAsia="fr-BE"/>
              </w:rPr>
              <w:t>Formation</w:t>
            </w:r>
          </w:p>
        </w:tc>
        <w:tc>
          <w:tcPr>
            <w:tcW w:w="1733" w:type="pct"/>
            <w:vAlign w:val="center"/>
          </w:tcPr>
          <w:p w:rsidR="00C16BE6" w:rsidRPr="00E770F3" w:rsidRDefault="00C16BE6" w:rsidP="00A76F4A">
            <w:pPr>
              <w:numPr>
                <w:ilvl w:val="0"/>
                <w:numId w:val="76"/>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Évaluation environnementale et sociale des sous-projets</w:t>
            </w:r>
          </w:p>
          <w:p w:rsidR="00C16BE6" w:rsidRPr="00E770F3" w:rsidRDefault="00C16BE6" w:rsidP="00A76F4A">
            <w:pPr>
              <w:numPr>
                <w:ilvl w:val="0"/>
                <w:numId w:val="76"/>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Suivi et Exécution des mesures socio-environnementales</w:t>
            </w:r>
          </w:p>
        </w:tc>
        <w:tc>
          <w:tcPr>
            <w:tcW w:w="2337" w:type="pct"/>
            <w:vAlign w:val="center"/>
          </w:tcPr>
          <w:p w:rsidR="00C16BE6" w:rsidRPr="00E770F3" w:rsidRDefault="00C16BE6" w:rsidP="00A76F4A">
            <w:pPr>
              <w:numPr>
                <w:ilvl w:val="0"/>
                <w:numId w:val="78"/>
              </w:numPr>
              <w:autoSpaceDE w:val="0"/>
              <w:autoSpaceDN w:val="0"/>
              <w:adjustRightInd w:val="0"/>
              <w:ind w:left="196" w:right="12" w:hanging="196"/>
              <w:jc w:val="both"/>
              <w:rPr>
                <w:rFonts w:eastAsia="Times New Roman"/>
                <w:lang w:val="fr-BE" w:eastAsia="fr-BE"/>
              </w:rPr>
            </w:pPr>
            <w:r w:rsidRPr="00E770F3">
              <w:rPr>
                <w:rFonts w:eastAsia="Calibri"/>
              </w:rPr>
              <w:t>Organisation effective de l’encadrement et de la formation (nombre de structures et personnes formées, avec prise en compte du genre) ;</w:t>
            </w:r>
          </w:p>
          <w:p w:rsidR="00C16BE6" w:rsidRPr="00E770F3" w:rsidRDefault="00C16BE6" w:rsidP="00A76F4A">
            <w:pPr>
              <w:numPr>
                <w:ilvl w:val="0"/>
                <w:numId w:val="78"/>
              </w:numPr>
              <w:autoSpaceDE w:val="0"/>
              <w:autoSpaceDN w:val="0"/>
              <w:adjustRightInd w:val="0"/>
              <w:ind w:left="196" w:right="12" w:hanging="196"/>
              <w:jc w:val="both"/>
              <w:rPr>
                <w:rFonts w:eastAsia="Times New Roman"/>
                <w:lang w:val="fr-BE" w:eastAsia="fr-BE"/>
              </w:rPr>
            </w:pPr>
            <w:r w:rsidRPr="00E770F3">
              <w:rPr>
                <w:rFonts w:eastAsia="Times New Roman"/>
                <w:lang w:val="fr-BE" w:eastAsia="fr-BE"/>
              </w:rPr>
              <w:t>Modules élaborés effectivement dispensés</w:t>
            </w:r>
          </w:p>
          <w:p w:rsidR="00C16BE6" w:rsidRPr="00E770F3" w:rsidRDefault="00C16BE6" w:rsidP="00A76F4A">
            <w:pPr>
              <w:numPr>
                <w:ilvl w:val="0"/>
                <w:numId w:val="78"/>
              </w:numPr>
              <w:autoSpaceDE w:val="0"/>
              <w:autoSpaceDN w:val="0"/>
              <w:adjustRightInd w:val="0"/>
              <w:ind w:left="196" w:right="12" w:hanging="196"/>
              <w:jc w:val="both"/>
              <w:rPr>
                <w:rFonts w:eastAsia="Times New Roman"/>
                <w:lang w:val="fr-BE" w:eastAsia="fr-BE"/>
              </w:rPr>
            </w:pPr>
            <w:r w:rsidRPr="00E770F3">
              <w:rPr>
                <w:rFonts w:eastAsia="Times New Roman"/>
                <w:lang w:val="fr-BE" w:eastAsia="fr-BE"/>
              </w:rPr>
              <w:t>Adéquation des modules par rapport aux besoins identifiés</w:t>
            </w:r>
          </w:p>
          <w:p w:rsidR="00C16BE6" w:rsidRPr="00E770F3" w:rsidRDefault="00C16BE6" w:rsidP="00A76F4A">
            <w:pPr>
              <w:numPr>
                <w:ilvl w:val="0"/>
                <w:numId w:val="79"/>
              </w:numPr>
              <w:autoSpaceDE w:val="0"/>
              <w:autoSpaceDN w:val="0"/>
              <w:adjustRightInd w:val="0"/>
              <w:ind w:left="196" w:right="12" w:hanging="196"/>
              <w:rPr>
                <w:rFonts w:eastAsia="Times New Roman"/>
                <w:lang w:val="fr-CA" w:eastAsia="en-US"/>
              </w:rPr>
            </w:pPr>
            <w:r w:rsidRPr="00E770F3">
              <w:rPr>
                <w:rFonts w:eastAsia="Times New Roman"/>
                <w:lang w:val="fr-CA" w:eastAsia="en-US"/>
              </w:rPr>
              <w:t>Au moins une session de formation organisée par zone agro-écologique</w:t>
            </w:r>
          </w:p>
          <w:p w:rsidR="00C16BE6" w:rsidRPr="00E770F3" w:rsidRDefault="00C16BE6" w:rsidP="00A76F4A">
            <w:pPr>
              <w:numPr>
                <w:ilvl w:val="0"/>
                <w:numId w:val="78"/>
              </w:numPr>
              <w:autoSpaceDE w:val="0"/>
              <w:autoSpaceDN w:val="0"/>
              <w:adjustRightInd w:val="0"/>
              <w:ind w:left="196" w:right="12" w:hanging="196"/>
              <w:jc w:val="both"/>
              <w:rPr>
                <w:rFonts w:eastAsia="Times New Roman"/>
                <w:lang w:val="fr-BE" w:eastAsia="fr-BE"/>
              </w:rPr>
            </w:pPr>
            <w:r w:rsidRPr="00E770F3">
              <w:rPr>
                <w:rFonts w:eastAsia="Times New Roman"/>
                <w:lang w:val="fr-BE" w:eastAsia="fr-BE"/>
              </w:rPr>
              <w:t>Profil des personnels et acteurs formés</w:t>
            </w:r>
          </w:p>
        </w:tc>
      </w:tr>
      <w:tr w:rsidR="00E770F3" w:rsidRPr="00E770F3" w:rsidTr="00E770F3">
        <w:trPr>
          <w:jc w:val="center"/>
        </w:trPr>
        <w:tc>
          <w:tcPr>
            <w:tcW w:w="930" w:type="pct"/>
            <w:vAlign w:val="center"/>
          </w:tcPr>
          <w:p w:rsidR="00C16BE6" w:rsidRPr="00E770F3" w:rsidRDefault="00C16BE6" w:rsidP="00A76F4A">
            <w:pPr>
              <w:autoSpaceDE w:val="0"/>
              <w:autoSpaceDN w:val="0"/>
              <w:adjustRightInd w:val="0"/>
              <w:ind w:right="12"/>
              <w:jc w:val="both"/>
              <w:rPr>
                <w:rFonts w:eastAsia="Times New Roman"/>
                <w:b/>
                <w:bCs/>
                <w:lang w:val="fr-BE" w:eastAsia="fr-BE"/>
              </w:rPr>
            </w:pPr>
            <w:bookmarkStart w:id="353" w:name="_Hlk11189087"/>
            <w:r w:rsidRPr="00E770F3">
              <w:rPr>
                <w:rFonts w:eastAsia="Times New Roman"/>
                <w:b/>
                <w:bCs/>
                <w:lang w:val="fr-BE" w:eastAsia="fr-BE"/>
              </w:rPr>
              <w:t>Information Éducation Communication (IEC)</w:t>
            </w:r>
          </w:p>
          <w:bookmarkEnd w:id="353"/>
          <w:p w:rsidR="00C16BE6" w:rsidRPr="00E770F3" w:rsidRDefault="00C16BE6" w:rsidP="00A76F4A">
            <w:pPr>
              <w:ind w:right="12"/>
              <w:jc w:val="both"/>
              <w:rPr>
                <w:rFonts w:eastAsia="Times New Roman"/>
                <w:b/>
                <w:bCs/>
                <w:lang w:val="fr-BE" w:eastAsia="fr-BE"/>
              </w:rPr>
            </w:pPr>
            <w:r w:rsidRPr="00E770F3">
              <w:rPr>
                <w:rFonts w:eastAsia="Times New Roman"/>
                <w:b/>
                <w:bCs/>
                <w:lang w:val="fr-BE" w:eastAsia="fr-BE"/>
              </w:rPr>
              <w:t>Sensibilisation</w:t>
            </w:r>
          </w:p>
          <w:p w:rsidR="00C16BE6" w:rsidRPr="00E770F3" w:rsidRDefault="00C16BE6" w:rsidP="00A76F4A">
            <w:pPr>
              <w:ind w:right="12"/>
              <w:jc w:val="both"/>
              <w:rPr>
                <w:rFonts w:eastAsia="Times New Roman"/>
                <w:lang w:val="fr-BE" w:eastAsia="fr-BE"/>
              </w:rPr>
            </w:pPr>
            <w:r w:rsidRPr="00E770F3">
              <w:rPr>
                <w:rFonts w:eastAsia="Times New Roman"/>
                <w:b/>
                <w:bCs/>
                <w:lang w:val="fr-BE" w:eastAsia="fr-BE"/>
              </w:rPr>
              <w:t>Organisation</w:t>
            </w:r>
          </w:p>
        </w:tc>
        <w:tc>
          <w:tcPr>
            <w:tcW w:w="1733" w:type="pct"/>
            <w:vAlign w:val="center"/>
          </w:tcPr>
          <w:p w:rsidR="00C16BE6" w:rsidRPr="00E770F3" w:rsidRDefault="00C16BE6" w:rsidP="00A76F4A">
            <w:pPr>
              <w:numPr>
                <w:ilvl w:val="0"/>
                <w:numId w:val="75"/>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Sensibilisation sur les IST/VIH/SIDA et la pandémie de la Covid 19</w:t>
            </w:r>
          </w:p>
          <w:p w:rsidR="00C16BE6" w:rsidRPr="00E770F3" w:rsidRDefault="00C16BE6" w:rsidP="00A76F4A">
            <w:pPr>
              <w:numPr>
                <w:ilvl w:val="0"/>
                <w:numId w:val="75"/>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 xml:space="preserve">Sensibilisation et plaidoyer sur les enjeux environnementaux et sociaux des projets </w:t>
            </w:r>
          </w:p>
          <w:p w:rsidR="00C16BE6" w:rsidRPr="00E770F3" w:rsidRDefault="00C16BE6" w:rsidP="00A76F4A">
            <w:pPr>
              <w:numPr>
                <w:ilvl w:val="0"/>
                <w:numId w:val="75"/>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Campagne de communication et de sensibilisation sur le projet PUSA</w:t>
            </w:r>
          </w:p>
          <w:p w:rsidR="00C16BE6" w:rsidRPr="00E770F3" w:rsidRDefault="00C16BE6" w:rsidP="00A76F4A">
            <w:pPr>
              <w:numPr>
                <w:ilvl w:val="0"/>
                <w:numId w:val="75"/>
              </w:numPr>
              <w:autoSpaceDE w:val="0"/>
              <w:autoSpaceDN w:val="0"/>
              <w:adjustRightInd w:val="0"/>
              <w:ind w:left="171" w:right="12" w:hanging="171"/>
              <w:jc w:val="both"/>
              <w:rPr>
                <w:rFonts w:eastAsia="Times New Roman"/>
                <w:lang w:val="fr-BE" w:eastAsia="fr-BE"/>
              </w:rPr>
            </w:pPr>
            <w:r w:rsidRPr="00E770F3">
              <w:rPr>
                <w:rFonts w:eastAsia="Times New Roman"/>
                <w:lang w:val="fr-BE" w:eastAsia="fr-BE"/>
              </w:rPr>
              <w:t xml:space="preserve">Sensibilisation contre les </w:t>
            </w:r>
            <w:r w:rsidRPr="00E770F3">
              <w:t xml:space="preserve"> risques EAS / HS</w:t>
            </w:r>
          </w:p>
        </w:tc>
        <w:tc>
          <w:tcPr>
            <w:tcW w:w="2337" w:type="pct"/>
            <w:vAlign w:val="center"/>
          </w:tcPr>
          <w:p w:rsidR="00C16BE6" w:rsidRPr="00E770F3" w:rsidRDefault="00C16BE6" w:rsidP="00A76F4A">
            <w:pPr>
              <w:numPr>
                <w:ilvl w:val="0"/>
                <w:numId w:val="78"/>
              </w:numPr>
              <w:autoSpaceDE w:val="0"/>
              <w:autoSpaceDN w:val="0"/>
              <w:adjustRightInd w:val="0"/>
              <w:ind w:left="196" w:right="12" w:hanging="196"/>
              <w:jc w:val="both"/>
              <w:rPr>
                <w:rFonts w:eastAsia="Times New Roman"/>
                <w:lang w:val="fr-BE" w:eastAsia="fr-BE"/>
              </w:rPr>
            </w:pPr>
            <w:r w:rsidRPr="00E770F3">
              <w:rPr>
                <w:rFonts w:eastAsia="Times New Roman"/>
                <w:lang w:val="fr-BE" w:eastAsia="fr-BE"/>
              </w:rPr>
              <w:t xml:space="preserve">% des Opérateurs, des groupements de jeune et de femme, association, ONG sensibilisés </w:t>
            </w:r>
          </w:p>
          <w:p w:rsidR="00C16BE6" w:rsidRPr="00E770F3" w:rsidRDefault="00C16BE6" w:rsidP="00A76F4A">
            <w:pPr>
              <w:numPr>
                <w:ilvl w:val="0"/>
                <w:numId w:val="79"/>
              </w:numPr>
              <w:autoSpaceDE w:val="0"/>
              <w:autoSpaceDN w:val="0"/>
              <w:adjustRightInd w:val="0"/>
              <w:ind w:left="196" w:right="12" w:hanging="196"/>
              <w:rPr>
                <w:rFonts w:eastAsia="Times New Roman"/>
                <w:lang w:val="fr-CA" w:eastAsia="en-US"/>
              </w:rPr>
            </w:pPr>
            <w:r w:rsidRPr="00E770F3">
              <w:rPr>
                <w:rFonts w:eastAsia="Times New Roman"/>
                <w:lang w:val="fr-CA" w:eastAsia="en-US"/>
              </w:rPr>
              <w:t>Nombre de session de formation organisée par zone agro-écologique</w:t>
            </w:r>
          </w:p>
          <w:p w:rsidR="00C16BE6" w:rsidRPr="00E770F3" w:rsidRDefault="00C16BE6" w:rsidP="00A76F4A">
            <w:pPr>
              <w:numPr>
                <w:ilvl w:val="0"/>
                <w:numId w:val="78"/>
              </w:numPr>
              <w:autoSpaceDE w:val="0"/>
              <w:autoSpaceDN w:val="0"/>
              <w:adjustRightInd w:val="0"/>
              <w:ind w:left="196" w:right="12" w:hanging="196"/>
              <w:rPr>
                <w:rFonts w:eastAsia="Times New Roman"/>
                <w:lang w:val="fr-CA" w:eastAsia="en-US"/>
              </w:rPr>
            </w:pPr>
            <w:r w:rsidRPr="00E770F3">
              <w:rPr>
                <w:rFonts w:eastAsia="Times New Roman"/>
                <w:lang w:val="fr-CA" w:eastAsia="en-US"/>
              </w:rPr>
              <w:t xml:space="preserve">Distribution des sessions de formation selon les zones agro écologiques concernées </w:t>
            </w:r>
          </w:p>
          <w:p w:rsidR="00C16BE6" w:rsidRPr="00E770F3" w:rsidRDefault="00C16BE6" w:rsidP="00A76F4A">
            <w:pPr>
              <w:numPr>
                <w:ilvl w:val="0"/>
                <w:numId w:val="78"/>
              </w:numPr>
              <w:autoSpaceDE w:val="0"/>
              <w:autoSpaceDN w:val="0"/>
              <w:adjustRightInd w:val="0"/>
              <w:ind w:left="196" w:right="12" w:hanging="196"/>
              <w:rPr>
                <w:rFonts w:eastAsia="Times New Roman"/>
                <w:lang w:val="fr-CA" w:eastAsia="en-US"/>
              </w:rPr>
            </w:pPr>
            <w:r w:rsidRPr="00E770F3">
              <w:rPr>
                <w:rFonts w:eastAsia="Times New Roman"/>
                <w:lang w:val="fr-CA" w:eastAsia="en-US"/>
              </w:rPr>
              <w:t>Nombre de coopératives ou de GIE créés</w:t>
            </w:r>
          </w:p>
          <w:p w:rsidR="00C16BE6" w:rsidRPr="00E770F3" w:rsidRDefault="00C16BE6" w:rsidP="00A76F4A">
            <w:pPr>
              <w:numPr>
                <w:ilvl w:val="0"/>
                <w:numId w:val="78"/>
              </w:numPr>
              <w:autoSpaceDE w:val="0"/>
              <w:autoSpaceDN w:val="0"/>
              <w:adjustRightInd w:val="0"/>
              <w:ind w:left="196" w:right="12" w:hanging="196"/>
              <w:rPr>
                <w:rFonts w:eastAsia="Times New Roman"/>
                <w:lang w:val="fr-CA" w:eastAsia="en-US"/>
              </w:rPr>
            </w:pPr>
            <w:r w:rsidRPr="00E770F3">
              <w:rPr>
                <w:rFonts w:eastAsia="Times New Roman"/>
                <w:lang w:val="fr-CA" w:eastAsia="en-US"/>
              </w:rPr>
              <w:t>Nombre émission radio- télé réalisés chaque année</w:t>
            </w:r>
          </w:p>
          <w:p w:rsidR="00C16BE6" w:rsidRPr="00E770F3" w:rsidRDefault="00C16BE6" w:rsidP="00A76F4A">
            <w:pPr>
              <w:numPr>
                <w:ilvl w:val="0"/>
                <w:numId w:val="78"/>
              </w:numPr>
              <w:autoSpaceDE w:val="0"/>
              <w:autoSpaceDN w:val="0"/>
              <w:adjustRightInd w:val="0"/>
              <w:ind w:left="196" w:right="12" w:hanging="196"/>
              <w:rPr>
                <w:rFonts w:eastAsia="Times New Roman"/>
                <w:lang w:val="fr-CA" w:eastAsia="en-US"/>
              </w:rPr>
            </w:pPr>
            <w:r w:rsidRPr="00E770F3">
              <w:rPr>
                <w:rFonts w:eastAsia="Times New Roman"/>
                <w:lang w:val="fr-CA" w:eastAsia="en-US"/>
              </w:rPr>
              <w:t>Nombre de communiqués presses réalisés</w:t>
            </w:r>
          </w:p>
          <w:p w:rsidR="00C16BE6" w:rsidRPr="00E770F3" w:rsidRDefault="00C16BE6" w:rsidP="00A76F4A">
            <w:pPr>
              <w:numPr>
                <w:ilvl w:val="0"/>
                <w:numId w:val="78"/>
              </w:numPr>
              <w:autoSpaceDE w:val="0"/>
              <w:autoSpaceDN w:val="0"/>
              <w:adjustRightInd w:val="0"/>
              <w:ind w:left="196" w:right="12" w:hanging="196"/>
              <w:rPr>
                <w:rFonts w:eastAsia="Times New Roman"/>
                <w:lang w:val="fr-CA" w:eastAsia="en-US"/>
              </w:rPr>
            </w:pPr>
            <w:r w:rsidRPr="00E770F3">
              <w:t>Application des mesures d'atténuation prévues contre EAS/HS</w:t>
            </w:r>
          </w:p>
          <w:p w:rsidR="00C16BE6" w:rsidRPr="00E770F3" w:rsidRDefault="00C16BE6" w:rsidP="00A76F4A">
            <w:pPr>
              <w:autoSpaceDE w:val="0"/>
              <w:autoSpaceDN w:val="0"/>
              <w:adjustRightInd w:val="0"/>
              <w:ind w:left="196" w:right="12"/>
              <w:rPr>
                <w:rFonts w:eastAsia="Times New Roman"/>
                <w:lang w:val="fr-CA" w:eastAsia="en-US"/>
              </w:rPr>
            </w:pPr>
          </w:p>
        </w:tc>
      </w:tr>
    </w:tbl>
    <w:p w:rsidR="00647D50" w:rsidRDefault="00F92390" w:rsidP="00A76F4A">
      <w:pPr>
        <w:ind w:right="12"/>
        <w:rPr>
          <w:rFonts w:eastAsia="Times New Roman"/>
          <w:iCs/>
          <w:sz w:val="22"/>
          <w:szCs w:val="20"/>
          <w:lang w:eastAsia="fr-BE"/>
        </w:rPr>
      </w:pPr>
      <w:r>
        <w:rPr>
          <w:rFonts w:eastAsia="Times New Roman"/>
          <w:iCs/>
          <w:noProof/>
          <w:sz w:val="22"/>
          <w:szCs w:val="20"/>
          <w:lang w:val="pt-PT" w:eastAsia="pt-PT"/>
        </w:rPr>
        <mc:AlternateContent>
          <mc:Choice Requires="wps">
            <w:drawing>
              <wp:anchor distT="0" distB="0" distL="114300" distR="114300" simplePos="0" relativeHeight="251662421" behindDoc="0" locked="0" layoutInCell="1" allowOverlap="1" wp14:anchorId="1F932A69" wp14:editId="09A79C6E">
                <wp:simplePos x="0" y="0"/>
                <wp:positionH relativeFrom="column">
                  <wp:posOffset>-353374</wp:posOffset>
                </wp:positionH>
                <wp:positionV relativeFrom="paragraph">
                  <wp:posOffset>79062</wp:posOffset>
                </wp:positionV>
                <wp:extent cx="6440993" cy="5546690"/>
                <wp:effectExtent l="0" t="0" r="10795" b="16510"/>
                <wp:wrapNone/>
                <wp:docPr id="4" name="Zone de texte 4"/>
                <wp:cNvGraphicFramePr/>
                <a:graphic xmlns:a="http://schemas.openxmlformats.org/drawingml/2006/main">
                  <a:graphicData uri="http://schemas.microsoft.com/office/word/2010/wordprocessingShape">
                    <wps:wsp>
                      <wps:cNvSpPr txBox="1"/>
                      <wps:spPr>
                        <a:xfrm>
                          <a:off x="0" y="0"/>
                          <a:ext cx="6440993" cy="5546690"/>
                        </a:xfrm>
                        <a:prstGeom prst="rect">
                          <a:avLst/>
                        </a:prstGeom>
                        <a:solidFill>
                          <a:schemeClr val="lt1"/>
                        </a:solidFill>
                        <a:ln w="6350">
                          <a:solidFill>
                            <a:schemeClr val="bg1"/>
                          </a:solidFill>
                        </a:ln>
                      </wps:spPr>
                      <wps:txbx>
                        <w:txbxContent>
                          <w:tbl>
                            <w:tblPr>
                              <w:tblW w:w="99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6"/>
                              <w:gridCol w:w="2018"/>
                              <w:gridCol w:w="2268"/>
                              <w:gridCol w:w="3260"/>
                            </w:tblGrid>
                            <w:tr w:rsidR="00F92390" w:rsidRPr="00F96430" w:rsidTr="00BA5F73">
                              <w:trPr>
                                <w:cantSplit/>
                                <w:trHeight w:val="83"/>
                              </w:trPr>
                              <w:tc>
                                <w:tcPr>
                                  <w:tcW w:w="9922" w:type="dxa"/>
                                  <w:gridSpan w:val="4"/>
                                  <w:tcBorders>
                                    <w:top w:val="nil"/>
                                    <w:left w:val="nil"/>
                                    <w:bottom w:val="single" w:sz="4" w:space="0" w:color="auto"/>
                                    <w:right w:val="nil"/>
                                  </w:tcBorders>
                                  <w:shd w:val="clear" w:color="auto" w:fill="auto"/>
                                  <w:vAlign w:val="center"/>
                                </w:tcPr>
                                <w:p w:rsidR="00F92390" w:rsidRDefault="00F92390" w:rsidP="00F92390">
                                  <w:pPr>
                                    <w:ind w:right="12"/>
                                    <w:jc w:val="center"/>
                                    <w:rPr>
                                      <w:b/>
                                      <w:bCs/>
                                      <w:sz w:val="20"/>
                                      <w:szCs w:val="20"/>
                                    </w:rPr>
                                  </w:pPr>
                                  <w:bookmarkStart w:id="354" w:name="_Toc75503455"/>
                                </w:p>
                                <w:p w:rsidR="00F92390" w:rsidRPr="00E770F3" w:rsidRDefault="00F92390" w:rsidP="00F92390">
                                  <w:pPr>
                                    <w:ind w:right="12"/>
                                    <w:rPr>
                                      <w:b/>
                                      <w:bCs/>
                                      <w:sz w:val="20"/>
                                      <w:szCs w:val="20"/>
                                    </w:rPr>
                                  </w:pPr>
                                  <w:r w:rsidRPr="00E770F3">
                                    <w:rPr>
                                      <w:b/>
                                      <w:bCs/>
                                      <w:sz w:val="20"/>
                                      <w:szCs w:val="20"/>
                                    </w:rPr>
                                    <w:t xml:space="preserve">Tableau </w:t>
                                  </w:r>
                                  <w:r w:rsidRPr="00E770F3">
                                    <w:rPr>
                                      <w:b/>
                                      <w:bCs/>
                                      <w:sz w:val="20"/>
                                      <w:szCs w:val="20"/>
                                    </w:rPr>
                                    <w:fldChar w:fldCharType="begin"/>
                                  </w:r>
                                  <w:r w:rsidRPr="00E770F3">
                                    <w:rPr>
                                      <w:b/>
                                      <w:bCs/>
                                      <w:sz w:val="20"/>
                                      <w:szCs w:val="20"/>
                                    </w:rPr>
                                    <w:instrText xml:space="preserve"> SEQ Tableau \* ARABIC </w:instrText>
                                  </w:r>
                                  <w:r w:rsidRPr="00E770F3">
                                    <w:rPr>
                                      <w:b/>
                                      <w:bCs/>
                                      <w:sz w:val="20"/>
                                      <w:szCs w:val="20"/>
                                    </w:rPr>
                                    <w:fldChar w:fldCharType="separate"/>
                                  </w:r>
                                  <w:r w:rsidRPr="00E770F3">
                                    <w:rPr>
                                      <w:b/>
                                      <w:bCs/>
                                      <w:noProof/>
                                      <w:sz w:val="20"/>
                                      <w:szCs w:val="20"/>
                                    </w:rPr>
                                    <w:t>21</w:t>
                                  </w:r>
                                  <w:r w:rsidRPr="00E770F3">
                                    <w:rPr>
                                      <w:b/>
                                      <w:bCs/>
                                      <w:noProof/>
                                      <w:sz w:val="20"/>
                                      <w:szCs w:val="20"/>
                                    </w:rPr>
                                    <w:fldChar w:fldCharType="end"/>
                                  </w:r>
                                  <w:r w:rsidRPr="00E770F3">
                                    <w:rPr>
                                      <w:b/>
                                      <w:bCs/>
                                      <w:sz w:val="20"/>
                                      <w:szCs w:val="20"/>
                                    </w:rPr>
                                    <w:t>: Calendrier de mise en œuvre des mesures</w:t>
                                  </w:r>
                                  <w:bookmarkEnd w:id="354"/>
                                </w:p>
                              </w:tc>
                            </w:tr>
                            <w:tr w:rsidR="00F92390" w:rsidRPr="00F96430" w:rsidTr="00BA5F73">
                              <w:trPr>
                                <w:cantSplit/>
                                <w:trHeight w:val="83"/>
                              </w:trPr>
                              <w:tc>
                                <w:tcPr>
                                  <w:tcW w:w="2376" w:type="dxa"/>
                                  <w:vMerge w:val="restart"/>
                                  <w:tcBorders>
                                    <w:top w:val="single" w:sz="4" w:space="0" w:color="auto"/>
                                    <w:right w:val="single" w:sz="4" w:space="0" w:color="auto"/>
                                  </w:tcBorders>
                                  <w:shd w:val="clear" w:color="auto" w:fill="E2EFD9" w:themeFill="accent6" w:themeFillTint="33"/>
                                  <w:vAlign w:val="center"/>
                                </w:tcPr>
                                <w:p w:rsidR="00F92390" w:rsidRPr="002723A5" w:rsidRDefault="00F92390" w:rsidP="00F92390">
                                  <w:pPr>
                                    <w:ind w:right="12"/>
                                    <w:jc w:val="center"/>
                                    <w:rPr>
                                      <w:b/>
                                      <w:color w:val="000000"/>
                                      <w:sz w:val="22"/>
                                      <w:szCs w:val="22"/>
                                    </w:rPr>
                                  </w:pPr>
                                  <w:r w:rsidRPr="002723A5">
                                    <w:rPr>
                                      <w:b/>
                                      <w:color w:val="000000"/>
                                      <w:sz w:val="22"/>
                                      <w:szCs w:val="22"/>
                                    </w:rPr>
                                    <w:t>Mesures</w:t>
                                  </w:r>
                                </w:p>
                              </w:tc>
                              <w:tc>
                                <w:tcPr>
                                  <w:tcW w:w="4286" w:type="dxa"/>
                                  <w:gridSpan w:val="2"/>
                                  <w:vMerge w:val="restart"/>
                                  <w:tcBorders>
                                    <w:top w:val="single" w:sz="4" w:space="0" w:color="auto"/>
                                    <w:left w:val="single" w:sz="4" w:space="0" w:color="auto"/>
                                    <w:right w:val="single" w:sz="4" w:space="0" w:color="auto"/>
                                  </w:tcBorders>
                                  <w:shd w:val="clear" w:color="auto" w:fill="E2EFD9" w:themeFill="accent6" w:themeFillTint="33"/>
                                  <w:vAlign w:val="center"/>
                                </w:tcPr>
                                <w:p w:rsidR="00F92390" w:rsidRPr="002723A5" w:rsidRDefault="00F92390" w:rsidP="00F92390">
                                  <w:pPr>
                                    <w:ind w:right="12"/>
                                    <w:jc w:val="center"/>
                                    <w:rPr>
                                      <w:b/>
                                      <w:color w:val="000000"/>
                                      <w:sz w:val="22"/>
                                      <w:szCs w:val="22"/>
                                    </w:rPr>
                                  </w:pPr>
                                  <w:r w:rsidRPr="002723A5">
                                    <w:rPr>
                                      <w:b/>
                                      <w:sz w:val="22"/>
                                      <w:szCs w:val="22"/>
                                    </w:rPr>
                                    <w:t xml:space="preserve">Actions proposées  </w:t>
                                  </w:r>
                                </w:p>
                              </w:tc>
                              <w:tc>
                                <w:tcPr>
                                  <w:tcW w:w="3260" w:type="dxa"/>
                                  <w:tcBorders>
                                    <w:top w:val="single" w:sz="4" w:space="0" w:color="auto"/>
                                    <w:left w:val="single" w:sz="4" w:space="0" w:color="auto"/>
                                    <w:bottom w:val="single" w:sz="6" w:space="0" w:color="000000"/>
                                    <w:right w:val="single" w:sz="4" w:space="0" w:color="auto"/>
                                  </w:tcBorders>
                                  <w:shd w:val="clear" w:color="auto" w:fill="E2EFD9" w:themeFill="accent6" w:themeFillTint="33"/>
                                </w:tcPr>
                                <w:p w:rsidR="00F92390" w:rsidRPr="002723A5" w:rsidRDefault="00F92390" w:rsidP="00F92390">
                                  <w:pPr>
                                    <w:ind w:right="12"/>
                                    <w:jc w:val="center"/>
                                    <w:rPr>
                                      <w:b/>
                                      <w:sz w:val="22"/>
                                      <w:szCs w:val="22"/>
                                    </w:rPr>
                                  </w:pPr>
                                  <w:r w:rsidRPr="002723A5">
                                    <w:rPr>
                                      <w:b/>
                                      <w:sz w:val="22"/>
                                      <w:szCs w:val="22"/>
                                    </w:rPr>
                                    <w:t xml:space="preserve">Période de réalisation </w:t>
                                  </w:r>
                                </w:p>
                              </w:tc>
                            </w:tr>
                            <w:tr w:rsidR="00F92390" w:rsidRPr="00F96430" w:rsidTr="00BA5F73">
                              <w:trPr>
                                <w:cantSplit/>
                                <w:trHeight w:val="60"/>
                              </w:trPr>
                              <w:tc>
                                <w:tcPr>
                                  <w:tcW w:w="2376" w:type="dxa"/>
                                  <w:vMerge/>
                                  <w:tcBorders>
                                    <w:bottom w:val="single" w:sz="4" w:space="0" w:color="auto"/>
                                    <w:right w:val="single" w:sz="4" w:space="0" w:color="auto"/>
                                  </w:tcBorders>
                                  <w:vAlign w:val="center"/>
                                </w:tcPr>
                                <w:p w:rsidR="00F92390" w:rsidRPr="002723A5" w:rsidRDefault="00F92390" w:rsidP="00F92390">
                                  <w:pPr>
                                    <w:ind w:right="12"/>
                                    <w:jc w:val="center"/>
                                    <w:rPr>
                                      <w:b/>
                                      <w:color w:val="000000"/>
                                      <w:sz w:val="22"/>
                                      <w:szCs w:val="22"/>
                                    </w:rPr>
                                  </w:pPr>
                                </w:p>
                              </w:tc>
                              <w:tc>
                                <w:tcPr>
                                  <w:tcW w:w="4286" w:type="dxa"/>
                                  <w:gridSpan w:val="2"/>
                                  <w:vMerge/>
                                  <w:tcBorders>
                                    <w:left w:val="single" w:sz="4" w:space="0" w:color="auto"/>
                                    <w:right w:val="single" w:sz="4" w:space="0" w:color="auto"/>
                                  </w:tcBorders>
                                  <w:vAlign w:val="center"/>
                                </w:tcPr>
                                <w:p w:rsidR="00F92390" w:rsidRPr="002723A5" w:rsidRDefault="00F92390" w:rsidP="00F92390">
                                  <w:pPr>
                                    <w:ind w:right="12"/>
                                    <w:jc w:val="center"/>
                                    <w:rPr>
                                      <w:b/>
                                      <w:sz w:val="22"/>
                                      <w:szCs w:val="22"/>
                                    </w:rPr>
                                  </w:pPr>
                                </w:p>
                              </w:tc>
                              <w:tc>
                                <w:tcPr>
                                  <w:tcW w:w="3260" w:type="dxa"/>
                                  <w:tcBorders>
                                    <w:left w:val="single" w:sz="4" w:space="0" w:color="auto"/>
                                    <w:bottom w:val="single" w:sz="4" w:space="0" w:color="auto"/>
                                    <w:right w:val="single" w:sz="4" w:space="0" w:color="auto"/>
                                  </w:tcBorders>
                                  <w:shd w:val="clear" w:color="auto" w:fill="FFF2CC" w:themeFill="accent4" w:themeFillTint="33"/>
                                </w:tcPr>
                                <w:p w:rsidR="00F92390" w:rsidRPr="002723A5" w:rsidRDefault="00F92390" w:rsidP="00F92390">
                                  <w:pPr>
                                    <w:ind w:right="12"/>
                                    <w:jc w:val="center"/>
                                    <w:rPr>
                                      <w:b/>
                                      <w:sz w:val="22"/>
                                      <w:szCs w:val="22"/>
                                    </w:rPr>
                                  </w:pPr>
                                  <w:r w:rsidRPr="002723A5">
                                    <w:rPr>
                                      <w:b/>
                                      <w:sz w:val="22"/>
                                      <w:szCs w:val="22"/>
                                    </w:rPr>
                                    <w:t xml:space="preserve">An 1 </w:t>
                                  </w:r>
                                </w:p>
                              </w:tc>
                            </w:tr>
                            <w:tr w:rsidR="00F92390" w:rsidRPr="00F96430" w:rsidTr="00BA5F73">
                              <w:trPr>
                                <w:cantSplit/>
                                <w:trHeight w:val="475"/>
                              </w:trPr>
                              <w:tc>
                                <w:tcPr>
                                  <w:tcW w:w="2376" w:type="dxa"/>
                                  <w:tcBorders>
                                    <w:top w:val="single" w:sz="4" w:space="0" w:color="auto"/>
                                    <w:right w:val="single" w:sz="4" w:space="0" w:color="auto"/>
                                  </w:tcBorders>
                                  <w:vAlign w:val="center"/>
                                </w:tcPr>
                                <w:p w:rsidR="00F92390" w:rsidRPr="002723A5" w:rsidRDefault="00F92390" w:rsidP="00F92390">
                                  <w:pPr>
                                    <w:ind w:right="12"/>
                                    <w:jc w:val="center"/>
                                    <w:rPr>
                                      <w:b/>
                                      <w:bCs/>
                                      <w:sz w:val="22"/>
                                      <w:szCs w:val="22"/>
                                    </w:rPr>
                                  </w:pPr>
                                  <w:r w:rsidRPr="002723A5">
                                    <w:rPr>
                                      <w:b/>
                                      <w:bCs/>
                                      <w:sz w:val="22"/>
                                      <w:szCs w:val="22"/>
                                    </w:rPr>
                                    <w:t>Mesures d´atténuation</w:t>
                                  </w:r>
                                </w:p>
                              </w:tc>
                              <w:tc>
                                <w:tcPr>
                                  <w:tcW w:w="4286" w:type="dxa"/>
                                  <w:gridSpan w:val="2"/>
                                  <w:tcBorders>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Voir liste des mesures d´atténuation par sous projet</w:t>
                                  </w:r>
                                </w:p>
                              </w:tc>
                              <w:tc>
                                <w:tcPr>
                                  <w:tcW w:w="3260" w:type="dxa"/>
                                  <w:tcBorders>
                                    <w:top w:val="single" w:sz="4" w:space="0" w:color="auto"/>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Dès le début et en continus de la mise en œuvre des activités du projet</w:t>
                                  </w:r>
                                </w:p>
                              </w:tc>
                            </w:tr>
                            <w:tr w:rsidR="00F92390" w:rsidRPr="00F96430" w:rsidTr="00BA5F73">
                              <w:trPr>
                                <w:cantSplit/>
                                <w:trHeight w:val="545"/>
                              </w:trPr>
                              <w:tc>
                                <w:tcPr>
                                  <w:tcW w:w="2376" w:type="dxa"/>
                                  <w:tcBorders>
                                    <w:top w:val="single" w:sz="4" w:space="0" w:color="auto"/>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Mesures institutionnelles</w:t>
                                  </w:r>
                                </w:p>
                              </w:tc>
                              <w:tc>
                                <w:tcPr>
                                  <w:tcW w:w="4286" w:type="dxa"/>
                                  <w:gridSpan w:val="2"/>
                                  <w:tcBorders>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Recrutement d´un Spécialiste en Sauvegardes Environnementales et Sociales</w:t>
                                  </w:r>
                                </w:p>
                              </w:tc>
                              <w:tc>
                                <w:tcPr>
                                  <w:tcW w:w="3260" w:type="dxa"/>
                                  <w:tcBorders>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Premier mois, avant le début de la mise en œuvre du projet</w:t>
                                  </w:r>
                                </w:p>
                              </w:tc>
                            </w:tr>
                            <w:tr w:rsidR="00F92390" w:rsidRPr="00F96430" w:rsidTr="00BA5F73">
                              <w:trPr>
                                <w:cantSplit/>
                                <w:trHeight w:val="491"/>
                              </w:trPr>
                              <w:tc>
                                <w:tcPr>
                                  <w:tcW w:w="2376" w:type="dxa"/>
                                  <w:vMerge w:val="restart"/>
                                  <w:tcBorders>
                                    <w:top w:val="single" w:sz="4" w:space="0" w:color="auto"/>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Mesures techniques</w:t>
                                  </w:r>
                                </w:p>
                                <w:p w:rsidR="00F92390" w:rsidRPr="002723A5" w:rsidRDefault="00F92390" w:rsidP="00F92390">
                                  <w:pPr>
                                    <w:ind w:right="12"/>
                                    <w:jc w:val="center"/>
                                    <w:rPr>
                                      <w:b/>
                                      <w:color w:val="000000"/>
                                      <w:sz w:val="22"/>
                                      <w:szCs w:val="22"/>
                                    </w:rPr>
                                  </w:pPr>
                                </w:p>
                              </w:tc>
                              <w:tc>
                                <w:tcPr>
                                  <w:tcW w:w="4286" w:type="dxa"/>
                                  <w:gridSpan w:val="2"/>
                                  <w:tcBorders>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 xml:space="preserve">Réalisation d´AEI pour certains sous projet </w:t>
                                  </w:r>
                                </w:p>
                              </w:tc>
                              <w:tc>
                                <w:tcPr>
                                  <w:tcW w:w="3260" w:type="dxa"/>
                                  <w:tcBorders>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 xml:space="preserve"> Trois premiers mois, ou avant la mise en œuvre du projet</w:t>
                                  </w:r>
                                </w:p>
                              </w:tc>
                            </w:tr>
                            <w:tr w:rsidR="00F92390" w:rsidRPr="00F96430" w:rsidTr="00BA5F73">
                              <w:trPr>
                                <w:cantSplit/>
                                <w:trHeight w:val="142"/>
                              </w:trPr>
                              <w:tc>
                                <w:tcPr>
                                  <w:tcW w:w="2376" w:type="dxa"/>
                                  <w:vMerge/>
                                  <w:tcBorders>
                                    <w:right w:val="single" w:sz="4" w:space="0" w:color="auto"/>
                                  </w:tcBorders>
                                  <w:shd w:val="clear" w:color="auto" w:fill="auto"/>
                                  <w:vAlign w:val="center"/>
                                </w:tcPr>
                                <w:p w:rsidR="00F92390" w:rsidRPr="002723A5" w:rsidRDefault="00F92390" w:rsidP="00F92390">
                                  <w:pPr>
                                    <w:ind w:right="12"/>
                                    <w:jc w:val="center"/>
                                    <w:rPr>
                                      <w:b/>
                                      <w:bCs/>
                                      <w:sz w:val="22"/>
                                      <w:szCs w:val="22"/>
                                    </w:rPr>
                                  </w:pPr>
                                </w:p>
                              </w:tc>
                              <w:tc>
                                <w:tcPr>
                                  <w:tcW w:w="4286" w:type="dxa"/>
                                  <w:gridSpan w:val="2"/>
                                  <w:tcBorders>
                                    <w:left w:val="single" w:sz="4" w:space="0" w:color="auto"/>
                                    <w:right w:val="single" w:sz="4" w:space="0" w:color="auto"/>
                                  </w:tcBorders>
                                  <w:shd w:val="clear" w:color="auto" w:fill="auto"/>
                                </w:tcPr>
                                <w:p w:rsidR="00F92390" w:rsidRPr="002723A5" w:rsidRDefault="00F92390" w:rsidP="00F92390">
                                  <w:pPr>
                                    <w:autoSpaceDE w:val="0"/>
                                    <w:autoSpaceDN w:val="0"/>
                                    <w:adjustRightInd w:val="0"/>
                                    <w:ind w:right="12"/>
                                    <w:rPr>
                                      <w:rFonts w:eastAsia="Times New Roman"/>
                                      <w:sz w:val="22"/>
                                      <w:szCs w:val="22"/>
                                      <w:lang w:val="fr-CA" w:eastAsia="en-US"/>
                                    </w:rPr>
                                  </w:pPr>
                                  <w:r w:rsidRPr="002723A5">
                                    <w:rPr>
                                      <w:sz w:val="22"/>
                                      <w:szCs w:val="22"/>
                                    </w:rPr>
                                    <w:t xml:space="preserve">Réalisation des </w:t>
                                  </w:r>
                                  <w:r w:rsidRPr="002723A5">
                                    <w:rPr>
                                      <w:rFonts w:eastAsia="Times New Roman"/>
                                      <w:sz w:val="22"/>
                                      <w:szCs w:val="22"/>
                                      <w:lang w:val="fr-CA" w:eastAsia="en-US"/>
                                    </w:rPr>
                                    <w:t>Directives, bonnes pratiques agricoles et manuel d’entretien des infrastructures agricoles.</w:t>
                                  </w:r>
                                  <w:r w:rsidRPr="002723A5">
                                    <w:rPr>
                                      <w:rFonts w:eastAsia="Times New Roman"/>
                                      <w:sz w:val="22"/>
                                      <w:szCs w:val="22"/>
                                      <w:lang w:eastAsia="en-US"/>
                                    </w:rPr>
                                    <w:t xml:space="preserve"> Mesures d’élimination de facteurs de vulnérabilité des activités agricoles y compris la mise en œuvre du PGPP.</w:t>
                                  </w:r>
                                </w:p>
                              </w:tc>
                              <w:tc>
                                <w:tcPr>
                                  <w:tcW w:w="3260" w:type="dxa"/>
                                  <w:tcBorders>
                                    <w:left w:val="single" w:sz="4" w:space="0" w:color="auto"/>
                                    <w:right w:val="single" w:sz="4" w:space="0" w:color="auto"/>
                                  </w:tcBorders>
                                </w:tcPr>
                                <w:p w:rsidR="00F92390" w:rsidRPr="002723A5" w:rsidRDefault="00F92390" w:rsidP="00F92390">
                                  <w:pPr>
                                    <w:autoSpaceDE w:val="0"/>
                                    <w:autoSpaceDN w:val="0"/>
                                    <w:adjustRightInd w:val="0"/>
                                    <w:ind w:right="12"/>
                                    <w:rPr>
                                      <w:rFonts w:eastAsia="Times New Roman"/>
                                      <w:sz w:val="22"/>
                                      <w:szCs w:val="22"/>
                                      <w:lang w:val="fr-CA" w:eastAsia="en-US"/>
                                    </w:rPr>
                                  </w:pPr>
                                  <w:r w:rsidRPr="002723A5">
                                    <w:rPr>
                                      <w:rFonts w:eastAsia="Times New Roman"/>
                                      <w:sz w:val="22"/>
                                      <w:szCs w:val="22"/>
                                      <w:lang w:val="fr-CA" w:eastAsia="en-US"/>
                                    </w:rPr>
                                    <w:t>A partir du quatrième mois de la mise en œuvre du projet</w:t>
                                  </w:r>
                                </w:p>
                                <w:p w:rsidR="00F92390" w:rsidRPr="002723A5" w:rsidRDefault="00F92390" w:rsidP="00F92390">
                                  <w:pPr>
                                    <w:ind w:right="12"/>
                                    <w:rPr>
                                      <w:sz w:val="22"/>
                                      <w:szCs w:val="22"/>
                                      <w:lang w:val="fr-CA"/>
                                    </w:rPr>
                                  </w:pPr>
                                </w:p>
                              </w:tc>
                            </w:tr>
                            <w:tr w:rsidR="00F92390" w:rsidRPr="00F96430" w:rsidTr="00BA5F73">
                              <w:trPr>
                                <w:cantSplit/>
                                <w:trHeight w:val="142"/>
                              </w:trPr>
                              <w:tc>
                                <w:tcPr>
                                  <w:tcW w:w="2376" w:type="dxa"/>
                                  <w:vMerge/>
                                  <w:tcBorders>
                                    <w:right w:val="single" w:sz="4" w:space="0" w:color="auto"/>
                                  </w:tcBorders>
                                  <w:shd w:val="clear" w:color="auto" w:fill="auto"/>
                                  <w:vAlign w:val="center"/>
                                </w:tcPr>
                                <w:p w:rsidR="00F92390" w:rsidRPr="002723A5" w:rsidRDefault="00F92390" w:rsidP="00F92390">
                                  <w:pPr>
                                    <w:ind w:right="12"/>
                                    <w:jc w:val="center"/>
                                    <w:rPr>
                                      <w:b/>
                                      <w:bCs/>
                                      <w:sz w:val="22"/>
                                      <w:szCs w:val="22"/>
                                    </w:rPr>
                                  </w:pPr>
                                </w:p>
                              </w:tc>
                              <w:tc>
                                <w:tcPr>
                                  <w:tcW w:w="4286" w:type="dxa"/>
                                  <w:gridSpan w:val="2"/>
                                  <w:tcBorders>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 xml:space="preserve">Mesures d’élimination de facteurs de vulnérabilité des activités agricoles </w:t>
                                  </w:r>
                                </w:p>
                              </w:tc>
                              <w:tc>
                                <w:tcPr>
                                  <w:tcW w:w="3260" w:type="dxa"/>
                                  <w:tcBorders>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Début de la mise en œuvre des activités du projet</w:t>
                                  </w:r>
                                </w:p>
                              </w:tc>
                            </w:tr>
                            <w:tr w:rsidR="00F92390" w:rsidRPr="00F96430" w:rsidTr="00BA5F73">
                              <w:trPr>
                                <w:cantSplit/>
                                <w:trHeight w:val="485"/>
                              </w:trPr>
                              <w:tc>
                                <w:tcPr>
                                  <w:tcW w:w="2376" w:type="dxa"/>
                                  <w:tcBorders>
                                    <w:top w:val="single" w:sz="4" w:space="0" w:color="auto"/>
                                    <w:left w:val="single" w:sz="6" w:space="0" w:color="000000"/>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Formation</w:t>
                                  </w:r>
                                </w:p>
                              </w:tc>
                              <w:tc>
                                <w:tcPr>
                                  <w:tcW w:w="4286" w:type="dxa"/>
                                  <w:gridSpan w:val="2"/>
                                  <w:tcBorders>
                                    <w:top w:val="single" w:sz="6" w:space="0" w:color="000000"/>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Formation des Points focaux environnementales et sociales (PFES) en évaluation environnementale</w:t>
                                  </w:r>
                                </w:p>
                              </w:tc>
                              <w:tc>
                                <w:tcPr>
                                  <w:tcW w:w="3260" w:type="dxa"/>
                                  <w:tcBorders>
                                    <w:top w:val="single" w:sz="6" w:space="0" w:color="000000"/>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 xml:space="preserve">Premier mois après leur désignation </w:t>
                                  </w:r>
                                </w:p>
                                <w:p w:rsidR="00F92390" w:rsidRPr="002723A5" w:rsidRDefault="00F92390" w:rsidP="00F92390">
                                  <w:pPr>
                                    <w:ind w:right="12"/>
                                    <w:rPr>
                                      <w:sz w:val="22"/>
                                      <w:szCs w:val="22"/>
                                    </w:rPr>
                                  </w:pPr>
                                </w:p>
                              </w:tc>
                            </w:tr>
                            <w:tr w:rsidR="00F92390" w:rsidRPr="00F96430" w:rsidTr="00BA5F73">
                              <w:trPr>
                                <w:cantSplit/>
                                <w:trHeight w:val="308"/>
                              </w:trPr>
                              <w:tc>
                                <w:tcPr>
                                  <w:tcW w:w="2376" w:type="dxa"/>
                                  <w:tcBorders>
                                    <w:top w:val="single" w:sz="4" w:space="0" w:color="auto"/>
                                    <w:left w:val="single" w:sz="6" w:space="0" w:color="000000"/>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Sensibilisation</w:t>
                                  </w:r>
                                </w:p>
                              </w:tc>
                              <w:tc>
                                <w:tcPr>
                                  <w:tcW w:w="4286" w:type="dxa"/>
                                  <w:gridSpan w:val="2"/>
                                  <w:tcBorders>
                                    <w:top w:val="single" w:sz="6" w:space="0" w:color="000000"/>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Sensibilisation et mobilisation des populations locales, des Producteurs agricoles et d’autres acteurs concernés</w:t>
                                  </w:r>
                                </w:p>
                              </w:tc>
                              <w:tc>
                                <w:tcPr>
                                  <w:tcW w:w="3260" w:type="dxa"/>
                                  <w:tcBorders>
                                    <w:top w:val="single" w:sz="6" w:space="0" w:color="000000"/>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Dès le début de l'identification des sous projets et des zones d’intervention validé</w:t>
                                  </w:r>
                                </w:p>
                              </w:tc>
                            </w:tr>
                            <w:tr w:rsidR="00F92390" w:rsidRPr="00F96430" w:rsidTr="00BA5F73">
                              <w:trPr>
                                <w:cantSplit/>
                                <w:trHeight w:val="421"/>
                              </w:trPr>
                              <w:tc>
                                <w:tcPr>
                                  <w:tcW w:w="2376" w:type="dxa"/>
                                  <w:vMerge w:val="restart"/>
                                  <w:tcBorders>
                                    <w:top w:val="single" w:sz="4" w:space="0" w:color="auto"/>
                                    <w:left w:val="single" w:sz="6" w:space="0" w:color="000000"/>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Mesures de suivi</w:t>
                                  </w:r>
                                </w:p>
                              </w:tc>
                              <w:tc>
                                <w:tcPr>
                                  <w:tcW w:w="2018" w:type="dxa"/>
                                  <w:vMerge w:val="restart"/>
                                  <w:tcBorders>
                                    <w:top w:val="single" w:sz="6" w:space="0" w:color="000000"/>
                                    <w:left w:val="single" w:sz="4" w:space="0" w:color="auto"/>
                                    <w:right w:val="single" w:sz="4" w:space="0" w:color="auto"/>
                                  </w:tcBorders>
                                  <w:shd w:val="clear" w:color="auto" w:fill="auto"/>
                                  <w:vAlign w:val="center"/>
                                </w:tcPr>
                                <w:p w:rsidR="00F92390" w:rsidRPr="002723A5" w:rsidRDefault="00F92390" w:rsidP="00F92390">
                                  <w:pPr>
                                    <w:tabs>
                                      <w:tab w:val="left" w:pos="35"/>
                                    </w:tabs>
                                    <w:ind w:right="12" w:hanging="107"/>
                                    <w:jc w:val="center"/>
                                    <w:rPr>
                                      <w:sz w:val="22"/>
                                      <w:szCs w:val="22"/>
                                    </w:rPr>
                                  </w:pPr>
                                  <w:r w:rsidRPr="002723A5">
                                    <w:rPr>
                                      <w:sz w:val="22"/>
                                      <w:szCs w:val="22"/>
                                    </w:rPr>
                                    <w:t>Suivi</w:t>
                                  </w:r>
                                </w:p>
                                <w:p w:rsidR="00F92390" w:rsidRPr="002723A5" w:rsidRDefault="00F92390" w:rsidP="00F92390">
                                  <w:pPr>
                                    <w:tabs>
                                      <w:tab w:val="left" w:pos="35"/>
                                    </w:tabs>
                                    <w:ind w:right="12" w:hanging="107"/>
                                    <w:jc w:val="center"/>
                                    <w:rPr>
                                      <w:sz w:val="22"/>
                                      <w:szCs w:val="22"/>
                                    </w:rPr>
                                  </w:pPr>
                                  <w:r w:rsidRPr="002723A5">
                                    <w:rPr>
                                      <w:sz w:val="22"/>
                                      <w:szCs w:val="22"/>
                                    </w:rPr>
                                    <w:t>Environnemental et</w:t>
                                  </w:r>
                                </w:p>
                                <w:p w:rsidR="00F92390" w:rsidRPr="002723A5" w:rsidRDefault="00F92390" w:rsidP="00F92390">
                                  <w:pPr>
                                    <w:tabs>
                                      <w:tab w:val="left" w:pos="35"/>
                                    </w:tabs>
                                    <w:ind w:right="12" w:hanging="107"/>
                                    <w:jc w:val="center"/>
                                    <w:rPr>
                                      <w:sz w:val="22"/>
                                      <w:szCs w:val="22"/>
                                    </w:rPr>
                                  </w:pPr>
                                  <w:r w:rsidRPr="002723A5">
                                    <w:rPr>
                                      <w:sz w:val="22"/>
                                      <w:szCs w:val="22"/>
                                    </w:rPr>
                                    <w:t>Surveillance</w:t>
                                  </w:r>
                                </w:p>
                                <w:p w:rsidR="00F92390" w:rsidRPr="002723A5" w:rsidRDefault="00F92390" w:rsidP="00F92390">
                                  <w:pPr>
                                    <w:tabs>
                                      <w:tab w:val="left" w:pos="35"/>
                                    </w:tabs>
                                    <w:ind w:right="12" w:hanging="107"/>
                                    <w:jc w:val="center"/>
                                    <w:rPr>
                                      <w:sz w:val="22"/>
                                      <w:szCs w:val="22"/>
                                    </w:rPr>
                                  </w:pPr>
                                  <w:r w:rsidRPr="002723A5">
                                    <w:rPr>
                                      <w:sz w:val="22"/>
                                      <w:szCs w:val="22"/>
                                    </w:rPr>
                                    <w:t>Environnementale</w:t>
                                  </w:r>
                                </w:p>
                                <w:p w:rsidR="00F92390" w:rsidRPr="002723A5" w:rsidRDefault="00F92390" w:rsidP="00F92390">
                                  <w:pPr>
                                    <w:tabs>
                                      <w:tab w:val="left" w:pos="35"/>
                                    </w:tabs>
                                    <w:ind w:right="12" w:hanging="107"/>
                                    <w:jc w:val="center"/>
                                    <w:rPr>
                                      <w:sz w:val="22"/>
                                      <w:szCs w:val="22"/>
                                    </w:rPr>
                                  </w:pPr>
                                  <w:r w:rsidRPr="002723A5">
                                    <w:rPr>
                                      <w:sz w:val="22"/>
                                      <w:szCs w:val="22"/>
                                    </w:rPr>
                                    <w:t>du PUSA</w:t>
                                  </w:r>
                                </w:p>
                              </w:tc>
                              <w:tc>
                                <w:tcPr>
                                  <w:tcW w:w="2268" w:type="dxa"/>
                                  <w:tcBorders>
                                    <w:top w:val="single" w:sz="6" w:space="0" w:color="000000"/>
                                    <w:left w:val="single" w:sz="4" w:space="0" w:color="auto"/>
                                    <w:right w:val="single" w:sz="4" w:space="0" w:color="auto"/>
                                  </w:tcBorders>
                                  <w:shd w:val="clear" w:color="auto" w:fill="auto"/>
                                  <w:vAlign w:val="center"/>
                                </w:tcPr>
                                <w:p w:rsidR="00F92390" w:rsidRPr="002723A5" w:rsidRDefault="00F92390" w:rsidP="00F92390">
                                  <w:pPr>
                                    <w:tabs>
                                      <w:tab w:val="left" w:pos="35"/>
                                    </w:tabs>
                                    <w:ind w:right="12" w:hanging="107"/>
                                    <w:jc w:val="center"/>
                                    <w:rPr>
                                      <w:sz w:val="22"/>
                                      <w:szCs w:val="22"/>
                                    </w:rPr>
                                  </w:pPr>
                                  <w:r w:rsidRPr="002723A5">
                                    <w:rPr>
                                      <w:sz w:val="22"/>
                                      <w:szCs w:val="22"/>
                                    </w:rPr>
                                    <w:t>Suivi</w:t>
                                  </w:r>
                                  <w:r w:rsidRPr="002723A5">
                                    <w:rPr>
                                      <w:rFonts w:eastAsia="MS Mincho"/>
                                      <w:sz w:val="22"/>
                                      <w:szCs w:val="22"/>
                                    </w:rPr>
                                    <w:t xml:space="preserve"> </w:t>
                                  </w:r>
                                  <w:r w:rsidRPr="002723A5">
                                    <w:rPr>
                                      <w:sz w:val="22"/>
                                      <w:szCs w:val="22"/>
                                    </w:rPr>
                                    <w:t>de proximité</w:t>
                                  </w:r>
                                </w:p>
                              </w:tc>
                              <w:tc>
                                <w:tcPr>
                                  <w:tcW w:w="3260" w:type="dxa"/>
                                  <w:tcBorders>
                                    <w:top w:val="single" w:sz="6" w:space="0" w:color="000000"/>
                                    <w:left w:val="single" w:sz="4" w:space="0" w:color="auto"/>
                                    <w:right w:val="single" w:sz="4" w:space="0" w:color="auto"/>
                                  </w:tcBorders>
                                </w:tcPr>
                                <w:p w:rsidR="00F92390" w:rsidRPr="002723A5" w:rsidRDefault="00F92390" w:rsidP="00F92390">
                                  <w:pPr>
                                    <w:tabs>
                                      <w:tab w:val="left" w:pos="35"/>
                                    </w:tabs>
                                    <w:ind w:right="12" w:hanging="107"/>
                                    <w:rPr>
                                      <w:sz w:val="22"/>
                                      <w:szCs w:val="22"/>
                                    </w:rPr>
                                  </w:pPr>
                                  <w:r w:rsidRPr="002723A5">
                                    <w:rPr>
                                      <w:sz w:val="22"/>
                                      <w:szCs w:val="22"/>
                                    </w:rPr>
                                    <w:t>Durant toute la mise en œuvre du projet</w:t>
                                  </w:r>
                                </w:p>
                                <w:p w:rsidR="00F92390" w:rsidRPr="002723A5" w:rsidRDefault="00F92390" w:rsidP="00F92390">
                                  <w:pPr>
                                    <w:tabs>
                                      <w:tab w:val="left" w:pos="35"/>
                                    </w:tabs>
                                    <w:ind w:right="12" w:hanging="107"/>
                                    <w:rPr>
                                      <w:sz w:val="22"/>
                                      <w:szCs w:val="22"/>
                                    </w:rPr>
                                  </w:pPr>
                                </w:p>
                              </w:tc>
                            </w:tr>
                            <w:tr w:rsidR="00F92390" w:rsidRPr="00F96430" w:rsidTr="00BA5F73">
                              <w:trPr>
                                <w:cantSplit/>
                                <w:trHeight w:val="20"/>
                              </w:trPr>
                              <w:tc>
                                <w:tcPr>
                                  <w:tcW w:w="2376" w:type="dxa"/>
                                  <w:vMerge/>
                                  <w:tcBorders>
                                    <w:left w:val="single" w:sz="6" w:space="0" w:color="000000"/>
                                    <w:right w:val="single" w:sz="4" w:space="0" w:color="auto"/>
                                  </w:tcBorders>
                                  <w:shd w:val="clear" w:color="auto" w:fill="auto"/>
                                </w:tcPr>
                                <w:p w:rsidR="00F92390" w:rsidRPr="002723A5" w:rsidRDefault="00F92390" w:rsidP="00F92390">
                                  <w:pPr>
                                    <w:ind w:right="12"/>
                                    <w:rPr>
                                      <w:b/>
                                      <w:bCs/>
                                      <w:sz w:val="22"/>
                                      <w:szCs w:val="22"/>
                                    </w:rPr>
                                  </w:pPr>
                                </w:p>
                              </w:tc>
                              <w:tc>
                                <w:tcPr>
                                  <w:tcW w:w="2018" w:type="dxa"/>
                                  <w:vMerge/>
                                  <w:tcBorders>
                                    <w:left w:val="single" w:sz="4" w:space="0" w:color="auto"/>
                                    <w:bottom w:val="single" w:sz="4" w:space="0" w:color="auto"/>
                                    <w:right w:val="single" w:sz="4" w:space="0" w:color="auto"/>
                                  </w:tcBorders>
                                  <w:shd w:val="clear" w:color="auto" w:fill="auto"/>
                                  <w:vAlign w:val="center"/>
                                </w:tcPr>
                                <w:p w:rsidR="00F92390" w:rsidRPr="002723A5" w:rsidRDefault="00F92390" w:rsidP="00F92390">
                                  <w:pPr>
                                    <w:tabs>
                                      <w:tab w:val="left" w:pos="360"/>
                                    </w:tabs>
                                    <w:ind w:left="360" w:right="12" w:hanging="360"/>
                                    <w:jc w:val="center"/>
                                    <w:rPr>
                                      <w:sz w:val="22"/>
                                      <w:szCs w:val="22"/>
                                    </w:rPr>
                                  </w:pPr>
                                </w:p>
                              </w:tc>
                              <w:tc>
                                <w:tcPr>
                                  <w:tcW w:w="2268" w:type="dxa"/>
                                  <w:tcBorders>
                                    <w:left w:val="single" w:sz="4" w:space="0" w:color="auto"/>
                                    <w:bottom w:val="single" w:sz="4" w:space="0" w:color="auto"/>
                                    <w:right w:val="single" w:sz="4" w:space="0" w:color="auto"/>
                                  </w:tcBorders>
                                  <w:shd w:val="clear" w:color="auto" w:fill="auto"/>
                                  <w:vAlign w:val="center"/>
                                </w:tcPr>
                                <w:p w:rsidR="00F92390" w:rsidRPr="002723A5" w:rsidRDefault="00F92390" w:rsidP="00F92390">
                                  <w:pPr>
                                    <w:tabs>
                                      <w:tab w:val="left" w:pos="360"/>
                                    </w:tabs>
                                    <w:ind w:left="360" w:right="12" w:hanging="360"/>
                                    <w:jc w:val="center"/>
                                    <w:rPr>
                                      <w:sz w:val="22"/>
                                      <w:szCs w:val="22"/>
                                    </w:rPr>
                                  </w:pPr>
                                  <w:r w:rsidRPr="002723A5">
                                    <w:rPr>
                                      <w:sz w:val="22"/>
                                      <w:szCs w:val="22"/>
                                    </w:rPr>
                                    <w:t>Supervision</w:t>
                                  </w:r>
                                </w:p>
                              </w:tc>
                              <w:tc>
                                <w:tcPr>
                                  <w:tcW w:w="3260" w:type="dxa"/>
                                  <w:tcBorders>
                                    <w:left w:val="single" w:sz="4" w:space="0" w:color="auto"/>
                                    <w:bottom w:val="single" w:sz="4" w:space="0" w:color="auto"/>
                                    <w:right w:val="single" w:sz="4" w:space="0" w:color="auto"/>
                                  </w:tcBorders>
                                </w:tcPr>
                                <w:p w:rsidR="00F92390" w:rsidRPr="002723A5" w:rsidRDefault="00F92390" w:rsidP="00F92390">
                                  <w:pPr>
                                    <w:tabs>
                                      <w:tab w:val="left" w:pos="360"/>
                                    </w:tabs>
                                    <w:ind w:left="360" w:right="12" w:hanging="360"/>
                                    <w:rPr>
                                      <w:sz w:val="22"/>
                                      <w:szCs w:val="22"/>
                                    </w:rPr>
                                  </w:pPr>
                                  <w:r w:rsidRPr="002723A5">
                                    <w:rPr>
                                      <w:sz w:val="22"/>
                                      <w:szCs w:val="22"/>
                                    </w:rPr>
                                    <w:t>Tous les mois durant la mise en œuvre du projet</w:t>
                                  </w:r>
                                </w:p>
                              </w:tc>
                            </w:tr>
                            <w:tr w:rsidR="00F92390" w:rsidRPr="00F96430" w:rsidTr="00BA5F73">
                              <w:trPr>
                                <w:cantSplit/>
                                <w:trHeight w:val="155"/>
                              </w:trPr>
                              <w:tc>
                                <w:tcPr>
                                  <w:tcW w:w="2376" w:type="dxa"/>
                                  <w:vMerge/>
                                  <w:tcBorders>
                                    <w:left w:val="single" w:sz="6" w:space="0" w:color="000000"/>
                                    <w:right w:val="single" w:sz="4" w:space="0" w:color="auto"/>
                                  </w:tcBorders>
                                  <w:shd w:val="clear" w:color="auto" w:fill="auto"/>
                                </w:tcPr>
                                <w:p w:rsidR="00F92390" w:rsidRPr="002723A5" w:rsidRDefault="00F92390" w:rsidP="00F92390">
                                  <w:pPr>
                                    <w:ind w:right="12"/>
                                    <w:rPr>
                                      <w:bCs/>
                                      <w:sz w:val="22"/>
                                      <w:szCs w:val="22"/>
                                    </w:rPr>
                                  </w:pPr>
                                </w:p>
                              </w:tc>
                              <w:tc>
                                <w:tcPr>
                                  <w:tcW w:w="2018" w:type="dxa"/>
                                  <w:vMerge w:val="restart"/>
                                  <w:tcBorders>
                                    <w:top w:val="single" w:sz="6" w:space="0" w:color="000000"/>
                                    <w:left w:val="single" w:sz="4" w:space="0" w:color="auto"/>
                                    <w:right w:val="single" w:sz="4" w:space="0" w:color="auto"/>
                                  </w:tcBorders>
                                  <w:shd w:val="clear" w:color="auto" w:fill="auto"/>
                                  <w:vAlign w:val="center"/>
                                </w:tcPr>
                                <w:p w:rsidR="00F92390" w:rsidRPr="002723A5" w:rsidRDefault="00F92390" w:rsidP="00F92390">
                                  <w:pPr>
                                    <w:tabs>
                                      <w:tab w:val="left" w:pos="35"/>
                                    </w:tabs>
                                    <w:ind w:left="35" w:right="12" w:hanging="35"/>
                                    <w:jc w:val="center"/>
                                    <w:rPr>
                                      <w:sz w:val="22"/>
                                      <w:szCs w:val="22"/>
                                    </w:rPr>
                                  </w:pPr>
                                  <w:r w:rsidRPr="002723A5">
                                    <w:rPr>
                                      <w:sz w:val="22"/>
                                      <w:szCs w:val="22"/>
                                    </w:rPr>
                                    <w:t>Évaluation AEI</w:t>
                                  </w:r>
                                </w:p>
                              </w:tc>
                              <w:tc>
                                <w:tcPr>
                                  <w:tcW w:w="2268" w:type="dxa"/>
                                  <w:tcBorders>
                                    <w:top w:val="single" w:sz="6" w:space="0" w:color="000000"/>
                                    <w:left w:val="single" w:sz="4" w:space="0" w:color="auto"/>
                                    <w:right w:val="single" w:sz="4" w:space="0" w:color="auto"/>
                                  </w:tcBorders>
                                  <w:shd w:val="clear" w:color="auto" w:fill="auto"/>
                                  <w:vAlign w:val="center"/>
                                </w:tcPr>
                                <w:p w:rsidR="00F92390" w:rsidRPr="002723A5" w:rsidRDefault="00F92390" w:rsidP="00F92390">
                                  <w:pPr>
                                    <w:tabs>
                                      <w:tab w:val="left" w:pos="35"/>
                                    </w:tabs>
                                    <w:ind w:left="35" w:right="12" w:hanging="35"/>
                                    <w:jc w:val="center"/>
                                    <w:rPr>
                                      <w:sz w:val="22"/>
                                      <w:szCs w:val="22"/>
                                    </w:rPr>
                                  </w:pPr>
                                  <w:r w:rsidRPr="002723A5">
                                    <w:rPr>
                                      <w:sz w:val="22"/>
                                      <w:szCs w:val="22"/>
                                    </w:rPr>
                                    <w:t>Mi-parcours</w:t>
                                  </w:r>
                                </w:p>
                              </w:tc>
                              <w:tc>
                                <w:tcPr>
                                  <w:tcW w:w="3260" w:type="dxa"/>
                                  <w:tcBorders>
                                    <w:top w:val="single" w:sz="6" w:space="0" w:color="000000"/>
                                    <w:left w:val="single" w:sz="4" w:space="0" w:color="auto"/>
                                    <w:right w:val="single" w:sz="4" w:space="0" w:color="auto"/>
                                  </w:tcBorders>
                                </w:tcPr>
                                <w:p w:rsidR="00F92390" w:rsidRPr="002723A5" w:rsidRDefault="00F92390" w:rsidP="00F92390">
                                  <w:pPr>
                                    <w:tabs>
                                      <w:tab w:val="left" w:pos="35"/>
                                    </w:tabs>
                                    <w:ind w:left="35" w:right="12" w:hanging="35"/>
                                    <w:rPr>
                                      <w:sz w:val="22"/>
                                      <w:szCs w:val="22"/>
                                    </w:rPr>
                                  </w:pPr>
                                  <w:r w:rsidRPr="002723A5">
                                    <w:rPr>
                                      <w:sz w:val="22"/>
                                      <w:szCs w:val="22"/>
                                    </w:rPr>
                                    <w:t>Sixième mois pendant la mise en œuvre du projet</w:t>
                                  </w:r>
                                </w:p>
                              </w:tc>
                            </w:tr>
                            <w:tr w:rsidR="00F92390" w:rsidRPr="00F96430" w:rsidTr="00BA5F73">
                              <w:trPr>
                                <w:cantSplit/>
                                <w:trHeight w:val="113"/>
                              </w:trPr>
                              <w:tc>
                                <w:tcPr>
                                  <w:tcW w:w="2376" w:type="dxa"/>
                                  <w:vMerge/>
                                  <w:tcBorders>
                                    <w:left w:val="single" w:sz="6" w:space="0" w:color="000000"/>
                                    <w:right w:val="single" w:sz="4" w:space="0" w:color="auto"/>
                                  </w:tcBorders>
                                  <w:shd w:val="clear" w:color="auto" w:fill="auto"/>
                                </w:tcPr>
                                <w:p w:rsidR="00F92390" w:rsidRPr="002723A5" w:rsidRDefault="00F92390" w:rsidP="00F92390">
                                  <w:pPr>
                                    <w:ind w:right="12"/>
                                    <w:rPr>
                                      <w:bCs/>
                                      <w:sz w:val="22"/>
                                      <w:szCs w:val="22"/>
                                    </w:rPr>
                                  </w:pPr>
                                </w:p>
                              </w:tc>
                              <w:tc>
                                <w:tcPr>
                                  <w:tcW w:w="2018" w:type="dxa"/>
                                  <w:vMerge/>
                                  <w:tcBorders>
                                    <w:left w:val="single" w:sz="4" w:space="0" w:color="auto"/>
                                    <w:right w:val="single" w:sz="4" w:space="0" w:color="auto"/>
                                  </w:tcBorders>
                                  <w:shd w:val="clear" w:color="auto" w:fill="auto"/>
                                </w:tcPr>
                                <w:p w:rsidR="00F92390" w:rsidRPr="002723A5" w:rsidRDefault="00F92390" w:rsidP="00F92390">
                                  <w:pPr>
                                    <w:tabs>
                                      <w:tab w:val="left" w:pos="360"/>
                                    </w:tabs>
                                    <w:ind w:left="360" w:right="12" w:hanging="360"/>
                                    <w:rPr>
                                      <w:sz w:val="22"/>
                                      <w:szCs w:val="22"/>
                                    </w:rPr>
                                  </w:pPr>
                                </w:p>
                              </w:tc>
                              <w:tc>
                                <w:tcPr>
                                  <w:tcW w:w="2268" w:type="dxa"/>
                                  <w:tcBorders>
                                    <w:top w:val="single" w:sz="4" w:space="0" w:color="auto"/>
                                    <w:left w:val="single" w:sz="4" w:space="0" w:color="auto"/>
                                    <w:right w:val="single" w:sz="4" w:space="0" w:color="auto"/>
                                  </w:tcBorders>
                                  <w:shd w:val="clear" w:color="auto" w:fill="auto"/>
                                  <w:vAlign w:val="center"/>
                                </w:tcPr>
                                <w:p w:rsidR="00F92390" w:rsidRPr="002723A5" w:rsidRDefault="00F92390" w:rsidP="00F92390">
                                  <w:pPr>
                                    <w:tabs>
                                      <w:tab w:val="left" w:pos="360"/>
                                    </w:tabs>
                                    <w:ind w:left="360" w:right="12" w:hanging="360"/>
                                    <w:jc w:val="center"/>
                                    <w:rPr>
                                      <w:sz w:val="22"/>
                                      <w:szCs w:val="22"/>
                                    </w:rPr>
                                  </w:pPr>
                                  <w:r w:rsidRPr="002723A5">
                                    <w:rPr>
                                      <w:sz w:val="22"/>
                                      <w:szCs w:val="22"/>
                                    </w:rPr>
                                    <w:t>Finale</w:t>
                                  </w:r>
                                </w:p>
                              </w:tc>
                              <w:tc>
                                <w:tcPr>
                                  <w:tcW w:w="3260" w:type="dxa"/>
                                  <w:tcBorders>
                                    <w:top w:val="single" w:sz="4" w:space="0" w:color="auto"/>
                                    <w:left w:val="single" w:sz="4" w:space="0" w:color="auto"/>
                                    <w:right w:val="single" w:sz="4" w:space="0" w:color="auto"/>
                                  </w:tcBorders>
                                </w:tcPr>
                                <w:p w:rsidR="00F92390" w:rsidRPr="002723A5" w:rsidRDefault="00F92390" w:rsidP="00F92390">
                                  <w:pPr>
                                    <w:tabs>
                                      <w:tab w:val="left" w:pos="360"/>
                                    </w:tabs>
                                    <w:ind w:left="360" w:right="12" w:hanging="360"/>
                                    <w:rPr>
                                      <w:sz w:val="22"/>
                                      <w:szCs w:val="22"/>
                                    </w:rPr>
                                  </w:pPr>
                                  <w:r w:rsidRPr="002723A5">
                                    <w:rPr>
                                      <w:sz w:val="22"/>
                                      <w:szCs w:val="22"/>
                                    </w:rPr>
                                    <w:t>Fin de la mise en œuvre du projet</w:t>
                                  </w:r>
                                </w:p>
                              </w:tc>
                            </w:tr>
                          </w:tbl>
                          <w:p w:rsidR="00F92390" w:rsidRDefault="00F923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37" type="#_x0000_t202" style="position:absolute;margin-left:-27.8pt;margin-top:6.25pt;width:507.15pt;height:436.75pt;z-index:251662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" fillcolor="white [3201]" strokecolor="white [3212]" strokeweight=".5pt">
                <v:textbox>
                  <w:txbxContent>
                    <w:tbl>
                      <w:tblPr>
                        <w:tblW w:w="99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6"/>
                        <w:gridCol w:w="2018"/>
                        <w:gridCol w:w="2268"/>
                        <w:gridCol w:w="3260"/>
                      </w:tblGrid>
                      <w:tr w:rsidR="00F92390" w:rsidRPr="00F96430" w:rsidTr="00BA5F73">
                        <w:trPr>
                          <w:cantSplit/>
                          <w:trHeight w:val="83"/>
                        </w:trPr>
                        <w:tc>
                          <w:tcPr>
                            <w:tcW w:w="9922" w:type="dxa"/>
                            <w:gridSpan w:val="4"/>
                            <w:tcBorders>
                              <w:top w:val="nil"/>
                              <w:left w:val="nil"/>
                              <w:bottom w:val="single" w:sz="4" w:space="0" w:color="auto"/>
                              <w:right w:val="nil"/>
                            </w:tcBorders>
                            <w:shd w:val="clear" w:color="auto" w:fill="auto"/>
                            <w:vAlign w:val="center"/>
                          </w:tcPr>
                          <w:p w:rsidR="00F92390" w:rsidRDefault="00F92390" w:rsidP="00F92390">
                            <w:pPr>
                              <w:ind w:right="12"/>
                              <w:jc w:val="center"/>
                              <w:rPr>
                                <w:b/>
                                <w:bCs/>
                                <w:sz w:val="20"/>
                                <w:szCs w:val="20"/>
                              </w:rPr>
                            </w:pPr>
                            <w:bookmarkStart w:id="355" w:name="_Toc75503455"/>
                          </w:p>
                          <w:p w:rsidR="00F92390" w:rsidRPr="00E770F3" w:rsidRDefault="00F92390" w:rsidP="00F92390">
                            <w:pPr>
                              <w:ind w:right="12"/>
                              <w:rPr>
                                <w:b/>
                                <w:bCs/>
                                <w:sz w:val="20"/>
                                <w:szCs w:val="20"/>
                              </w:rPr>
                            </w:pPr>
                            <w:r w:rsidRPr="00E770F3">
                              <w:rPr>
                                <w:b/>
                                <w:bCs/>
                                <w:sz w:val="20"/>
                                <w:szCs w:val="20"/>
                              </w:rPr>
                              <w:t xml:space="preserve">Tableau </w:t>
                            </w:r>
                            <w:r w:rsidRPr="00E770F3">
                              <w:rPr>
                                <w:b/>
                                <w:bCs/>
                                <w:sz w:val="20"/>
                                <w:szCs w:val="20"/>
                              </w:rPr>
                              <w:fldChar w:fldCharType="begin"/>
                            </w:r>
                            <w:r w:rsidRPr="00E770F3">
                              <w:rPr>
                                <w:b/>
                                <w:bCs/>
                                <w:sz w:val="20"/>
                                <w:szCs w:val="20"/>
                              </w:rPr>
                              <w:instrText xml:space="preserve"> SEQ Tableau \* ARABIC </w:instrText>
                            </w:r>
                            <w:r w:rsidRPr="00E770F3">
                              <w:rPr>
                                <w:b/>
                                <w:bCs/>
                                <w:sz w:val="20"/>
                                <w:szCs w:val="20"/>
                              </w:rPr>
                              <w:fldChar w:fldCharType="separate"/>
                            </w:r>
                            <w:r w:rsidRPr="00E770F3">
                              <w:rPr>
                                <w:b/>
                                <w:bCs/>
                                <w:noProof/>
                                <w:sz w:val="20"/>
                                <w:szCs w:val="20"/>
                              </w:rPr>
                              <w:t>21</w:t>
                            </w:r>
                            <w:r w:rsidRPr="00E770F3">
                              <w:rPr>
                                <w:b/>
                                <w:bCs/>
                                <w:noProof/>
                                <w:sz w:val="20"/>
                                <w:szCs w:val="20"/>
                              </w:rPr>
                              <w:fldChar w:fldCharType="end"/>
                            </w:r>
                            <w:r w:rsidRPr="00E770F3">
                              <w:rPr>
                                <w:b/>
                                <w:bCs/>
                                <w:sz w:val="20"/>
                                <w:szCs w:val="20"/>
                              </w:rPr>
                              <w:t>: Calendrier de mise en œuvre des mesures</w:t>
                            </w:r>
                            <w:bookmarkEnd w:id="355"/>
                          </w:p>
                        </w:tc>
                      </w:tr>
                      <w:tr w:rsidR="00F92390" w:rsidRPr="00F96430" w:rsidTr="00BA5F73">
                        <w:trPr>
                          <w:cantSplit/>
                          <w:trHeight w:val="83"/>
                        </w:trPr>
                        <w:tc>
                          <w:tcPr>
                            <w:tcW w:w="2376" w:type="dxa"/>
                            <w:vMerge w:val="restart"/>
                            <w:tcBorders>
                              <w:top w:val="single" w:sz="4" w:space="0" w:color="auto"/>
                              <w:right w:val="single" w:sz="4" w:space="0" w:color="auto"/>
                            </w:tcBorders>
                            <w:shd w:val="clear" w:color="auto" w:fill="E2EFD9" w:themeFill="accent6" w:themeFillTint="33"/>
                            <w:vAlign w:val="center"/>
                          </w:tcPr>
                          <w:p w:rsidR="00F92390" w:rsidRPr="002723A5" w:rsidRDefault="00F92390" w:rsidP="00F92390">
                            <w:pPr>
                              <w:ind w:right="12"/>
                              <w:jc w:val="center"/>
                              <w:rPr>
                                <w:b/>
                                <w:color w:val="000000"/>
                                <w:sz w:val="22"/>
                                <w:szCs w:val="22"/>
                              </w:rPr>
                            </w:pPr>
                            <w:r w:rsidRPr="002723A5">
                              <w:rPr>
                                <w:b/>
                                <w:color w:val="000000"/>
                                <w:sz w:val="22"/>
                                <w:szCs w:val="22"/>
                              </w:rPr>
                              <w:t>Mesures</w:t>
                            </w:r>
                          </w:p>
                        </w:tc>
                        <w:tc>
                          <w:tcPr>
                            <w:tcW w:w="4286" w:type="dxa"/>
                            <w:gridSpan w:val="2"/>
                            <w:vMerge w:val="restart"/>
                            <w:tcBorders>
                              <w:top w:val="single" w:sz="4" w:space="0" w:color="auto"/>
                              <w:left w:val="single" w:sz="4" w:space="0" w:color="auto"/>
                              <w:right w:val="single" w:sz="4" w:space="0" w:color="auto"/>
                            </w:tcBorders>
                            <w:shd w:val="clear" w:color="auto" w:fill="E2EFD9" w:themeFill="accent6" w:themeFillTint="33"/>
                            <w:vAlign w:val="center"/>
                          </w:tcPr>
                          <w:p w:rsidR="00F92390" w:rsidRPr="002723A5" w:rsidRDefault="00F92390" w:rsidP="00F92390">
                            <w:pPr>
                              <w:ind w:right="12"/>
                              <w:jc w:val="center"/>
                              <w:rPr>
                                <w:b/>
                                <w:color w:val="000000"/>
                                <w:sz w:val="22"/>
                                <w:szCs w:val="22"/>
                              </w:rPr>
                            </w:pPr>
                            <w:r w:rsidRPr="002723A5">
                              <w:rPr>
                                <w:b/>
                                <w:sz w:val="22"/>
                                <w:szCs w:val="22"/>
                              </w:rPr>
                              <w:t xml:space="preserve">Actions proposées  </w:t>
                            </w:r>
                          </w:p>
                        </w:tc>
                        <w:tc>
                          <w:tcPr>
                            <w:tcW w:w="3260" w:type="dxa"/>
                            <w:tcBorders>
                              <w:top w:val="single" w:sz="4" w:space="0" w:color="auto"/>
                              <w:left w:val="single" w:sz="4" w:space="0" w:color="auto"/>
                              <w:bottom w:val="single" w:sz="6" w:space="0" w:color="000000"/>
                              <w:right w:val="single" w:sz="4" w:space="0" w:color="auto"/>
                            </w:tcBorders>
                            <w:shd w:val="clear" w:color="auto" w:fill="E2EFD9" w:themeFill="accent6" w:themeFillTint="33"/>
                          </w:tcPr>
                          <w:p w:rsidR="00F92390" w:rsidRPr="002723A5" w:rsidRDefault="00F92390" w:rsidP="00F92390">
                            <w:pPr>
                              <w:ind w:right="12"/>
                              <w:jc w:val="center"/>
                              <w:rPr>
                                <w:b/>
                                <w:sz w:val="22"/>
                                <w:szCs w:val="22"/>
                              </w:rPr>
                            </w:pPr>
                            <w:r w:rsidRPr="002723A5">
                              <w:rPr>
                                <w:b/>
                                <w:sz w:val="22"/>
                                <w:szCs w:val="22"/>
                              </w:rPr>
                              <w:t xml:space="preserve">Période de réalisation </w:t>
                            </w:r>
                          </w:p>
                        </w:tc>
                      </w:tr>
                      <w:tr w:rsidR="00F92390" w:rsidRPr="00F96430" w:rsidTr="00BA5F73">
                        <w:trPr>
                          <w:cantSplit/>
                          <w:trHeight w:val="60"/>
                        </w:trPr>
                        <w:tc>
                          <w:tcPr>
                            <w:tcW w:w="2376" w:type="dxa"/>
                            <w:vMerge/>
                            <w:tcBorders>
                              <w:bottom w:val="single" w:sz="4" w:space="0" w:color="auto"/>
                              <w:right w:val="single" w:sz="4" w:space="0" w:color="auto"/>
                            </w:tcBorders>
                            <w:vAlign w:val="center"/>
                          </w:tcPr>
                          <w:p w:rsidR="00F92390" w:rsidRPr="002723A5" w:rsidRDefault="00F92390" w:rsidP="00F92390">
                            <w:pPr>
                              <w:ind w:right="12"/>
                              <w:jc w:val="center"/>
                              <w:rPr>
                                <w:b/>
                                <w:color w:val="000000"/>
                                <w:sz w:val="22"/>
                                <w:szCs w:val="22"/>
                              </w:rPr>
                            </w:pPr>
                          </w:p>
                        </w:tc>
                        <w:tc>
                          <w:tcPr>
                            <w:tcW w:w="4286" w:type="dxa"/>
                            <w:gridSpan w:val="2"/>
                            <w:vMerge/>
                            <w:tcBorders>
                              <w:left w:val="single" w:sz="4" w:space="0" w:color="auto"/>
                              <w:right w:val="single" w:sz="4" w:space="0" w:color="auto"/>
                            </w:tcBorders>
                            <w:vAlign w:val="center"/>
                          </w:tcPr>
                          <w:p w:rsidR="00F92390" w:rsidRPr="002723A5" w:rsidRDefault="00F92390" w:rsidP="00F92390">
                            <w:pPr>
                              <w:ind w:right="12"/>
                              <w:jc w:val="center"/>
                              <w:rPr>
                                <w:b/>
                                <w:sz w:val="22"/>
                                <w:szCs w:val="22"/>
                              </w:rPr>
                            </w:pPr>
                          </w:p>
                        </w:tc>
                        <w:tc>
                          <w:tcPr>
                            <w:tcW w:w="3260" w:type="dxa"/>
                            <w:tcBorders>
                              <w:left w:val="single" w:sz="4" w:space="0" w:color="auto"/>
                              <w:bottom w:val="single" w:sz="4" w:space="0" w:color="auto"/>
                              <w:right w:val="single" w:sz="4" w:space="0" w:color="auto"/>
                            </w:tcBorders>
                            <w:shd w:val="clear" w:color="auto" w:fill="FFF2CC" w:themeFill="accent4" w:themeFillTint="33"/>
                          </w:tcPr>
                          <w:p w:rsidR="00F92390" w:rsidRPr="002723A5" w:rsidRDefault="00F92390" w:rsidP="00F92390">
                            <w:pPr>
                              <w:ind w:right="12"/>
                              <w:jc w:val="center"/>
                              <w:rPr>
                                <w:b/>
                                <w:sz w:val="22"/>
                                <w:szCs w:val="22"/>
                              </w:rPr>
                            </w:pPr>
                            <w:r w:rsidRPr="002723A5">
                              <w:rPr>
                                <w:b/>
                                <w:sz w:val="22"/>
                                <w:szCs w:val="22"/>
                              </w:rPr>
                              <w:t xml:space="preserve">An 1 </w:t>
                            </w:r>
                          </w:p>
                        </w:tc>
                      </w:tr>
                      <w:tr w:rsidR="00F92390" w:rsidRPr="00F96430" w:rsidTr="00BA5F73">
                        <w:trPr>
                          <w:cantSplit/>
                          <w:trHeight w:val="475"/>
                        </w:trPr>
                        <w:tc>
                          <w:tcPr>
                            <w:tcW w:w="2376" w:type="dxa"/>
                            <w:tcBorders>
                              <w:top w:val="single" w:sz="4" w:space="0" w:color="auto"/>
                              <w:right w:val="single" w:sz="4" w:space="0" w:color="auto"/>
                            </w:tcBorders>
                            <w:vAlign w:val="center"/>
                          </w:tcPr>
                          <w:p w:rsidR="00F92390" w:rsidRPr="002723A5" w:rsidRDefault="00F92390" w:rsidP="00F92390">
                            <w:pPr>
                              <w:ind w:right="12"/>
                              <w:jc w:val="center"/>
                              <w:rPr>
                                <w:b/>
                                <w:bCs/>
                                <w:sz w:val="22"/>
                                <w:szCs w:val="22"/>
                              </w:rPr>
                            </w:pPr>
                            <w:r w:rsidRPr="002723A5">
                              <w:rPr>
                                <w:b/>
                                <w:bCs/>
                                <w:sz w:val="22"/>
                                <w:szCs w:val="22"/>
                              </w:rPr>
                              <w:t>Mesures d´atténuation</w:t>
                            </w:r>
                          </w:p>
                        </w:tc>
                        <w:tc>
                          <w:tcPr>
                            <w:tcW w:w="4286" w:type="dxa"/>
                            <w:gridSpan w:val="2"/>
                            <w:tcBorders>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Voir liste des mesures d´atténuation par sous projet</w:t>
                            </w:r>
                          </w:p>
                        </w:tc>
                        <w:tc>
                          <w:tcPr>
                            <w:tcW w:w="3260" w:type="dxa"/>
                            <w:tcBorders>
                              <w:top w:val="single" w:sz="4" w:space="0" w:color="auto"/>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Dès le début et en continus de la mise en œuvre des activités du projet</w:t>
                            </w:r>
                          </w:p>
                        </w:tc>
                      </w:tr>
                      <w:tr w:rsidR="00F92390" w:rsidRPr="00F96430" w:rsidTr="00BA5F73">
                        <w:trPr>
                          <w:cantSplit/>
                          <w:trHeight w:val="545"/>
                        </w:trPr>
                        <w:tc>
                          <w:tcPr>
                            <w:tcW w:w="2376" w:type="dxa"/>
                            <w:tcBorders>
                              <w:top w:val="single" w:sz="4" w:space="0" w:color="auto"/>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Mesures institutionnelles</w:t>
                            </w:r>
                          </w:p>
                        </w:tc>
                        <w:tc>
                          <w:tcPr>
                            <w:tcW w:w="4286" w:type="dxa"/>
                            <w:gridSpan w:val="2"/>
                            <w:tcBorders>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Recrutement d´un Spécialiste en Sauvegardes Environnementales et Sociales</w:t>
                            </w:r>
                          </w:p>
                        </w:tc>
                        <w:tc>
                          <w:tcPr>
                            <w:tcW w:w="3260" w:type="dxa"/>
                            <w:tcBorders>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Premier mois, avant le début de la mise en œuvre du projet</w:t>
                            </w:r>
                          </w:p>
                        </w:tc>
                      </w:tr>
                      <w:tr w:rsidR="00F92390" w:rsidRPr="00F96430" w:rsidTr="00BA5F73">
                        <w:trPr>
                          <w:cantSplit/>
                          <w:trHeight w:val="491"/>
                        </w:trPr>
                        <w:tc>
                          <w:tcPr>
                            <w:tcW w:w="2376" w:type="dxa"/>
                            <w:vMerge w:val="restart"/>
                            <w:tcBorders>
                              <w:top w:val="single" w:sz="4" w:space="0" w:color="auto"/>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Mesures techniques</w:t>
                            </w:r>
                          </w:p>
                          <w:p w:rsidR="00F92390" w:rsidRPr="002723A5" w:rsidRDefault="00F92390" w:rsidP="00F92390">
                            <w:pPr>
                              <w:ind w:right="12"/>
                              <w:jc w:val="center"/>
                              <w:rPr>
                                <w:b/>
                                <w:color w:val="000000"/>
                                <w:sz w:val="22"/>
                                <w:szCs w:val="22"/>
                              </w:rPr>
                            </w:pPr>
                          </w:p>
                        </w:tc>
                        <w:tc>
                          <w:tcPr>
                            <w:tcW w:w="4286" w:type="dxa"/>
                            <w:gridSpan w:val="2"/>
                            <w:tcBorders>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 xml:space="preserve">Réalisation d´AEI pour certains sous projet </w:t>
                            </w:r>
                          </w:p>
                        </w:tc>
                        <w:tc>
                          <w:tcPr>
                            <w:tcW w:w="3260" w:type="dxa"/>
                            <w:tcBorders>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 xml:space="preserve"> Trois premiers mois, ou avant la mise en œuvre du projet</w:t>
                            </w:r>
                          </w:p>
                        </w:tc>
                      </w:tr>
                      <w:tr w:rsidR="00F92390" w:rsidRPr="00F96430" w:rsidTr="00BA5F73">
                        <w:trPr>
                          <w:cantSplit/>
                          <w:trHeight w:val="142"/>
                        </w:trPr>
                        <w:tc>
                          <w:tcPr>
                            <w:tcW w:w="2376" w:type="dxa"/>
                            <w:vMerge/>
                            <w:tcBorders>
                              <w:right w:val="single" w:sz="4" w:space="0" w:color="auto"/>
                            </w:tcBorders>
                            <w:shd w:val="clear" w:color="auto" w:fill="auto"/>
                            <w:vAlign w:val="center"/>
                          </w:tcPr>
                          <w:p w:rsidR="00F92390" w:rsidRPr="002723A5" w:rsidRDefault="00F92390" w:rsidP="00F92390">
                            <w:pPr>
                              <w:ind w:right="12"/>
                              <w:jc w:val="center"/>
                              <w:rPr>
                                <w:b/>
                                <w:bCs/>
                                <w:sz w:val="22"/>
                                <w:szCs w:val="22"/>
                              </w:rPr>
                            </w:pPr>
                          </w:p>
                        </w:tc>
                        <w:tc>
                          <w:tcPr>
                            <w:tcW w:w="4286" w:type="dxa"/>
                            <w:gridSpan w:val="2"/>
                            <w:tcBorders>
                              <w:left w:val="single" w:sz="4" w:space="0" w:color="auto"/>
                              <w:right w:val="single" w:sz="4" w:space="0" w:color="auto"/>
                            </w:tcBorders>
                            <w:shd w:val="clear" w:color="auto" w:fill="auto"/>
                          </w:tcPr>
                          <w:p w:rsidR="00F92390" w:rsidRPr="002723A5" w:rsidRDefault="00F92390" w:rsidP="00F92390">
                            <w:pPr>
                              <w:autoSpaceDE w:val="0"/>
                              <w:autoSpaceDN w:val="0"/>
                              <w:adjustRightInd w:val="0"/>
                              <w:ind w:right="12"/>
                              <w:rPr>
                                <w:rFonts w:eastAsia="Times New Roman"/>
                                <w:sz w:val="22"/>
                                <w:szCs w:val="22"/>
                                <w:lang w:val="fr-CA" w:eastAsia="en-US"/>
                              </w:rPr>
                            </w:pPr>
                            <w:r w:rsidRPr="002723A5">
                              <w:rPr>
                                <w:sz w:val="22"/>
                                <w:szCs w:val="22"/>
                              </w:rPr>
                              <w:t xml:space="preserve">Réalisation des </w:t>
                            </w:r>
                            <w:r w:rsidRPr="002723A5">
                              <w:rPr>
                                <w:rFonts w:eastAsia="Times New Roman"/>
                                <w:sz w:val="22"/>
                                <w:szCs w:val="22"/>
                                <w:lang w:val="fr-CA" w:eastAsia="en-US"/>
                              </w:rPr>
                              <w:t>Directives, bonnes pratiques agricoles et manuel d’entretien des infrastructures agricoles.</w:t>
                            </w:r>
                            <w:r w:rsidRPr="002723A5">
                              <w:rPr>
                                <w:rFonts w:eastAsia="Times New Roman"/>
                                <w:sz w:val="22"/>
                                <w:szCs w:val="22"/>
                                <w:lang w:eastAsia="en-US"/>
                              </w:rPr>
                              <w:t xml:space="preserve"> Mesures d’élimination de facteurs de vulnérabilité des activités agricoles y compris la mise en œuvre du PGPP.</w:t>
                            </w:r>
                          </w:p>
                        </w:tc>
                        <w:tc>
                          <w:tcPr>
                            <w:tcW w:w="3260" w:type="dxa"/>
                            <w:tcBorders>
                              <w:left w:val="single" w:sz="4" w:space="0" w:color="auto"/>
                              <w:right w:val="single" w:sz="4" w:space="0" w:color="auto"/>
                            </w:tcBorders>
                          </w:tcPr>
                          <w:p w:rsidR="00F92390" w:rsidRPr="002723A5" w:rsidRDefault="00F92390" w:rsidP="00F92390">
                            <w:pPr>
                              <w:autoSpaceDE w:val="0"/>
                              <w:autoSpaceDN w:val="0"/>
                              <w:adjustRightInd w:val="0"/>
                              <w:ind w:right="12"/>
                              <w:rPr>
                                <w:rFonts w:eastAsia="Times New Roman"/>
                                <w:sz w:val="22"/>
                                <w:szCs w:val="22"/>
                                <w:lang w:val="fr-CA" w:eastAsia="en-US"/>
                              </w:rPr>
                            </w:pPr>
                            <w:r w:rsidRPr="002723A5">
                              <w:rPr>
                                <w:rFonts w:eastAsia="Times New Roman"/>
                                <w:sz w:val="22"/>
                                <w:szCs w:val="22"/>
                                <w:lang w:val="fr-CA" w:eastAsia="en-US"/>
                              </w:rPr>
                              <w:t>A partir du quatrième mois de la mise en œuvre du projet</w:t>
                            </w:r>
                          </w:p>
                          <w:p w:rsidR="00F92390" w:rsidRPr="002723A5" w:rsidRDefault="00F92390" w:rsidP="00F92390">
                            <w:pPr>
                              <w:ind w:right="12"/>
                              <w:rPr>
                                <w:sz w:val="22"/>
                                <w:szCs w:val="22"/>
                                <w:lang w:val="fr-CA"/>
                              </w:rPr>
                            </w:pPr>
                          </w:p>
                        </w:tc>
                      </w:tr>
                      <w:tr w:rsidR="00F92390" w:rsidRPr="00F96430" w:rsidTr="00BA5F73">
                        <w:trPr>
                          <w:cantSplit/>
                          <w:trHeight w:val="142"/>
                        </w:trPr>
                        <w:tc>
                          <w:tcPr>
                            <w:tcW w:w="2376" w:type="dxa"/>
                            <w:vMerge/>
                            <w:tcBorders>
                              <w:right w:val="single" w:sz="4" w:space="0" w:color="auto"/>
                            </w:tcBorders>
                            <w:shd w:val="clear" w:color="auto" w:fill="auto"/>
                            <w:vAlign w:val="center"/>
                          </w:tcPr>
                          <w:p w:rsidR="00F92390" w:rsidRPr="002723A5" w:rsidRDefault="00F92390" w:rsidP="00F92390">
                            <w:pPr>
                              <w:ind w:right="12"/>
                              <w:jc w:val="center"/>
                              <w:rPr>
                                <w:b/>
                                <w:bCs/>
                                <w:sz w:val="22"/>
                                <w:szCs w:val="22"/>
                              </w:rPr>
                            </w:pPr>
                          </w:p>
                        </w:tc>
                        <w:tc>
                          <w:tcPr>
                            <w:tcW w:w="4286" w:type="dxa"/>
                            <w:gridSpan w:val="2"/>
                            <w:tcBorders>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 xml:space="preserve">Mesures d’élimination de facteurs de vulnérabilité des activités agricoles </w:t>
                            </w:r>
                          </w:p>
                        </w:tc>
                        <w:tc>
                          <w:tcPr>
                            <w:tcW w:w="3260" w:type="dxa"/>
                            <w:tcBorders>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Début de la mise en œuvre des activités du projet</w:t>
                            </w:r>
                          </w:p>
                        </w:tc>
                      </w:tr>
                      <w:tr w:rsidR="00F92390" w:rsidRPr="00F96430" w:rsidTr="00BA5F73">
                        <w:trPr>
                          <w:cantSplit/>
                          <w:trHeight w:val="485"/>
                        </w:trPr>
                        <w:tc>
                          <w:tcPr>
                            <w:tcW w:w="2376" w:type="dxa"/>
                            <w:tcBorders>
                              <w:top w:val="single" w:sz="4" w:space="0" w:color="auto"/>
                              <w:left w:val="single" w:sz="6" w:space="0" w:color="000000"/>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Formation</w:t>
                            </w:r>
                          </w:p>
                        </w:tc>
                        <w:tc>
                          <w:tcPr>
                            <w:tcW w:w="4286" w:type="dxa"/>
                            <w:gridSpan w:val="2"/>
                            <w:tcBorders>
                              <w:top w:val="single" w:sz="6" w:space="0" w:color="000000"/>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Formation des Points focaux environnementales et sociales (PFES) en évaluation environnementale</w:t>
                            </w:r>
                          </w:p>
                        </w:tc>
                        <w:tc>
                          <w:tcPr>
                            <w:tcW w:w="3260" w:type="dxa"/>
                            <w:tcBorders>
                              <w:top w:val="single" w:sz="6" w:space="0" w:color="000000"/>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 xml:space="preserve">Premier mois après leur désignation </w:t>
                            </w:r>
                          </w:p>
                          <w:p w:rsidR="00F92390" w:rsidRPr="002723A5" w:rsidRDefault="00F92390" w:rsidP="00F92390">
                            <w:pPr>
                              <w:ind w:right="12"/>
                              <w:rPr>
                                <w:sz w:val="22"/>
                                <w:szCs w:val="22"/>
                              </w:rPr>
                            </w:pPr>
                          </w:p>
                        </w:tc>
                      </w:tr>
                      <w:tr w:rsidR="00F92390" w:rsidRPr="00F96430" w:rsidTr="00BA5F73">
                        <w:trPr>
                          <w:cantSplit/>
                          <w:trHeight w:val="308"/>
                        </w:trPr>
                        <w:tc>
                          <w:tcPr>
                            <w:tcW w:w="2376" w:type="dxa"/>
                            <w:tcBorders>
                              <w:top w:val="single" w:sz="4" w:space="0" w:color="auto"/>
                              <w:left w:val="single" w:sz="6" w:space="0" w:color="000000"/>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Sensibilisation</w:t>
                            </w:r>
                          </w:p>
                        </w:tc>
                        <w:tc>
                          <w:tcPr>
                            <w:tcW w:w="4286" w:type="dxa"/>
                            <w:gridSpan w:val="2"/>
                            <w:tcBorders>
                              <w:top w:val="single" w:sz="6" w:space="0" w:color="000000"/>
                              <w:left w:val="single" w:sz="4" w:space="0" w:color="auto"/>
                              <w:right w:val="single" w:sz="4" w:space="0" w:color="auto"/>
                            </w:tcBorders>
                            <w:shd w:val="clear" w:color="auto" w:fill="auto"/>
                          </w:tcPr>
                          <w:p w:rsidR="00F92390" w:rsidRPr="002723A5" w:rsidRDefault="00F92390" w:rsidP="00F92390">
                            <w:pPr>
                              <w:ind w:right="12"/>
                              <w:rPr>
                                <w:sz w:val="22"/>
                                <w:szCs w:val="22"/>
                              </w:rPr>
                            </w:pPr>
                            <w:r w:rsidRPr="002723A5">
                              <w:rPr>
                                <w:sz w:val="22"/>
                                <w:szCs w:val="22"/>
                              </w:rPr>
                              <w:t>Sensibilisation et mobilisation des populations locales, des Producteurs agricoles et d’autres acteurs concernés</w:t>
                            </w:r>
                          </w:p>
                        </w:tc>
                        <w:tc>
                          <w:tcPr>
                            <w:tcW w:w="3260" w:type="dxa"/>
                            <w:tcBorders>
                              <w:top w:val="single" w:sz="6" w:space="0" w:color="000000"/>
                              <w:left w:val="single" w:sz="4" w:space="0" w:color="auto"/>
                              <w:right w:val="single" w:sz="4" w:space="0" w:color="auto"/>
                            </w:tcBorders>
                          </w:tcPr>
                          <w:p w:rsidR="00F92390" w:rsidRPr="002723A5" w:rsidRDefault="00F92390" w:rsidP="00F92390">
                            <w:pPr>
                              <w:ind w:right="12"/>
                              <w:rPr>
                                <w:sz w:val="22"/>
                                <w:szCs w:val="22"/>
                              </w:rPr>
                            </w:pPr>
                            <w:r w:rsidRPr="002723A5">
                              <w:rPr>
                                <w:sz w:val="22"/>
                                <w:szCs w:val="22"/>
                              </w:rPr>
                              <w:t>Dès le début de l'identification des sous projets et des zones d’intervention validé</w:t>
                            </w:r>
                          </w:p>
                        </w:tc>
                      </w:tr>
                      <w:tr w:rsidR="00F92390" w:rsidRPr="00F96430" w:rsidTr="00BA5F73">
                        <w:trPr>
                          <w:cantSplit/>
                          <w:trHeight w:val="421"/>
                        </w:trPr>
                        <w:tc>
                          <w:tcPr>
                            <w:tcW w:w="2376" w:type="dxa"/>
                            <w:vMerge w:val="restart"/>
                            <w:tcBorders>
                              <w:top w:val="single" w:sz="4" w:space="0" w:color="auto"/>
                              <w:left w:val="single" w:sz="6" w:space="0" w:color="000000"/>
                              <w:right w:val="single" w:sz="4" w:space="0" w:color="auto"/>
                            </w:tcBorders>
                            <w:shd w:val="clear" w:color="auto" w:fill="auto"/>
                            <w:vAlign w:val="center"/>
                          </w:tcPr>
                          <w:p w:rsidR="00F92390" w:rsidRPr="002723A5" w:rsidRDefault="00F92390" w:rsidP="00F92390">
                            <w:pPr>
                              <w:ind w:right="12"/>
                              <w:jc w:val="center"/>
                              <w:rPr>
                                <w:b/>
                                <w:bCs/>
                                <w:sz w:val="22"/>
                                <w:szCs w:val="22"/>
                              </w:rPr>
                            </w:pPr>
                            <w:r w:rsidRPr="002723A5">
                              <w:rPr>
                                <w:b/>
                                <w:bCs/>
                                <w:sz w:val="22"/>
                                <w:szCs w:val="22"/>
                              </w:rPr>
                              <w:t>Mesures de suivi</w:t>
                            </w:r>
                          </w:p>
                        </w:tc>
                        <w:tc>
                          <w:tcPr>
                            <w:tcW w:w="2018" w:type="dxa"/>
                            <w:vMerge w:val="restart"/>
                            <w:tcBorders>
                              <w:top w:val="single" w:sz="6" w:space="0" w:color="000000"/>
                              <w:left w:val="single" w:sz="4" w:space="0" w:color="auto"/>
                              <w:right w:val="single" w:sz="4" w:space="0" w:color="auto"/>
                            </w:tcBorders>
                            <w:shd w:val="clear" w:color="auto" w:fill="auto"/>
                            <w:vAlign w:val="center"/>
                          </w:tcPr>
                          <w:p w:rsidR="00F92390" w:rsidRPr="002723A5" w:rsidRDefault="00F92390" w:rsidP="00F92390">
                            <w:pPr>
                              <w:tabs>
                                <w:tab w:val="left" w:pos="35"/>
                              </w:tabs>
                              <w:ind w:right="12" w:hanging="107"/>
                              <w:jc w:val="center"/>
                              <w:rPr>
                                <w:sz w:val="22"/>
                                <w:szCs w:val="22"/>
                              </w:rPr>
                            </w:pPr>
                            <w:r w:rsidRPr="002723A5">
                              <w:rPr>
                                <w:sz w:val="22"/>
                                <w:szCs w:val="22"/>
                              </w:rPr>
                              <w:t>Suivi</w:t>
                            </w:r>
                          </w:p>
                          <w:p w:rsidR="00F92390" w:rsidRPr="002723A5" w:rsidRDefault="00F92390" w:rsidP="00F92390">
                            <w:pPr>
                              <w:tabs>
                                <w:tab w:val="left" w:pos="35"/>
                              </w:tabs>
                              <w:ind w:right="12" w:hanging="107"/>
                              <w:jc w:val="center"/>
                              <w:rPr>
                                <w:sz w:val="22"/>
                                <w:szCs w:val="22"/>
                              </w:rPr>
                            </w:pPr>
                            <w:r w:rsidRPr="002723A5">
                              <w:rPr>
                                <w:sz w:val="22"/>
                                <w:szCs w:val="22"/>
                              </w:rPr>
                              <w:t>Environnemental et</w:t>
                            </w:r>
                          </w:p>
                          <w:p w:rsidR="00F92390" w:rsidRPr="002723A5" w:rsidRDefault="00F92390" w:rsidP="00F92390">
                            <w:pPr>
                              <w:tabs>
                                <w:tab w:val="left" w:pos="35"/>
                              </w:tabs>
                              <w:ind w:right="12" w:hanging="107"/>
                              <w:jc w:val="center"/>
                              <w:rPr>
                                <w:sz w:val="22"/>
                                <w:szCs w:val="22"/>
                              </w:rPr>
                            </w:pPr>
                            <w:r w:rsidRPr="002723A5">
                              <w:rPr>
                                <w:sz w:val="22"/>
                                <w:szCs w:val="22"/>
                              </w:rPr>
                              <w:t>Surveillance</w:t>
                            </w:r>
                          </w:p>
                          <w:p w:rsidR="00F92390" w:rsidRPr="002723A5" w:rsidRDefault="00F92390" w:rsidP="00F92390">
                            <w:pPr>
                              <w:tabs>
                                <w:tab w:val="left" w:pos="35"/>
                              </w:tabs>
                              <w:ind w:right="12" w:hanging="107"/>
                              <w:jc w:val="center"/>
                              <w:rPr>
                                <w:sz w:val="22"/>
                                <w:szCs w:val="22"/>
                              </w:rPr>
                            </w:pPr>
                            <w:r w:rsidRPr="002723A5">
                              <w:rPr>
                                <w:sz w:val="22"/>
                                <w:szCs w:val="22"/>
                              </w:rPr>
                              <w:t>Environnementale</w:t>
                            </w:r>
                          </w:p>
                          <w:p w:rsidR="00F92390" w:rsidRPr="002723A5" w:rsidRDefault="00F92390" w:rsidP="00F92390">
                            <w:pPr>
                              <w:tabs>
                                <w:tab w:val="left" w:pos="35"/>
                              </w:tabs>
                              <w:ind w:right="12" w:hanging="107"/>
                              <w:jc w:val="center"/>
                              <w:rPr>
                                <w:sz w:val="22"/>
                                <w:szCs w:val="22"/>
                              </w:rPr>
                            </w:pPr>
                            <w:r w:rsidRPr="002723A5">
                              <w:rPr>
                                <w:sz w:val="22"/>
                                <w:szCs w:val="22"/>
                              </w:rPr>
                              <w:t>du PUSA</w:t>
                            </w:r>
                          </w:p>
                        </w:tc>
                        <w:tc>
                          <w:tcPr>
                            <w:tcW w:w="2268" w:type="dxa"/>
                            <w:tcBorders>
                              <w:top w:val="single" w:sz="6" w:space="0" w:color="000000"/>
                              <w:left w:val="single" w:sz="4" w:space="0" w:color="auto"/>
                              <w:right w:val="single" w:sz="4" w:space="0" w:color="auto"/>
                            </w:tcBorders>
                            <w:shd w:val="clear" w:color="auto" w:fill="auto"/>
                            <w:vAlign w:val="center"/>
                          </w:tcPr>
                          <w:p w:rsidR="00F92390" w:rsidRPr="002723A5" w:rsidRDefault="00F92390" w:rsidP="00F92390">
                            <w:pPr>
                              <w:tabs>
                                <w:tab w:val="left" w:pos="35"/>
                              </w:tabs>
                              <w:ind w:right="12" w:hanging="107"/>
                              <w:jc w:val="center"/>
                              <w:rPr>
                                <w:sz w:val="22"/>
                                <w:szCs w:val="22"/>
                              </w:rPr>
                            </w:pPr>
                            <w:r w:rsidRPr="002723A5">
                              <w:rPr>
                                <w:sz w:val="22"/>
                                <w:szCs w:val="22"/>
                              </w:rPr>
                              <w:t>Suivi</w:t>
                            </w:r>
                            <w:r w:rsidRPr="002723A5">
                              <w:rPr>
                                <w:rFonts w:eastAsia="MS Mincho"/>
                                <w:sz w:val="22"/>
                                <w:szCs w:val="22"/>
                              </w:rPr>
                              <w:t xml:space="preserve"> </w:t>
                            </w:r>
                            <w:r w:rsidRPr="002723A5">
                              <w:rPr>
                                <w:sz w:val="22"/>
                                <w:szCs w:val="22"/>
                              </w:rPr>
                              <w:t>de proximité</w:t>
                            </w:r>
                          </w:p>
                        </w:tc>
                        <w:tc>
                          <w:tcPr>
                            <w:tcW w:w="3260" w:type="dxa"/>
                            <w:tcBorders>
                              <w:top w:val="single" w:sz="6" w:space="0" w:color="000000"/>
                              <w:left w:val="single" w:sz="4" w:space="0" w:color="auto"/>
                              <w:right w:val="single" w:sz="4" w:space="0" w:color="auto"/>
                            </w:tcBorders>
                          </w:tcPr>
                          <w:p w:rsidR="00F92390" w:rsidRPr="002723A5" w:rsidRDefault="00F92390" w:rsidP="00F92390">
                            <w:pPr>
                              <w:tabs>
                                <w:tab w:val="left" w:pos="35"/>
                              </w:tabs>
                              <w:ind w:right="12" w:hanging="107"/>
                              <w:rPr>
                                <w:sz w:val="22"/>
                                <w:szCs w:val="22"/>
                              </w:rPr>
                            </w:pPr>
                            <w:r w:rsidRPr="002723A5">
                              <w:rPr>
                                <w:sz w:val="22"/>
                                <w:szCs w:val="22"/>
                              </w:rPr>
                              <w:t>Durant toute la mise en œuvre du projet</w:t>
                            </w:r>
                          </w:p>
                          <w:p w:rsidR="00F92390" w:rsidRPr="002723A5" w:rsidRDefault="00F92390" w:rsidP="00F92390">
                            <w:pPr>
                              <w:tabs>
                                <w:tab w:val="left" w:pos="35"/>
                              </w:tabs>
                              <w:ind w:right="12" w:hanging="107"/>
                              <w:rPr>
                                <w:sz w:val="22"/>
                                <w:szCs w:val="22"/>
                              </w:rPr>
                            </w:pPr>
                          </w:p>
                        </w:tc>
                      </w:tr>
                      <w:tr w:rsidR="00F92390" w:rsidRPr="00F96430" w:rsidTr="00BA5F73">
                        <w:trPr>
                          <w:cantSplit/>
                          <w:trHeight w:val="20"/>
                        </w:trPr>
                        <w:tc>
                          <w:tcPr>
                            <w:tcW w:w="2376" w:type="dxa"/>
                            <w:vMerge/>
                            <w:tcBorders>
                              <w:left w:val="single" w:sz="6" w:space="0" w:color="000000"/>
                              <w:right w:val="single" w:sz="4" w:space="0" w:color="auto"/>
                            </w:tcBorders>
                            <w:shd w:val="clear" w:color="auto" w:fill="auto"/>
                          </w:tcPr>
                          <w:p w:rsidR="00F92390" w:rsidRPr="002723A5" w:rsidRDefault="00F92390" w:rsidP="00F92390">
                            <w:pPr>
                              <w:ind w:right="12"/>
                              <w:rPr>
                                <w:b/>
                                <w:bCs/>
                                <w:sz w:val="22"/>
                                <w:szCs w:val="22"/>
                              </w:rPr>
                            </w:pPr>
                          </w:p>
                        </w:tc>
                        <w:tc>
                          <w:tcPr>
                            <w:tcW w:w="2018" w:type="dxa"/>
                            <w:vMerge/>
                            <w:tcBorders>
                              <w:left w:val="single" w:sz="4" w:space="0" w:color="auto"/>
                              <w:bottom w:val="single" w:sz="4" w:space="0" w:color="auto"/>
                              <w:right w:val="single" w:sz="4" w:space="0" w:color="auto"/>
                            </w:tcBorders>
                            <w:shd w:val="clear" w:color="auto" w:fill="auto"/>
                            <w:vAlign w:val="center"/>
                          </w:tcPr>
                          <w:p w:rsidR="00F92390" w:rsidRPr="002723A5" w:rsidRDefault="00F92390" w:rsidP="00F92390">
                            <w:pPr>
                              <w:tabs>
                                <w:tab w:val="left" w:pos="360"/>
                              </w:tabs>
                              <w:ind w:left="360" w:right="12" w:hanging="360"/>
                              <w:jc w:val="center"/>
                              <w:rPr>
                                <w:sz w:val="22"/>
                                <w:szCs w:val="22"/>
                              </w:rPr>
                            </w:pPr>
                          </w:p>
                        </w:tc>
                        <w:tc>
                          <w:tcPr>
                            <w:tcW w:w="2268" w:type="dxa"/>
                            <w:tcBorders>
                              <w:left w:val="single" w:sz="4" w:space="0" w:color="auto"/>
                              <w:bottom w:val="single" w:sz="4" w:space="0" w:color="auto"/>
                              <w:right w:val="single" w:sz="4" w:space="0" w:color="auto"/>
                            </w:tcBorders>
                            <w:shd w:val="clear" w:color="auto" w:fill="auto"/>
                            <w:vAlign w:val="center"/>
                          </w:tcPr>
                          <w:p w:rsidR="00F92390" w:rsidRPr="002723A5" w:rsidRDefault="00F92390" w:rsidP="00F92390">
                            <w:pPr>
                              <w:tabs>
                                <w:tab w:val="left" w:pos="360"/>
                              </w:tabs>
                              <w:ind w:left="360" w:right="12" w:hanging="360"/>
                              <w:jc w:val="center"/>
                              <w:rPr>
                                <w:sz w:val="22"/>
                                <w:szCs w:val="22"/>
                              </w:rPr>
                            </w:pPr>
                            <w:r w:rsidRPr="002723A5">
                              <w:rPr>
                                <w:sz w:val="22"/>
                                <w:szCs w:val="22"/>
                              </w:rPr>
                              <w:t>Supervision</w:t>
                            </w:r>
                          </w:p>
                        </w:tc>
                        <w:tc>
                          <w:tcPr>
                            <w:tcW w:w="3260" w:type="dxa"/>
                            <w:tcBorders>
                              <w:left w:val="single" w:sz="4" w:space="0" w:color="auto"/>
                              <w:bottom w:val="single" w:sz="4" w:space="0" w:color="auto"/>
                              <w:right w:val="single" w:sz="4" w:space="0" w:color="auto"/>
                            </w:tcBorders>
                          </w:tcPr>
                          <w:p w:rsidR="00F92390" w:rsidRPr="002723A5" w:rsidRDefault="00F92390" w:rsidP="00F92390">
                            <w:pPr>
                              <w:tabs>
                                <w:tab w:val="left" w:pos="360"/>
                              </w:tabs>
                              <w:ind w:left="360" w:right="12" w:hanging="360"/>
                              <w:rPr>
                                <w:sz w:val="22"/>
                                <w:szCs w:val="22"/>
                              </w:rPr>
                            </w:pPr>
                            <w:r w:rsidRPr="002723A5">
                              <w:rPr>
                                <w:sz w:val="22"/>
                                <w:szCs w:val="22"/>
                              </w:rPr>
                              <w:t>Tous les mois durant la mise en œuvre du projet</w:t>
                            </w:r>
                          </w:p>
                        </w:tc>
                      </w:tr>
                      <w:tr w:rsidR="00F92390" w:rsidRPr="00F96430" w:rsidTr="00BA5F73">
                        <w:trPr>
                          <w:cantSplit/>
                          <w:trHeight w:val="155"/>
                        </w:trPr>
                        <w:tc>
                          <w:tcPr>
                            <w:tcW w:w="2376" w:type="dxa"/>
                            <w:vMerge/>
                            <w:tcBorders>
                              <w:left w:val="single" w:sz="6" w:space="0" w:color="000000"/>
                              <w:right w:val="single" w:sz="4" w:space="0" w:color="auto"/>
                            </w:tcBorders>
                            <w:shd w:val="clear" w:color="auto" w:fill="auto"/>
                          </w:tcPr>
                          <w:p w:rsidR="00F92390" w:rsidRPr="002723A5" w:rsidRDefault="00F92390" w:rsidP="00F92390">
                            <w:pPr>
                              <w:ind w:right="12"/>
                              <w:rPr>
                                <w:bCs/>
                                <w:sz w:val="22"/>
                                <w:szCs w:val="22"/>
                              </w:rPr>
                            </w:pPr>
                          </w:p>
                        </w:tc>
                        <w:tc>
                          <w:tcPr>
                            <w:tcW w:w="2018" w:type="dxa"/>
                            <w:vMerge w:val="restart"/>
                            <w:tcBorders>
                              <w:top w:val="single" w:sz="6" w:space="0" w:color="000000"/>
                              <w:left w:val="single" w:sz="4" w:space="0" w:color="auto"/>
                              <w:right w:val="single" w:sz="4" w:space="0" w:color="auto"/>
                            </w:tcBorders>
                            <w:shd w:val="clear" w:color="auto" w:fill="auto"/>
                            <w:vAlign w:val="center"/>
                          </w:tcPr>
                          <w:p w:rsidR="00F92390" w:rsidRPr="002723A5" w:rsidRDefault="00F92390" w:rsidP="00F92390">
                            <w:pPr>
                              <w:tabs>
                                <w:tab w:val="left" w:pos="35"/>
                              </w:tabs>
                              <w:ind w:left="35" w:right="12" w:hanging="35"/>
                              <w:jc w:val="center"/>
                              <w:rPr>
                                <w:sz w:val="22"/>
                                <w:szCs w:val="22"/>
                              </w:rPr>
                            </w:pPr>
                            <w:r w:rsidRPr="002723A5">
                              <w:rPr>
                                <w:sz w:val="22"/>
                                <w:szCs w:val="22"/>
                              </w:rPr>
                              <w:t>Évaluation AEI</w:t>
                            </w:r>
                          </w:p>
                        </w:tc>
                        <w:tc>
                          <w:tcPr>
                            <w:tcW w:w="2268" w:type="dxa"/>
                            <w:tcBorders>
                              <w:top w:val="single" w:sz="6" w:space="0" w:color="000000"/>
                              <w:left w:val="single" w:sz="4" w:space="0" w:color="auto"/>
                              <w:right w:val="single" w:sz="4" w:space="0" w:color="auto"/>
                            </w:tcBorders>
                            <w:shd w:val="clear" w:color="auto" w:fill="auto"/>
                            <w:vAlign w:val="center"/>
                          </w:tcPr>
                          <w:p w:rsidR="00F92390" w:rsidRPr="002723A5" w:rsidRDefault="00F92390" w:rsidP="00F92390">
                            <w:pPr>
                              <w:tabs>
                                <w:tab w:val="left" w:pos="35"/>
                              </w:tabs>
                              <w:ind w:left="35" w:right="12" w:hanging="35"/>
                              <w:jc w:val="center"/>
                              <w:rPr>
                                <w:sz w:val="22"/>
                                <w:szCs w:val="22"/>
                              </w:rPr>
                            </w:pPr>
                            <w:r w:rsidRPr="002723A5">
                              <w:rPr>
                                <w:sz w:val="22"/>
                                <w:szCs w:val="22"/>
                              </w:rPr>
                              <w:t>Mi-parcours</w:t>
                            </w:r>
                          </w:p>
                        </w:tc>
                        <w:tc>
                          <w:tcPr>
                            <w:tcW w:w="3260" w:type="dxa"/>
                            <w:tcBorders>
                              <w:top w:val="single" w:sz="6" w:space="0" w:color="000000"/>
                              <w:left w:val="single" w:sz="4" w:space="0" w:color="auto"/>
                              <w:right w:val="single" w:sz="4" w:space="0" w:color="auto"/>
                            </w:tcBorders>
                          </w:tcPr>
                          <w:p w:rsidR="00F92390" w:rsidRPr="002723A5" w:rsidRDefault="00F92390" w:rsidP="00F92390">
                            <w:pPr>
                              <w:tabs>
                                <w:tab w:val="left" w:pos="35"/>
                              </w:tabs>
                              <w:ind w:left="35" w:right="12" w:hanging="35"/>
                              <w:rPr>
                                <w:sz w:val="22"/>
                                <w:szCs w:val="22"/>
                              </w:rPr>
                            </w:pPr>
                            <w:r w:rsidRPr="002723A5">
                              <w:rPr>
                                <w:sz w:val="22"/>
                                <w:szCs w:val="22"/>
                              </w:rPr>
                              <w:t>Sixième mois pendant la mise en œuvre du projet</w:t>
                            </w:r>
                          </w:p>
                        </w:tc>
                      </w:tr>
                      <w:tr w:rsidR="00F92390" w:rsidRPr="00F96430" w:rsidTr="00BA5F73">
                        <w:trPr>
                          <w:cantSplit/>
                          <w:trHeight w:val="113"/>
                        </w:trPr>
                        <w:tc>
                          <w:tcPr>
                            <w:tcW w:w="2376" w:type="dxa"/>
                            <w:vMerge/>
                            <w:tcBorders>
                              <w:left w:val="single" w:sz="6" w:space="0" w:color="000000"/>
                              <w:right w:val="single" w:sz="4" w:space="0" w:color="auto"/>
                            </w:tcBorders>
                            <w:shd w:val="clear" w:color="auto" w:fill="auto"/>
                          </w:tcPr>
                          <w:p w:rsidR="00F92390" w:rsidRPr="002723A5" w:rsidRDefault="00F92390" w:rsidP="00F92390">
                            <w:pPr>
                              <w:ind w:right="12"/>
                              <w:rPr>
                                <w:bCs/>
                                <w:sz w:val="22"/>
                                <w:szCs w:val="22"/>
                              </w:rPr>
                            </w:pPr>
                          </w:p>
                        </w:tc>
                        <w:tc>
                          <w:tcPr>
                            <w:tcW w:w="2018" w:type="dxa"/>
                            <w:vMerge/>
                            <w:tcBorders>
                              <w:left w:val="single" w:sz="4" w:space="0" w:color="auto"/>
                              <w:right w:val="single" w:sz="4" w:space="0" w:color="auto"/>
                            </w:tcBorders>
                            <w:shd w:val="clear" w:color="auto" w:fill="auto"/>
                          </w:tcPr>
                          <w:p w:rsidR="00F92390" w:rsidRPr="002723A5" w:rsidRDefault="00F92390" w:rsidP="00F92390">
                            <w:pPr>
                              <w:tabs>
                                <w:tab w:val="left" w:pos="360"/>
                              </w:tabs>
                              <w:ind w:left="360" w:right="12" w:hanging="360"/>
                              <w:rPr>
                                <w:sz w:val="22"/>
                                <w:szCs w:val="22"/>
                              </w:rPr>
                            </w:pPr>
                          </w:p>
                        </w:tc>
                        <w:tc>
                          <w:tcPr>
                            <w:tcW w:w="2268" w:type="dxa"/>
                            <w:tcBorders>
                              <w:top w:val="single" w:sz="4" w:space="0" w:color="auto"/>
                              <w:left w:val="single" w:sz="4" w:space="0" w:color="auto"/>
                              <w:right w:val="single" w:sz="4" w:space="0" w:color="auto"/>
                            </w:tcBorders>
                            <w:shd w:val="clear" w:color="auto" w:fill="auto"/>
                            <w:vAlign w:val="center"/>
                          </w:tcPr>
                          <w:p w:rsidR="00F92390" w:rsidRPr="002723A5" w:rsidRDefault="00F92390" w:rsidP="00F92390">
                            <w:pPr>
                              <w:tabs>
                                <w:tab w:val="left" w:pos="360"/>
                              </w:tabs>
                              <w:ind w:left="360" w:right="12" w:hanging="360"/>
                              <w:jc w:val="center"/>
                              <w:rPr>
                                <w:sz w:val="22"/>
                                <w:szCs w:val="22"/>
                              </w:rPr>
                            </w:pPr>
                            <w:r w:rsidRPr="002723A5">
                              <w:rPr>
                                <w:sz w:val="22"/>
                                <w:szCs w:val="22"/>
                              </w:rPr>
                              <w:t>Finale</w:t>
                            </w:r>
                          </w:p>
                        </w:tc>
                        <w:tc>
                          <w:tcPr>
                            <w:tcW w:w="3260" w:type="dxa"/>
                            <w:tcBorders>
                              <w:top w:val="single" w:sz="4" w:space="0" w:color="auto"/>
                              <w:left w:val="single" w:sz="4" w:space="0" w:color="auto"/>
                              <w:right w:val="single" w:sz="4" w:space="0" w:color="auto"/>
                            </w:tcBorders>
                          </w:tcPr>
                          <w:p w:rsidR="00F92390" w:rsidRPr="002723A5" w:rsidRDefault="00F92390" w:rsidP="00F92390">
                            <w:pPr>
                              <w:tabs>
                                <w:tab w:val="left" w:pos="360"/>
                              </w:tabs>
                              <w:ind w:left="360" w:right="12" w:hanging="360"/>
                              <w:rPr>
                                <w:sz w:val="22"/>
                                <w:szCs w:val="22"/>
                              </w:rPr>
                            </w:pPr>
                            <w:r w:rsidRPr="002723A5">
                              <w:rPr>
                                <w:sz w:val="22"/>
                                <w:szCs w:val="22"/>
                              </w:rPr>
                              <w:t>Fin de la mise en œuvre du projet</w:t>
                            </w:r>
                          </w:p>
                        </w:tc>
                      </w:tr>
                    </w:tbl>
                    <w:p w:rsidR="00F92390" w:rsidRDefault="00F92390"/>
                  </w:txbxContent>
                </v:textbox>
              </v:shape>
            </w:pict>
          </mc:Fallback>
        </mc:AlternateContent>
      </w:r>
    </w:p>
    <w:p w:rsidR="00647D50" w:rsidRDefault="00647D50" w:rsidP="00A76F4A">
      <w:pPr>
        <w:ind w:right="12"/>
        <w:rPr>
          <w:rFonts w:eastAsia="Times New Roman"/>
          <w:iCs/>
          <w:sz w:val="22"/>
          <w:szCs w:val="20"/>
          <w:lang w:eastAsia="fr-BE"/>
        </w:rPr>
      </w:pPr>
    </w:p>
    <w:p w:rsidR="00647D50" w:rsidRDefault="00647D50" w:rsidP="00A76F4A">
      <w:pPr>
        <w:ind w:right="12"/>
        <w:rPr>
          <w:rFonts w:eastAsia="Times New Roman"/>
          <w:iCs/>
          <w:sz w:val="22"/>
          <w:szCs w:val="20"/>
          <w:lang w:eastAsia="fr-BE"/>
        </w:rPr>
      </w:pPr>
    </w:p>
    <w:p w:rsidR="00647D50" w:rsidRDefault="00647D5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F92390" w:rsidRDefault="00F92390" w:rsidP="00A76F4A">
      <w:pPr>
        <w:ind w:right="12"/>
        <w:rPr>
          <w:rFonts w:eastAsia="Times New Roman"/>
          <w:iCs/>
          <w:sz w:val="22"/>
          <w:szCs w:val="20"/>
          <w:lang w:eastAsia="fr-BE"/>
        </w:rPr>
      </w:pPr>
    </w:p>
    <w:p w:rsidR="006A341D" w:rsidRDefault="006A341D" w:rsidP="00A76F4A">
      <w:pPr>
        <w:pStyle w:val="PargrafodaLista"/>
        <w:numPr>
          <w:ilvl w:val="0"/>
          <w:numId w:val="287"/>
        </w:numPr>
        <w:spacing w:after="120" w:line="240" w:lineRule="auto"/>
        <w:ind w:left="2268" w:right="12"/>
        <w:outlineLvl w:val="1"/>
        <w:rPr>
          <w:rFonts w:ascii="Times New Roman" w:hAnsi="Times New Roman"/>
          <w:b/>
          <w:bCs/>
          <w:sz w:val="24"/>
          <w:szCs w:val="24"/>
        </w:rPr>
      </w:pPr>
      <w:bookmarkStart w:id="356" w:name="_Toc75432314"/>
      <w:bookmarkEnd w:id="325"/>
      <w:bookmarkEnd w:id="326"/>
      <w:r w:rsidRPr="00FF0A9A">
        <w:rPr>
          <w:rFonts w:ascii="Times New Roman" w:hAnsi="Times New Roman"/>
          <w:b/>
          <w:bCs/>
          <w:sz w:val="24"/>
          <w:szCs w:val="24"/>
        </w:rPr>
        <w:t>Calendrier de mise en œuvre des mesures</w:t>
      </w:r>
      <w:bookmarkEnd w:id="356"/>
      <w:r w:rsidRPr="00FF0A9A">
        <w:rPr>
          <w:rFonts w:ascii="Times New Roman" w:hAnsi="Times New Roman"/>
          <w:b/>
          <w:bCs/>
          <w:sz w:val="24"/>
          <w:szCs w:val="24"/>
        </w:rPr>
        <w:t xml:space="preserve"> </w:t>
      </w:r>
    </w:p>
    <w:p w:rsidR="0003666F" w:rsidRPr="0003666F" w:rsidRDefault="008142E8" w:rsidP="00A76F4A">
      <w:pPr>
        <w:ind w:right="12"/>
        <w:jc w:val="both"/>
      </w:pPr>
      <w:r w:rsidRPr="00D901AE">
        <w:t>Le calendrier de mise en œuvre et de suivi des activités environnementales du projet PUSA s’établira comme suit :</w:t>
      </w:r>
    </w:p>
    <w:p w:rsidR="007131E8" w:rsidRPr="00E770F3" w:rsidRDefault="00B46AFA" w:rsidP="00E770F3">
      <w:pPr>
        <w:ind w:left="284" w:right="12"/>
        <w:jc w:val="center"/>
        <w:rPr>
          <w:rFonts w:eastAsia="Times New Roman" w:cs="Calibri"/>
          <w:b/>
          <w:bCs/>
          <w:sz w:val="20"/>
          <w:szCs w:val="20"/>
          <w:lang w:eastAsia="en-US"/>
        </w:rPr>
      </w:pPr>
      <w:bookmarkStart w:id="357" w:name="_Toc11189478"/>
      <w:bookmarkStart w:id="358" w:name="_Toc75503456"/>
      <w:r w:rsidRPr="00E770F3">
        <w:rPr>
          <w:b/>
          <w:sz w:val="20"/>
          <w:szCs w:val="20"/>
        </w:rPr>
        <w:t xml:space="preserve">Tableau </w:t>
      </w:r>
      <w:r w:rsidRPr="00E770F3">
        <w:rPr>
          <w:b/>
          <w:sz w:val="20"/>
          <w:szCs w:val="20"/>
        </w:rPr>
        <w:fldChar w:fldCharType="begin"/>
      </w:r>
      <w:r w:rsidRPr="00E770F3">
        <w:rPr>
          <w:b/>
          <w:sz w:val="20"/>
          <w:szCs w:val="20"/>
        </w:rPr>
        <w:instrText xml:space="preserve"> SEQ Tableau \* ARABIC </w:instrText>
      </w:r>
      <w:r w:rsidRPr="00E770F3">
        <w:rPr>
          <w:b/>
          <w:sz w:val="20"/>
          <w:szCs w:val="20"/>
        </w:rPr>
        <w:fldChar w:fldCharType="separate"/>
      </w:r>
      <w:r w:rsidR="0060566C" w:rsidRPr="00E770F3">
        <w:rPr>
          <w:b/>
          <w:noProof/>
          <w:sz w:val="20"/>
          <w:szCs w:val="20"/>
        </w:rPr>
        <w:t>23</w:t>
      </w:r>
      <w:r w:rsidRPr="00E770F3">
        <w:rPr>
          <w:b/>
          <w:sz w:val="20"/>
          <w:szCs w:val="20"/>
        </w:rPr>
        <w:fldChar w:fldCharType="end"/>
      </w:r>
      <w:r w:rsidR="007131E8" w:rsidRPr="00E770F3">
        <w:rPr>
          <w:rFonts w:eastAsia="Times New Roman" w:cs="Calibri"/>
          <w:b/>
          <w:bCs/>
          <w:sz w:val="20"/>
          <w:szCs w:val="20"/>
          <w:lang w:val="fr-CA" w:eastAsia="en-US"/>
        </w:rPr>
        <w:t xml:space="preserve">: </w:t>
      </w:r>
      <w:r w:rsidR="007131E8" w:rsidRPr="00E770F3">
        <w:rPr>
          <w:rFonts w:eastAsia="Times New Roman" w:cs="Calibri"/>
          <w:b/>
          <w:bCs/>
          <w:sz w:val="20"/>
          <w:szCs w:val="20"/>
          <w:lang w:eastAsia="en-US"/>
        </w:rPr>
        <w:t>Plan d’action de mise en œuvre et de suivi- évaluation du CGES</w:t>
      </w:r>
      <w:bookmarkEnd w:id="357"/>
      <w:bookmarkEnd w:id="358"/>
    </w:p>
    <w:tbl>
      <w:tblPr>
        <w:tblW w:w="10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20"/>
        <w:gridCol w:w="1276"/>
        <w:gridCol w:w="1035"/>
        <w:gridCol w:w="408"/>
        <w:gridCol w:w="403"/>
        <w:gridCol w:w="305"/>
        <w:gridCol w:w="354"/>
        <w:gridCol w:w="354"/>
        <w:gridCol w:w="354"/>
        <w:gridCol w:w="348"/>
        <w:gridCol w:w="348"/>
        <w:gridCol w:w="348"/>
        <w:gridCol w:w="406"/>
        <w:gridCol w:w="406"/>
        <w:gridCol w:w="406"/>
      </w:tblGrid>
      <w:tr w:rsidR="002F5899" w:rsidRPr="00F92390" w:rsidTr="00F92390">
        <w:trPr>
          <w:trHeight w:val="85"/>
          <w:tblHeader/>
          <w:jc w:val="center"/>
        </w:trPr>
        <w:tc>
          <w:tcPr>
            <w:tcW w:w="1555" w:type="dxa"/>
            <w:vMerge w:val="restart"/>
            <w:shd w:val="clear" w:color="auto" w:fill="D9D9D9"/>
            <w:vAlign w:val="center"/>
          </w:tcPr>
          <w:p w:rsidR="003A3658" w:rsidRPr="00F92390" w:rsidRDefault="003A3658" w:rsidP="00A76F4A">
            <w:pPr>
              <w:autoSpaceDE w:val="0"/>
              <w:autoSpaceDN w:val="0"/>
              <w:adjustRightInd w:val="0"/>
              <w:ind w:right="12"/>
              <w:jc w:val="center"/>
              <w:rPr>
                <w:rFonts w:eastAsia="Times New Roman"/>
                <w:sz w:val="20"/>
                <w:szCs w:val="20"/>
                <w:lang w:val="fr-CA" w:eastAsia="en-US"/>
              </w:rPr>
            </w:pPr>
            <w:bookmarkStart w:id="359" w:name="_Toc386199114"/>
            <w:bookmarkStart w:id="360" w:name="_Toc296647970"/>
            <w:r w:rsidRPr="00F92390">
              <w:rPr>
                <w:rFonts w:eastAsia="Times New Roman"/>
                <w:b/>
                <w:bCs/>
                <w:sz w:val="20"/>
                <w:szCs w:val="20"/>
                <w:lang w:val="fr-CA" w:eastAsia="en-US"/>
              </w:rPr>
              <w:t>Mesures</w:t>
            </w:r>
          </w:p>
          <w:p w:rsidR="003A3658" w:rsidRPr="00F92390" w:rsidRDefault="003A3658" w:rsidP="00A76F4A">
            <w:pPr>
              <w:ind w:right="12"/>
              <w:rPr>
                <w:rFonts w:eastAsia="Times New Roman"/>
                <w:sz w:val="20"/>
                <w:szCs w:val="20"/>
                <w:lang w:val="fr-CA" w:eastAsia="en-US"/>
              </w:rPr>
            </w:pPr>
          </w:p>
        </w:tc>
        <w:tc>
          <w:tcPr>
            <w:tcW w:w="2420" w:type="dxa"/>
            <w:vMerge w:val="restart"/>
            <w:shd w:val="clear" w:color="auto" w:fill="D9D9D9"/>
            <w:vAlign w:val="center"/>
          </w:tcPr>
          <w:p w:rsidR="003A3658" w:rsidRPr="00F92390" w:rsidRDefault="003A3658" w:rsidP="00A76F4A">
            <w:pPr>
              <w:autoSpaceDE w:val="0"/>
              <w:autoSpaceDN w:val="0"/>
              <w:adjustRightInd w:val="0"/>
              <w:ind w:right="12"/>
              <w:jc w:val="center"/>
              <w:rPr>
                <w:rFonts w:eastAsia="Times New Roman"/>
                <w:b/>
                <w:bCs/>
                <w:sz w:val="20"/>
                <w:szCs w:val="20"/>
                <w:lang w:val="fr-CA" w:eastAsia="en-US"/>
              </w:rPr>
            </w:pPr>
            <w:r w:rsidRPr="00F92390">
              <w:rPr>
                <w:rFonts w:eastAsia="Times New Roman"/>
                <w:b/>
                <w:bCs/>
                <w:sz w:val="20"/>
                <w:szCs w:val="20"/>
                <w:lang w:val="fr-CA" w:eastAsia="en-US"/>
              </w:rPr>
              <w:t>Actions proposées</w:t>
            </w:r>
          </w:p>
          <w:p w:rsidR="003A3658" w:rsidRPr="00F92390" w:rsidRDefault="003A3658" w:rsidP="00A76F4A">
            <w:pPr>
              <w:ind w:right="12"/>
              <w:rPr>
                <w:rFonts w:eastAsia="Times New Roman"/>
                <w:sz w:val="20"/>
                <w:szCs w:val="20"/>
                <w:lang w:val="fr-CA" w:eastAsia="en-US"/>
              </w:rPr>
            </w:pPr>
          </w:p>
        </w:tc>
        <w:tc>
          <w:tcPr>
            <w:tcW w:w="2311" w:type="dxa"/>
            <w:gridSpan w:val="2"/>
            <w:vMerge w:val="restart"/>
            <w:shd w:val="clear" w:color="auto" w:fill="D9D9D9"/>
          </w:tcPr>
          <w:p w:rsidR="003A3658" w:rsidRPr="00F92390" w:rsidRDefault="003A3658" w:rsidP="00A76F4A">
            <w:pPr>
              <w:ind w:right="12"/>
              <w:jc w:val="center"/>
              <w:rPr>
                <w:rFonts w:eastAsia="Times New Roman"/>
                <w:b/>
                <w:bCs/>
                <w:sz w:val="20"/>
                <w:szCs w:val="20"/>
                <w:lang w:val="fr-CA" w:eastAsia="en-US"/>
              </w:rPr>
            </w:pPr>
            <w:r w:rsidRPr="00F92390">
              <w:rPr>
                <w:rFonts w:eastAsia="Times New Roman"/>
                <w:b/>
                <w:sz w:val="20"/>
                <w:szCs w:val="20"/>
                <w:lang w:val="fr-CA" w:eastAsia="en-US"/>
              </w:rPr>
              <w:t>Responsabilités de mise en œuvre</w:t>
            </w:r>
          </w:p>
        </w:tc>
        <w:tc>
          <w:tcPr>
            <w:tcW w:w="4440" w:type="dxa"/>
            <w:gridSpan w:val="12"/>
            <w:shd w:val="clear" w:color="auto" w:fill="D9D9D9"/>
            <w:vAlign w:val="center"/>
          </w:tcPr>
          <w:p w:rsidR="003A3658" w:rsidRPr="00F92390" w:rsidRDefault="003A3658" w:rsidP="00A76F4A">
            <w:pPr>
              <w:ind w:right="12"/>
              <w:jc w:val="center"/>
              <w:rPr>
                <w:rFonts w:eastAsia="Times New Roman"/>
                <w:b/>
                <w:bCs/>
                <w:sz w:val="20"/>
                <w:szCs w:val="20"/>
                <w:lang w:val="fr-CA" w:eastAsia="en-US"/>
              </w:rPr>
            </w:pPr>
            <w:r w:rsidRPr="00F92390">
              <w:rPr>
                <w:rFonts w:eastAsia="Times New Roman"/>
                <w:b/>
                <w:bCs/>
                <w:sz w:val="20"/>
                <w:szCs w:val="20"/>
                <w:lang w:val="fr-CA" w:eastAsia="en-US"/>
              </w:rPr>
              <w:t>Période de réalisation (MOIS)</w:t>
            </w:r>
          </w:p>
        </w:tc>
      </w:tr>
      <w:tr w:rsidR="002F5899" w:rsidRPr="00F92390" w:rsidTr="00F92390">
        <w:trPr>
          <w:trHeight w:val="85"/>
          <w:tblHeader/>
          <w:jc w:val="center"/>
        </w:trPr>
        <w:tc>
          <w:tcPr>
            <w:tcW w:w="1555" w:type="dxa"/>
            <w:vMerge/>
            <w:shd w:val="clear" w:color="auto" w:fill="auto"/>
            <w:vAlign w:val="center"/>
          </w:tcPr>
          <w:p w:rsidR="009736D6" w:rsidRPr="00F92390" w:rsidRDefault="009736D6" w:rsidP="00A76F4A">
            <w:pPr>
              <w:ind w:right="12"/>
              <w:rPr>
                <w:rFonts w:eastAsia="Times New Roman"/>
                <w:sz w:val="20"/>
                <w:szCs w:val="20"/>
                <w:lang w:val="fr-CA" w:eastAsia="en-US"/>
              </w:rPr>
            </w:pPr>
          </w:p>
        </w:tc>
        <w:tc>
          <w:tcPr>
            <w:tcW w:w="2420" w:type="dxa"/>
            <w:vMerge/>
            <w:shd w:val="clear" w:color="auto" w:fill="auto"/>
            <w:vAlign w:val="center"/>
          </w:tcPr>
          <w:p w:rsidR="009736D6" w:rsidRPr="00F92390" w:rsidRDefault="009736D6" w:rsidP="00A76F4A">
            <w:pPr>
              <w:ind w:right="12"/>
              <w:rPr>
                <w:rFonts w:eastAsia="Times New Roman"/>
                <w:sz w:val="20"/>
                <w:szCs w:val="20"/>
                <w:lang w:val="fr-CA" w:eastAsia="en-US"/>
              </w:rPr>
            </w:pPr>
          </w:p>
        </w:tc>
        <w:tc>
          <w:tcPr>
            <w:tcW w:w="2311" w:type="dxa"/>
            <w:gridSpan w:val="2"/>
            <w:vMerge/>
            <w:shd w:val="clear" w:color="auto" w:fill="auto"/>
          </w:tcPr>
          <w:p w:rsidR="009736D6" w:rsidRPr="00F92390" w:rsidRDefault="009736D6" w:rsidP="00A76F4A">
            <w:pPr>
              <w:ind w:right="12"/>
              <w:rPr>
                <w:rFonts w:eastAsia="Times New Roman"/>
                <w:b/>
                <w:sz w:val="20"/>
                <w:szCs w:val="20"/>
                <w:lang w:val="fr-CA" w:eastAsia="en-US"/>
              </w:rPr>
            </w:pPr>
          </w:p>
        </w:tc>
        <w:tc>
          <w:tcPr>
            <w:tcW w:w="408"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b/>
                <w:sz w:val="20"/>
                <w:szCs w:val="20"/>
                <w:lang w:val="fr-CA" w:eastAsia="en-US"/>
              </w:rPr>
              <w:t>1</w:t>
            </w:r>
          </w:p>
        </w:tc>
        <w:tc>
          <w:tcPr>
            <w:tcW w:w="403"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2</w:t>
            </w:r>
          </w:p>
        </w:tc>
        <w:tc>
          <w:tcPr>
            <w:tcW w:w="305"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3</w:t>
            </w:r>
          </w:p>
        </w:tc>
        <w:tc>
          <w:tcPr>
            <w:tcW w:w="354"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4</w:t>
            </w:r>
          </w:p>
        </w:tc>
        <w:tc>
          <w:tcPr>
            <w:tcW w:w="354"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5</w:t>
            </w:r>
          </w:p>
        </w:tc>
        <w:tc>
          <w:tcPr>
            <w:tcW w:w="354"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6</w:t>
            </w:r>
          </w:p>
        </w:tc>
        <w:tc>
          <w:tcPr>
            <w:tcW w:w="348"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7</w:t>
            </w:r>
          </w:p>
        </w:tc>
        <w:tc>
          <w:tcPr>
            <w:tcW w:w="348"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8</w:t>
            </w:r>
          </w:p>
        </w:tc>
        <w:tc>
          <w:tcPr>
            <w:tcW w:w="348"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9</w:t>
            </w:r>
          </w:p>
        </w:tc>
        <w:tc>
          <w:tcPr>
            <w:tcW w:w="406"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10</w:t>
            </w:r>
          </w:p>
        </w:tc>
        <w:tc>
          <w:tcPr>
            <w:tcW w:w="406"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11</w:t>
            </w:r>
          </w:p>
        </w:tc>
        <w:tc>
          <w:tcPr>
            <w:tcW w:w="406" w:type="dxa"/>
            <w:shd w:val="clear" w:color="auto" w:fill="F2F2F2"/>
            <w:vAlign w:val="center"/>
          </w:tcPr>
          <w:p w:rsidR="009736D6" w:rsidRPr="00F92390" w:rsidRDefault="009736D6" w:rsidP="00A76F4A">
            <w:pPr>
              <w:ind w:right="12"/>
              <w:jc w:val="center"/>
              <w:rPr>
                <w:rFonts w:eastAsia="Times New Roman"/>
                <w:sz w:val="20"/>
                <w:szCs w:val="20"/>
                <w:lang w:val="fr-CA" w:eastAsia="en-US"/>
              </w:rPr>
            </w:pPr>
            <w:r w:rsidRPr="00F92390">
              <w:rPr>
                <w:rFonts w:eastAsia="Times New Roman"/>
                <w:sz w:val="20"/>
                <w:szCs w:val="20"/>
                <w:lang w:val="fr-CA" w:eastAsia="en-US"/>
              </w:rPr>
              <w:t>12</w:t>
            </w:r>
          </w:p>
        </w:tc>
      </w:tr>
      <w:tr w:rsidR="002F5899" w:rsidRPr="00F92390" w:rsidTr="00F92390">
        <w:trPr>
          <w:trHeight w:val="1052"/>
          <w:jc w:val="center"/>
        </w:trPr>
        <w:tc>
          <w:tcPr>
            <w:tcW w:w="1555" w:type="dxa"/>
            <w:shd w:val="clear" w:color="auto" w:fill="auto"/>
            <w:vAlign w:val="center"/>
          </w:tcPr>
          <w:p w:rsidR="009736D6" w:rsidRPr="00F92390" w:rsidRDefault="009736D6" w:rsidP="00A76F4A">
            <w:pPr>
              <w:autoSpaceDE w:val="0"/>
              <w:autoSpaceDN w:val="0"/>
              <w:adjustRightInd w:val="0"/>
              <w:ind w:right="12"/>
              <w:rPr>
                <w:rFonts w:eastAsia="Times New Roman"/>
                <w:b/>
                <w:bCs/>
                <w:sz w:val="20"/>
                <w:szCs w:val="20"/>
                <w:lang w:val="fr-CA" w:eastAsia="en-US"/>
              </w:rPr>
            </w:pPr>
            <w:r w:rsidRPr="00F92390">
              <w:rPr>
                <w:rFonts w:eastAsia="Times New Roman"/>
                <w:b/>
                <w:bCs/>
                <w:sz w:val="20"/>
                <w:szCs w:val="20"/>
                <w:lang w:val="fr-CA" w:eastAsia="en-US"/>
              </w:rPr>
              <w:t>Analyse et approbation des sous projets</w:t>
            </w:r>
          </w:p>
        </w:tc>
        <w:tc>
          <w:tcPr>
            <w:tcW w:w="2420" w:type="dxa"/>
            <w:shd w:val="clear" w:color="auto" w:fill="auto"/>
            <w:vAlign w:val="center"/>
          </w:tcPr>
          <w:p w:rsidR="009736D6" w:rsidRPr="00F92390" w:rsidRDefault="009736D6" w:rsidP="00A76F4A">
            <w:pPr>
              <w:ind w:right="12"/>
              <w:rPr>
                <w:rFonts w:eastAsia="Times New Roman"/>
                <w:sz w:val="20"/>
                <w:szCs w:val="20"/>
                <w:lang w:val="fr-CA" w:eastAsia="en-US"/>
              </w:rPr>
            </w:pPr>
            <w:r w:rsidRPr="00F92390">
              <w:rPr>
                <w:rFonts w:eastAsia="Times New Roman"/>
                <w:sz w:val="20"/>
                <w:szCs w:val="20"/>
                <w:lang w:val="fr-CA" w:eastAsia="en-US"/>
              </w:rPr>
              <w:t>Sc</w:t>
            </w:r>
            <w:r w:rsidR="00947A17" w:rsidRPr="00F92390">
              <w:rPr>
                <w:rFonts w:eastAsia="Times New Roman"/>
                <w:sz w:val="20"/>
                <w:szCs w:val="20"/>
                <w:lang w:val="fr-CA" w:eastAsia="en-US"/>
              </w:rPr>
              <w:t xml:space="preserve">reening </w:t>
            </w:r>
            <w:r w:rsidRPr="00F92390">
              <w:rPr>
                <w:rFonts w:eastAsia="Times New Roman"/>
                <w:sz w:val="20"/>
                <w:szCs w:val="20"/>
                <w:lang w:val="fr-CA" w:eastAsia="en-US"/>
              </w:rPr>
              <w:t>environnemental des sous projets</w:t>
            </w:r>
          </w:p>
          <w:p w:rsidR="009736D6" w:rsidRPr="00F92390" w:rsidRDefault="009736D6"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t>Sélection des sous projets</w:t>
            </w:r>
          </w:p>
        </w:tc>
        <w:tc>
          <w:tcPr>
            <w:tcW w:w="2311" w:type="dxa"/>
            <w:gridSpan w:val="2"/>
            <w:shd w:val="clear" w:color="auto" w:fill="FFFFFF"/>
          </w:tcPr>
          <w:p w:rsidR="009736D6" w:rsidRPr="00F92390" w:rsidRDefault="0023771B" w:rsidP="00A76F4A">
            <w:pPr>
              <w:ind w:right="12"/>
              <w:rPr>
                <w:rFonts w:eastAsia="Times New Roman"/>
                <w:sz w:val="20"/>
                <w:szCs w:val="20"/>
                <w:lang w:val="fr-CA" w:eastAsia="en-US"/>
              </w:rPr>
            </w:pPr>
            <w:r w:rsidRPr="00F92390">
              <w:rPr>
                <w:rFonts w:eastAsia="Times New Roman"/>
                <w:sz w:val="20"/>
                <w:szCs w:val="20"/>
                <w:lang w:val="fr-CA" w:eastAsia="en-US"/>
              </w:rPr>
              <w:t>PUSA</w:t>
            </w:r>
            <w:r w:rsidR="00F87928" w:rsidRPr="00F92390">
              <w:rPr>
                <w:rFonts w:eastAsia="Times New Roman"/>
                <w:sz w:val="20"/>
                <w:szCs w:val="20"/>
                <w:lang w:val="fr-CA" w:eastAsia="en-US"/>
              </w:rPr>
              <w:t xml:space="preserve"> /FAO</w:t>
            </w:r>
          </w:p>
          <w:p w:rsidR="009736D6" w:rsidRPr="00F92390" w:rsidRDefault="009736D6" w:rsidP="00A76F4A">
            <w:pPr>
              <w:ind w:right="12"/>
              <w:rPr>
                <w:rFonts w:eastAsia="Times New Roman"/>
                <w:sz w:val="20"/>
                <w:szCs w:val="20"/>
                <w:lang w:val="fr-CA" w:eastAsia="en-US"/>
              </w:rPr>
            </w:pPr>
            <w:r w:rsidRPr="00F92390">
              <w:rPr>
                <w:rFonts w:eastAsia="Times New Roman"/>
                <w:sz w:val="20"/>
                <w:szCs w:val="20"/>
                <w:lang w:val="fr-CA" w:eastAsia="en-US"/>
              </w:rPr>
              <w:t>AAAC</w:t>
            </w:r>
          </w:p>
          <w:p w:rsidR="009736D6" w:rsidRPr="00F92390" w:rsidRDefault="002B26A5" w:rsidP="00A76F4A">
            <w:pPr>
              <w:ind w:right="12"/>
              <w:rPr>
                <w:rFonts w:eastAsia="Times New Roman"/>
                <w:sz w:val="20"/>
                <w:szCs w:val="20"/>
                <w:lang w:val="fr-CA" w:eastAsia="en-US"/>
              </w:rPr>
            </w:pPr>
            <w:r w:rsidRPr="00F92390">
              <w:rPr>
                <w:rFonts w:eastAsia="Times New Roman"/>
                <w:sz w:val="20"/>
                <w:szCs w:val="20"/>
                <w:lang w:val="fr-CA" w:eastAsia="en-US"/>
              </w:rPr>
              <w:t>SSES</w:t>
            </w:r>
          </w:p>
        </w:tc>
        <w:tc>
          <w:tcPr>
            <w:tcW w:w="408" w:type="dxa"/>
            <w:shd w:val="clear" w:color="auto" w:fill="FFFFFF"/>
            <w:vAlign w:val="center"/>
          </w:tcPr>
          <w:p w:rsidR="009736D6" w:rsidRPr="00F92390" w:rsidRDefault="00D14E58"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403" w:type="dxa"/>
            <w:shd w:val="clear" w:color="auto" w:fill="FFFFFF"/>
            <w:vAlign w:val="center"/>
          </w:tcPr>
          <w:p w:rsidR="009736D6" w:rsidRPr="00F92390" w:rsidRDefault="00527230" w:rsidP="00A76F4A">
            <w:pPr>
              <w:ind w:right="12"/>
              <w:jc w:val="center"/>
              <w:rPr>
                <w:rFonts w:eastAsia="Times New Roman"/>
                <w:sz w:val="20"/>
                <w:szCs w:val="20"/>
                <w:lang w:val="fr-CA" w:eastAsia="en-US"/>
              </w:rPr>
            </w:pPr>
            <w:r w:rsidRPr="00F92390">
              <w:rPr>
                <w:rFonts w:eastAsia="Times New Roman"/>
                <w:b/>
                <w:sz w:val="20"/>
                <w:szCs w:val="20"/>
                <w:lang w:val="fr-CA" w:eastAsia="en-US"/>
              </w:rPr>
              <w:t>X</w:t>
            </w:r>
            <w:r w:rsidRPr="00F92390" w:rsidDel="00527230">
              <w:rPr>
                <w:rFonts w:eastAsia="Times New Roman"/>
                <w:b/>
                <w:sz w:val="20"/>
                <w:szCs w:val="20"/>
                <w:lang w:val="fr-CA" w:eastAsia="en-US"/>
              </w:rPr>
              <w:t xml:space="preserve"> </w:t>
            </w:r>
          </w:p>
        </w:tc>
        <w:tc>
          <w:tcPr>
            <w:tcW w:w="305" w:type="dxa"/>
            <w:shd w:val="clear" w:color="auto" w:fill="FFFFFF"/>
          </w:tcPr>
          <w:p w:rsidR="009736D6" w:rsidRPr="00F92390" w:rsidRDefault="009736D6" w:rsidP="00A76F4A">
            <w:pPr>
              <w:ind w:right="12"/>
              <w:rPr>
                <w:rFonts w:eastAsia="Times New Roman"/>
                <w:sz w:val="20"/>
                <w:szCs w:val="20"/>
                <w:lang w:val="fr-CA" w:eastAsia="en-US"/>
              </w:rPr>
            </w:pPr>
          </w:p>
        </w:tc>
        <w:tc>
          <w:tcPr>
            <w:tcW w:w="354" w:type="dxa"/>
            <w:shd w:val="clear" w:color="auto" w:fill="FFFFFF"/>
          </w:tcPr>
          <w:p w:rsidR="009736D6" w:rsidRPr="00F92390" w:rsidRDefault="009736D6" w:rsidP="00A76F4A">
            <w:pPr>
              <w:ind w:right="12"/>
              <w:rPr>
                <w:rFonts w:eastAsia="Times New Roman"/>
                <w:sz w:val="20"/>
                <w:szCs w:val="20"/>
                <w:lang w:val="fr-CA" w:eastAsia="en-US"/>
              </w:rPr>
            </w:pPr>
          </w:p>
        </w:tc>
        <w:tc>
          <w:tcPr>
            <w:tcW w:w="354" w:type="dxa"/>
            <w:shd w:val="clear" w:color="auto" w:fill="FFFFFF"/>
          </w:tcPr>
          <w:p w:rsidR="009736D6" w:rsidRPr="00F92390" w:rsidRDefault="009736D6" w:rsidP="00A76F4A">
            <w:pPr>
              <w:ind w:right="12"/>
              <w:rPr>
                <w:rFonts w:eastAsia="Times New Roman"/>
                <w:sz w:val="20"/>
                <w:szCs w:val="20"/>
                <w:lang w:val="fr-CA" w:eastAsia="en-US"/>
              </w:rPr>
            </w:pPr>
          </w:p>
        </w:tc>
        <w:tc>
          <w:tcPr>
            <w:tcW w:w="354" w:type="dxa"/>
            <w:shd w:val="clear" w:color="auto" w:fill="FFFFFF"/>
          </w:tcPr>
          <w:p w:rsidR="009736D6" w:rsidRPr="00F92390" w:rsidRDefault="009736D6" w:rsidP="00A76F4A">
            <w:pPr>
              <w:ind w:right="12"/>
              <w:rPr>
                <w:rFonts w:eastAsia="Times New Roman"/>
                <w:sz w:val="20"/>
                <w:szCs w:val="20"/>
                <w:lang w:val="fr-CA" w:eastAsia="en-US"/>
              </w:rPr>
            </w:pPr>
          </w:p>
        </w:tc>
        <w:tc>
          <w:tcPr>
            <w:tcW w:w="348" w:type="dxa"/>
            <w:shd w:val="clear" w:color="auto" w:fill="FFFFFF"/>
          </w:tcPr>
          <w:p w:rsidR="009736D6" w:rsidRPr="00F92390" w:rsidRDefault="009736D6" w:rsidP="00A76F4A">
            <w:pPr>
              <w:ind w:right="12"/>
              <w:rPr>
                <w:rFonts w:eastAsia="Times New Roman"/>
                <w:b/>
                <w:sz w:val="20"/>
                <w:szCs w:val="20"/>
                <w:lang w:val="fr-CA" w:eastAsia="en-US"/>
              </w:rPr>
            </w:pPr>
          </w:p>
        </w:tc>
        <w:tc>
          <w:tcPr>
            <w:tcW w:w="348" w:type="dxa"/>
            <w:shd w:val="clear" w:color="auto" w:fill="FFFFFF"/>
          </w:tcPr>
          <w:p w:rsidR="009736D6" w:rsidRPr="00F92390" w:rsidRDefault="009736D6" w:rsidP="00A76F4A">
            <w:pPr>
              <w:ind w:right="12"/>
              <w:rPr>
                <w:rFonts w:eastAsia="Times New Roman"/>
                <w:b/>
                <w:sz w:val="20"/>
                <w:szCs w:val="20"/>
                <w:lang w:val="fr-CA" w:eastAsia="en-US"/>
              </w:rPr>
            </w:pPr>
          </w:p>
        </w:tc>
        <w:tc>
          <w:tcPr>
            <w:tcW w:w="348" w:type="dxa"/>
            <w:shd w:val="clear" w:color="auto" w:fill="FFFFFF"/>
          </w:tcPr>
          <w:p w:rsidR="009736D6" w:rsidRPr="00F92390" w:rsidRDefault="009736D6" w:rsidP="00A76F4A">
            <w:pPr>
              <w:ind w:right="12"/>
              <w:rPr>
                <w:rFonts w:eastAsia="Times New Roman"/>
                <w:b/>
                <w:sz w:val="20"/>
                <w:szCs w:val="20"/>
                <w:lang w:val="fr-CA" w:eastAsia="en-US"/>
              </w:rPr>
            </w:pPr>
          </w:p>
        </w:tc>
        <w:tc>
          <w:tcPr>
            <w:tcW w:w="406" w:type="dxa"/>
            <w:shd w:val="clear" w:color="auto" w:fill="FFFFFF"/>
          </w:tcPr>
          <w:p w:rsidR="009736D6" w:rsidRPr="00F92390" w:rsidRDefault="009736D6" w:rsidP="00A76F4A">
            <w:pPr>
              <w:ind w:right="12"/>
              <w:rPr>
                <w:rFonts w:eastAsia="Times New Roman"/>
                <w:b/>
                <w:sz w:val="20"/>
                <w:szCs w:val="20"/>
                <w:lang w:val="fr-CA" w:eastAsia="en-US"/>
              </w:rPr>
            </w:pPr>
          </w:p>
        </w:tc>
        <w:tc>
          <w:tcPr>
            <w:tcW w:w="406" w:type="dxa"/>
            <w:shd w:val="clear" w:color="auto" w:fill="FFFFFF"/>
          </w:tcPr>
          <w:p w:rsidR="009736D6" w:rsidRPr="00F92390" w:rsidRDefault="009736D6" w:rsidP="00A76F4A">
            <w:pPr>
              <w:ind w:right="12"/>
              <w:rPr>
                <w:rFonts w:eastAsia="Times New Roman"/>
                <w:b/>
                <w:sz w:val="20"/>
                <w:szCs w:val="20"/>
                <w:lang w:val="fr-CA" w:eastAsia="en-US"/>
              </w:rPr>
            </w:pPr>
          </w:p>
        </w:tc>
        <w:tc>
          <w:tcPr>
            <w:tcW w:w="406" w:type="dxa"/>
            <w:shd w:val="clear" w:color="auto" w:fill="FFFFFF"/>
          </w:tcPr>
          <w:p w:rsidR="009736D6" w:rsidRPr="00F92390" w:rsidRDefault="009736D6" w:rsidP="00A76F4A">
            <w:pPr>
              <w:ind w:right="12"/>
              <w:rPr>
                <w:rFonts w:eastAsia="Times New Roman"/>
                <w:b/>
                <w:sz w:val="20"/>
                <w:szCs w:val="20"/>
                <w:lang w:val="fr-CA" w:eastAsia="en-US"/>
              </w:rPr>
            </w:pPr>
          </w:p>
        </w:tc>
      </w:tr>
      <w:tr w:rsidR="002F5899" w:rsidRPr="00F92390" w:rsidTr="00F92390">
        <w:trPr>
          <w:jc w:val="center"/>
        </w:trPr>
        <w:tc>
          <w:tcPr>
            <w:tcW w:w="1555" w:type="dxa"/>
            <w:shd w:val="clear" w:color="auto" w:fill="auto"/>
            <w:vAlign w:val="center"/>
          </w:tcPr>
          <w:p w:rsidR="009736D6" w:rsidRPr="00F92390" w:rsidRDefault="009736D6" w:rsidP="00A76F4A">
            <w:pPr>
              <w:autoSpaceDE w:val="0"/>
              <w:autoSpaceDN w:val="0"/>
              <w:adjustRightInd w:val="0"/>
              <w:ind w:right="12"/>
              <w:rPr>
                <w:rFonts w:eastAsia="Times New Roman"/>
                <w:b/>
                <w:bCs/>
                <w:sz w:val="20"/>
                <w:szCs w:val="20"/>
                <w:lang w:val="fr-CA" w:eastAsia="en-US"/>
              </w:rPr>
            </w:pPr>
            <w:r w:rsidRPr="00F92390">
              <w:rPr>
                <w:rFonts w:eastAsia="Times New Roman"/>
                <w:b/>
                <w:bCs/>
                <w:sz w:val="20"/>
                <w:szCs w:val="20"/>
                <w:lang w:val="fr-CA" w:eastAsia="en-US"/>
              </w:rPr>
              <w:t>Mesures d’atténuation</w:t>
            </w:r>
          </w:p>
        </w:tc>
        <w:tc>
          <w:tcPr>
            <w:tcW w:w="2420" w:type="dxa"/>
            <w:shd w:val="clear" w:color="auto" w:fill="auto"/>
            <w:vAlign w:val="center"/>
          </w:tcPr>
          <w:p w:rsidR="009736D6" w:rsidRPr="00F92390" w:rsidRDefault="009736D6"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t>Voir liste des mesures d’atténuation par sous-projet</w:t>
            </w:r>
          </w:p>
        </w:tc>
        <w:tc>
          <w:tcPr>
            <w:tcW w:w="2311" w:type="dxa"/>
            <w:gridSpan w:val="2"/>
            <w:shd w:val="clear" w:color="auto" w:fill="FFFFFF"/>
          </w:tcPr>
          <w:p w:rsidR="009736D6" w:rsidRPr="00F92390" w:rsidRDefault="009736D6" w:rsidP="00A76F4A">
            <w:pPr>
              <w:ind w:right="12"/>
              <w:rPr>
                <w:rFonts w:eastAsia="Times New Roman"/>
                <w:b/>
                <w:sz w:val="20"/>
                <w:szCs w:val="20"/>
                <w:lang w:val="fr-CA" w:eastAsia="en-US"/>
              </w:rPr>
            </w:pPr>
            <w:r w:rsidRPr="00F92390">
              <w:rPr>
                <w:rFonts w:eastAsia="Times New Roman"/>
                <w:sz w:val="20"/>
                <w:szCs w:val="20"/>
                <w:lang w:val="fr-CA" w:eastAsia="en-US"/>
              </w:rPr>
              <w:t>Bénéficiaires de sous projets</w:t>
            </w:r>
          </w:p>
        </w:tc>
        <w:tc>
          <w:tcPr>
            <w:tcW w:w="408" w:type="dxa"/>
            <w:shd w:val="clear" w:color="auto" w:fill="FFFFFF"/>
            <w:vAlign w:val="center"/>
          </w:tcPr>
          <w:p w:rsidR="009736D6" w:rsidRPr="00F92390" w:rsidRDefault="009736D6" w:rsidP="00A76F4A">
            <w:pPr>
              <w:ind w:right="12"/>
              <w:rPr>
                <w:rFonts w:eastAsia="Times New Roman"/>
                <w:b/>
                <w:sz w:val="20"/>
                <w:szCs w:val="20"/>
                <w:lang w:val="fr-CA" w:eastAsia="en-US"/>
              </w:rPr>
            </w:pPr>
          </w:p>
        </w:tc>
        <w:tc>
          <w:tcPr>
            <w:tcW w:w="403" w:type="dxa"/>
            <w:shd w:val="clear" w:color="auto" w:fill="FFFFFF"/>
            <w:vAlign w:val="center"/>
          </w:tcPr>
          <w:p w:rsidR="009736D6" w:rsidRPr="00F92390" w:rsidRDefault="009736D6" w:rsidP="00A76F4A">
            <w:pPr>
              <w:ind w:right="12"/>
              <w:rPr>
                <w:rFonts w:eastAsia="Times New Roman"/>
                <w:b/>
                <w:sz w:val="20"/>
                <w:szCs w:val="20"/>
                <w:lang w:val="fr-CA" w:eastAsia="en-US"/>
              </w:rPr>
            </w:pPr>
          </w:p>
        </w:tc>
        <w:tc>
          <w:tcPr>
            <w:tcW w:w="305" w:type="dxa"/>
            <w:shd w:val="clear" w:color="auto" w:fill="FFFFFF"/>
            <w:vAlign w:val="center"/>
          </w:tcPr>
          <w:p w:rsidR="009736D6" w:rsidRPr="00F92390" w:rsidRDefault="009736D6" w:rsidP="00A76F4A">
            <w:pPr>
              <w:ind w:right="12"/>
              <w:rPr>
                <w:rFonts w:eastAsia="Times New Roman"/>
                <w:b/>
                <w:sz w:val="20"/>
                <w:szCs w:val="20"/>
                <w:lang w:val="fr-CA" w:eastAsia="en-US"/>
              </w:rPr>
            </w:pPr>
          </w:p>
        </w:tc>
        <w:tc>
          <w:tcPr>
            <w:tcW w:w="354" w:type="dxa"/>
            <w:shd w:val="clear" w:color="auto" w:fill="FFFFFF"/>
            <w:vAlign w:val="center"/>
          </w:tcPr>
          <w:p w:rsidR="009736D6" w:rsidRPr="00F92390" w:rsidRDefault="009736D6"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9736D6" w:rsidRPr="00F92390" w:rsidRDefault="009736D6"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9736D6" w:rsidRPr="00F92390" w:rsidRDefault="009736D6"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9736D6" w:rsidRPr="00F92390" w:rsidRDefault="00003C35"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9736D6" w:rsidRPr="00F92390" w:rsidRDefault="00003C35"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9736D6" w:rsidRPr="00F92390" w:rsidRDefault="00003C35"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406" w:type="dxa"/>
            <w:shd w:val="clear" w:color="auto" w:fill="FFFFFF"/>
            <w:vAlign w:val="center"/>
          </w:tcPr>
          <w:p w:rsidR="009736D6" w:rsidRPr="00F92390" w:rsidRDefault="00003C35"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406" w:type="dxa"/>
            <w:shd w:val="clear" w:color="auto" w:fill="FFFFFF"/>
            <w:vAlign w:val="center"/>
          </w:tcPr>
          <w:p w:rsidR="009736D6" w:rsidRPr="00F92390" w:rsidRDefault="00003C35"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406" w:type="dxa"/>
            <w:shd w:val="clear" w:color="auto" w:fill="FFFFFF"/>
          </w:tcPr>
          <w:p w:rsidR="009736D6" w:rsidRPr="00F92390" w:rsidRDefault="009736D6" w:rsidP="00A76F4A">
            <w:pPr>
              <w:ind w:right="12"/>
              <w:rPr>
                <w:rFonts w:eastAsia="Times New Roman"/>
                <w:b/>
                <w:sz w:val="20"/>
                <w:szCs w:val="20"/>
                <w:lang w:val="fr-CA" w:eastAsia="en-US"/>
              </w:rPr>
            </w:pPr>
          </w:p>
        </w:tc>
      </w:tr>
      <w:tr w:rsidR="002F5899" w:rsidRPr="00F92390" w:rsidTr="00F92390">
        <w:trPr>
          <w:jc w:val="center"/>
        </w:trPr>
        <w:tc>
          <w:tcPr>
            <w:tcW w:w="1555" w:type="dxa"/>
            <w:vMerge w:val="restart"/>
            <w:shd w:val="clear" w:color="auto" w:fill="auto"/>
            <w:vAlign w:val="center"/>
          </w:tcPr>
          <w:p w:rsidR="00F11D58" w:rsidRPr="00F92390" w:rsidRDefault="00F11D58" w:rsidP="00A76F4A">
            <w:pPr>
              <w:autoSpaceDE w:val="0"/>
              <w:autoSpaceDN w:val="0"/>
              <w:adjustRightInd w:val="0"/>
              <w:ind w:right="12"/>
              <w:rPr>
                <w:rFonts w:eastAsia="Times New Roman"/>
                <w:b/>
                <w:bCs/>
                <w:sz w:val="20"/>
                <w:szCs w:val="20"/>
                <w:lang w:val="fr-CA" w:eastAsia="en-US"/>
              </w:rPr>
            </w:pPr>
            <w:r w:rsidRPr="00F92390">
              <w:rPr>
                <w:rFonts w:eastAsia="Times New Roman"/>
                <w:b/>
                <w:bCs/>
                <w:sz w:val="20"/>
                <w:szCs w:val="20"/>
                <w:lang w:val="fr-CA" w:eastAsia="en-US"/>
              </w:rPr>
              <w:t>Mesures institutionnelles</w:t>
            </w:r>
          </w:p>
        </w:tc>
        <w:tc>
          <w:tcPr>
            <w:tcW w:w="2420" w:type="dxa"/>
            <w:shd w:val="clear" w:color="auto" w:fill="auto"/>
            <w:vAlign w:val="center"/>
          </w:tcPr>
          <w:p w:rsidR="00F11D58" w:rsidRPr="00F92390" w:rsidRDefault="00F11D58"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eastAsia="en-US"/>
              </w:rPr>
              <w:t>Recrutement d´un Spécialiste en Sauvegardes Environnementales et Sociales</w:t>
            </w:r>
          </w:p>
        </w:tc>
        <w:tc>
          <w:tcPr>
            <w:tcW w:w="2311" w:type="dxa"/>
            <w:gridSpan w:val="2"/>
            <w:shd w:val="clear" w:color="auto" w:fill="FFFFFF"/>
          </w:tcPr>
          <w:p w:rsidR="00F11D58" w:rsidRPr="00F92390" w:rsidRDefault="00F11D58" w:rsidP="00A76F4A">
            <w:pPr>
              <w:ind w:right="12"/>
              <w:rPr>
                <w:rFonts w:eastAsia="Times New Roman"/>
                <w:sz w:val="20"/>
                <w:szCs w:val="20"/>
                <w:lang w:val="fr-CA" w:eastAsia="en-US"/>
              </w:rPr>
            </w:pPr>
            <w:r w:rsidRPr="00F92390">
              <w:rPr>
                <w:rFonts w:eastAsia="Times New Roman"/>
                <w:sz w:val="20"/>
                <w:szCs w:val="20"/>
                <w:lang w:val="fr-CA" w:eastAsia="en-US"/>
              </w:rPr>
              <w:t xml:space="preserve">PUSA / </w:t>
            </w:r>
            <w:r w:rsidR="00D906D1" w:rsidRPr="00F92390">
              <w:rPr>
                <w:rFonts w:eastAsia="Times New Roman"/>
                <w:sz w:val="20"/>
                <w:szCs w:val="20"/>
                <w:lang w:val="fr-CA" w:eastAsia="en-US"/>
              </w:rPr>
              <w:t>FAO/ BM</w:t>
            </w:r>
          </w:p>
        </w:tc>
        <w:tc>
          <w:tcPr>
            <w:tcW w:w="408" w:type="dxa"/>
            <w:shd w:val="clear" w:color="auto" w:fill="FFFFFF"/>
            <w:vAlign w:val="center"/>
          </w:tcPr>
          <w:p w:rsidR="00F11D58" w:rsidRPr="00F92390" w:rsidDel="00003C35" w:rsidRDefault="00D906D1" w:rsidP="00A76F4A">
            <w:pPr>
              <w:ind w:right="12"/>
              <w:rPr>
                <w:rFonts w:eastAsia="Times New Roman"/>
                <w:b/>
                <w:sz w:val="20"/>
                <w:szCs w:val="20"/>
                <w:lang w:val="fr-CA" w:eastAsia="en-US"/>
              </w:rPr>
            </w:pPr>
            <w:r w:rsidRPr="00F92390">
              <w:rPr>
                <w:rFonts w:eastAsia="Times New Roman"/>
                <w:b/>
                <w:sz w:val="20"/>
                <w:szCs w:val="20"/>
                <w:lang w:val="fr-CA" w:eastAsia="en-US"/>
              </w:rPr>
              <w:t>X</w:t>
            </w:r>
          </w:p>
        </w:tc>
        <w:tc>
          <w:tcPr>
            <w:tcW w:w="403" w:type="dxa"/>
            <w:shd w:val="clear" w:color="auto" w:fill="FFFFFF"/>
            <w:vAlign w:val="center"/>
          </w:tcPr>
          <w:p w:rsidR="00F11D58" w:rsidRPr="00F92390" w:rsidDel="00003C35" w:rsidRDefault="00F11D58" w:rsidP="00A76F4A">
            <w:pPr>
              <w:ind w:right="12"/>
              <w:rPr>
                <w:rFonts w:eastAsia="Times New Roman"/>
                <w:b/>
                <w:sz w:val="20"/>
                <w:szCs w:val="20"/>
                <w:lang w:val="fr-CA" w:eastAsia="en-US"/>
              </w:rPr>
            </w:pPr>
          </w:p>
        </w:tc>
        <w:tc>
          <w:tcPr>
            <w:tcW w:w="305" w:type="dxa"/>
            <w:shd w:val="clear" w:color="auto" w:fill="FFFFFF"/>
            <w:vAlign w:val="center"/>
          </w:tcPr>
          <w:p w:rsidR="00F11D58" w:rsidRPr="00F92390" w:rsidDel="00003C35" w:rsidRDefault="00F11D58" w:rsidP="00A76F4A">
            <w:pPr>
              <w:ind w:right="12"/>
              <w:rPr>
                <w:rFonts w:eastAsia="Times New Roman"/>
                <w:b/>
                <w:sz w:val="20"/>
                <w:szCs w:val="20"/>
                <w:lang w:val="fr-CA" w:eastAsia="en-US"/>
              </w:rPr>
            </w:pPr>
          </w:p>
        </w:tc>
        <w:tc>
          <w:tcPr>
            <w:tcW w:w="354" w:type="dxa"/>
            <w:shd w:val="clear" w:color="auto" w:fill="FFFFFF"/>
            <w:vAlign w:val="center"/>
          </w:tcPr>
          <w:p w:rsidR="00F11D58" w:rsidRPr="00F92390" w:rsidRDefault="00F11D58" w:rsidP="00A76F4A">
            <w:pPr>
              <w:ind w:right="12"/>
              <w:rPr>
                <w:rFonts w:eastAsia="Times New Roman"/>
                <w:b/>
                <w:sz w:val="20"/>
                <w:szCs w:val="20"/>
                <w:lang w:val="fr-CA" w:eastAsia="en-US"/>
              </w:rPr>
            </w:pPr>
          </w:p>
        </w:tc>
        <w:tc>
          <w:tcPr>
            <w:tcW w:w="354" w:type="dxa"/>
            <w:shd w:val="clear" w:color="auto" w:fill="FFFFFF"/>
            <w:vAlign w:val="center"/>
          </w:tcPr>
          <w:p w:rsidR="00F11D58" w:rsidRPr="00F92390" w:rsidRDefault="00F11D58" w:rsidP="00A76F4A">
            <w:pPr>
              <w:ind w:right="12"/>
              <w:rPr>
                <w:rFonts w:eastAsia="Times New Roman"/>
                <w:b/>
                <w:sz w:val="20"/>
                <w:szCs w:val="20"/>
                <w:lang w:val="fr-CA" w:eastAsia="en-US"/>
              </w:rPr>
            </w:pPr>
          </w:p>
        </w:tc>
        <w:tc>
          <w:tcPr>
            <w:tcW w:w="354" w:type="dxa"/>
            <w:shd w:val="clear" w:color="auto" w:fill="FFFFFF"/>
            <w:vAlign w:val="center"/>
          </w:tcPr>
          <w:p w:rsidR="00F11D58" w:rsidRPr="00F92390" w:rsidRDefault="00F11D58" w:rsidP="00A76F4A">
            <w:pPr>
              <w:ind w:right="12"/>
              <w:rPr>
                <w:rFonts w:eastAsia="Times New Roman"/>
                <w:b/>
                <w:sz w:val="20"/>
                <w:szCs w:val="20"/>
                <w:lang w:val="fr-CA" w:eastAsia="en-US"/>
              </w:rPr>
            </w:pPr>
          </w:p>
        </w:tc>
        <w:tc>
          <w:tcPr>
            <w:tcW w:w="348" w:type="dxa"/>
            <w:shd w:val="clear" w:color="auto" w:fill="FFFFFF"/>
          </w:tcPr>
          <w:p w:rsidR="00F11D58" w:rsidRPr="00F92390" w:rsidRDefault="00F11D58" w:rsidP="00A76F4A">
            <w:pPr>
              <w:ind w:right="12"/>
              <w:rPr>
                <w:rFonts w:eastAsia="Times New Roman"/>
                <w:b/>
                <w:sz w:val="20"/>
                <w:szCs w:val="20"/>
                <w:lang w:val="fr-CA" w:eastAsia="en-US"/>
              </w:rPr>
            </w:pPr>
          </w:p>
        </w:tc>
        <w:tc>
          <w:tcPr>
            <w:tcW w:w="348" w:type="dxa"/>
            <w:shd w:val="clear" w:color="auto" w:fill="FFFFFF"/>
          </w:tcPr>
          <w:p w:rsidR="00F11D58" w:rsidRPr="00F92390" w:rsidRDefault="00F11D58" w:rsidP="00A76F4A">
            <w:pPr>
              <w:ind w:right="12"/>
              <w:rPr>
                <w:rFonts w:eastAsia="Times New Roman"/>
                <w:b/>
                <w:sz w:val="20"/>
                <w:szCs w:val="20"/>
                <w:lang w:val="fr-CA" w:eastAsia="en-US"/>
              </w:rPr>
            </w:pPr>
          </w:p>
        </w:tc>
        <w:tc>
          <w:tcPr>
            <w:tcW w:w="348" w:type="dxa"/>
            <w:shd w:val="clear" w:color="auto" w:fill="FFFFFF"/>
          </w:tcPr>
          <w:p w:rsidR="00F11D58" w:rsidRPr="00F92390" w:rsidRDefault="00F11D58" w:rsidP="00A76F4A">
            <w:pPr>
              <w:ind w:right="12"/>
              <w:rPr>
                <w:rFonts w:eastAsia="Times New Roman"/>
                <w:b/>
                <w:sz w:val="20"/>
                <w:szCs w:val="20"/>
                <w:lang w:val="fr-CA" w:eastAsia="en-US"/>
              </w:rPr>
            </w:pPr>
          </w:p>
        </w:tc>
        <w:tc>
          <w:tcPr>
            <w:tcW w:w="406" w:type="dxa"/>
            <w:shd w:val="clear" w:color="auto" w:fill="FFFFFF"/>
          </w:tcPr>
          <w:p w:rsidR="00F11D58" w:rsidRPr="00F92390" w:rsidRDefault="00F11D58" w:rsidP="00A76F4A">
            <w:pPr>
              <w:ind w:right="12"/>
              <w:rPr>
                <w:rFonts w:eastAsia="Times New Roman"/>
                <w:b/>
                <w:sz w:val="20"/>
                <w:szCs w:val="20"/>
                <w:lang w:val="fr-CA" w:eastAsia="en-US"/>
              </w:rPr>
            </w:pPr>
          </w:p>
        </w:tc>
        <w:tc>
          <w:tcPr>
            <w:tcW w:w="406" w:type="dxa"/>
            <w:shd w:val="clear" w:color="auto" w:fill="FFFFFF"/>
          </w:tcPr>
          <w:p w:rsidR="00F11D58" w:rsidRPr="00F92390" w:rsidRDefault="00F11D58" w:rsidP="00A76F4A">
            <w:pPr>
              <w:ind w:right="12"/>
              <w:rPr>
                <w:rFonts w:eastAsia="Times New Roman"/>
                <w:b/>
                <w:sz w:val="20"/>
                <w:szCs w:val="20"/>
                <w:lang w:val="fr-CA" w:eastAsia="en-US"/>
              </w:rPr>
            </w:pPr>
          </w:p>
        </w:tc>
        <w:tc>
          <w:tcPr>
            <w:tcW w:w="406" w:type="dxa"/>
            <w:shd w:val="clear" w:color="auto" w:fill="FFFFFF"/>
          </w:tcPr>
          <w:p w:rsidR="00F11D58" w:rsidRPr="00F92390" w:rsidRDefault="00F11D58" w:rsidP="00A76F4A">
            <w:pPr>
              <w:ind w:right="12"/>
              <w:rPr>
                <w:rFonts w:eastAsia="Times New Roman"/>
                <w:b/>
                <w:sz w:val="20"/>
                <w:szCs w:val="20"/>
                <w:lang w:val="fr-CA" w:eastAsia="en-US"/>
              </w:rPr>
            </w:pPr>
          </w:p>
        </w:tc>
      </w:tr>
      <w:tr w:rsidR="002F5899" w:rsidRPr="00F92390" w:rsidTr="00F92390">
        <w:trPr>
          <w:jc w:val="center"/>
        </w:trPr>
        <w:tc>
          <w:tcPr>
            <w:tcW w:w="1555" w:type="dxa"/>
            <w:vMerge/>
            <w:shd w:val="clear" w:color="auto" w:fill="auto"/>
            <w:vAlign w:val="center"/>
          </w:tcPr>
          <w:p w:rsidR="00F11D58" w:rsidRPr="00F92390" w:rsidRDefault="00F11D58" w:rsidP="00A76F4A">
            <w:pPr>
              <w:autoSpaceDE w:val="0"/>
              <w:autoSpaceDN w:val="0"/>
              <w:adjustRightInd w:val="0"/>
              <w:ind w:right="12"/>
              <w:rPr>
                <w:rFonts w:eastAsia="Times New Roman"/>
                <w:b/>
                <w:bCs/>
                <w:sz w:val="20"/>
                <w:szCs w:val="20"/>
                <w:lang w:val="fr-CA" w:eastAsia="en-US"/>
              </w:rPr>
            </w:pPr>
          </w:p>
        </w:tc>
        <w:tc>
          <w:tcPr>
            <w:tcW w:w="2420" w:type="dxa"/>
            <w:shd w:val="clear" w:color="auto" w:fill="auto"/>
            <w:vAlign w:val="center"/>
          </w:tcPr>
          <w:p w:rsidR="00F11D58" w:rsidRPr="00F92390" w:rsidRDefault="00F11D58"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t>Désignation des Points focaux Environnement</w:t>
            </w:r>
          </w:p>
        </w:tc>
        <w:tc>
          <w:tcPr>
            <w:tcW w:w="2311" w:type="dxa"/>
            <w:gridSpan w:val="2"/>
            <w:shd w:val="clear" w:color="auto" w:fill="FFFFFF"/>
          </w:tcPr>
          <w:p w:rsidR="00F11D58" w:rsidRPr="00F92390" w:rsidRDefault="00F11D58" w:rsidP="00A76F4A">
            <w:pPr>
              <w:ind w:right="12"/>
              <w:rPr>
                <w:rFonts w:eastAsia="Times New Roman"/>
                <w:sz w:val="20"/>
                <w:szCs w:val="20"/>
                <w:lang w:val="fr-CA" w:eastAsia="en-US"/>
              </w:rPr>
            </w:pPr>
            <w:r w:rsidRPr="00F92390">
              <w:rPr>
                <w:rFonts w:eastAsia="Times New Roman"/>
                <w:sz w:val="20"/>
                <w:szCs w:val="20"/>
                <w:lang w:val="fr-CA" w:eastAsia="en-US"/>
              </w:rPr>
              <w:t>MADR</w:t>
            </w:r>
          </w:p>
          <w:p w:rsidR="00F11D58" w:rsidRPr="00F92390" w:rsidRDefault="00F11D58" w:rsidP="00A76F4A">
            <w:pPr>
              <w:ind w:right="12"/>
              <w:rPr>
                <w:rFonts w:eastAsia="Times New Roman"/>
                <w:sz w:val="20"/>
                <w:szCs w:val="20"/>
                <w:lang w:val="fr-CA" w:eastAsia="en-US"/>
              </w:rPr>
            </w:pPr>
            <w:r w:rsidRPr="00F92390">
              <w:rPr>
                <w:rFonts w:eastAsia="Times New Roman"/>
                <w:sz w:val="20"/>
                <w:szCs w:val="20"/>
                <w:lang w:val="fr-CA" w:eastAsia="en-US"/>
              </w:rPr>
              <w:t>PUSA / FAO</w:t>
            </w:r>
          </w:p>
        </w:tc>
        <w:tc>
          <w:tcPr>
            <w:tcW w:w="408" w:type="dxa"/>
            <w:shd w:val="clear" w:color="auto" w:fill="FFFFFF"/>
            <w:vAlign w:val="center"/>
          </w:tcPr>
          <w:p w:rsidR="00F11D58" w:rsidRPr="00F92390" w:rsidRDefault="00F11D58" w:rsidP="00A76F4A">
            <w:pPr>
              <w:ind w:right="12"/>
              <w:rPr>
                <w:rFonts w:eastAsia="Times New Roman"/>
                <w:b/>
                <w:sz w:val="20"/>
                <w:szCs w:val="20"/>
                <w:lang w:val="fr-CA" w:eastAsia="en-US"/>
              </w:rPr>
            </w:pPr>
          </w:p>
        </w:tc>
        <w:tc>
          <w:tcPr>
            <w:tcW w:w="403" w:type="dxa"/>
            <w:shd w:val="clear" w:color="auto" w:fill="FFFFFF"/>
            <w:vAlign w:val="center"/>
          </w:tcPr>
          <w:p w:rsidR="00F11D58" w:rsidRPr="00F92390" w:rsidRDefault="00F11D58" w:rsidP="00A76F4A">
            <w:pPr>
              <w:ind w:right="12"/>
              <w:rPr>
                <w:rFonts w:eastAsia="Times New Roman"/>
                <w:b/>
                <w:sz w:val="20"/>
                <w:szCs w:val="20"/>
                <w:lang w:val="fr-CA" w:eastAsia="en-US"/>
              </w:rPr>
            </w:pPr>
          </w:p>
        </w:tc>
        <w:tc>
          <w:tcPr>
            <w:tcW w:w="305" w:type="dxa"/>
            <w:shd w:val="clear" w:color="auto" w:fill="FFFFFF"/>
            <w:vAlign w:val="center"/>
          </w:tcPr>
          <w:p w:rsidR="00F11D58" w:rsidRPr="00F92390" w:rsidRDefault="00F11D58" w:rsidP="00A76F4A">
            <w:pPr>
              <w:ind w:right="12"/>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F11D58" w:rsidRPr="00F92390" w:rsidRDefault="00F11D58" w:rsidP="00A76F4A">
            <w:pPr>
              <w:ind w:right="12"/>
              <w:rPr>
                <w:rFonts w:eastAsia="Times New Roman"/>
                <w:b/>
                <w:sz w:val="20"/>
                <w:szCs w:val="20"/>
                <w:lang w:val="fr-CA" w:eastAsia="en-US"/>
              </w:rPr>
            </w:pPr>
          </w:p>
        </w:tc>
        <w:tc>
          <w:tcPr>
            <w:tcW w:w="354" w:type="dxa"/>
            <w:shd w:val="clear" w:color="auto" w:fill="FFFFFF"/>
            <w:vAlign w:val="center"/>
          </w:tcPr>
          <w:p w:rsidR="00F11D58" w:rsidRPr="00F92390" w:rsidRDefault="00F11D58" w:rsidP="00A76F4A">
            <w:pPr>
              <w:ind w:right="12"/>
              <w:rPr>
                <w:rFonts w:eastAsia="Times New Roman"/>
                <w:b/>
                <w:sz w:val="20"/>
                <w:szCs w:val="20"/>
                <w:lang w:val="fr-CA" w:eastAsia="en-US"/>
              </w:rPr>
            </w:pPr>
          </w:p>
        </w:tc>
        <w:tc>
          <w:tcPr>
            <w:tcW w:w="354" w:type="dxa"/>
            <w:shd w:val="clear" w:color="auto" w:fill="FFFFFF"/>
            <w:vAlign w:val="center"/>
          </w:tcPr>
          <w:p w:rsidR="00F11D58" w:rsidRPr="00F92390" w:rsidRDefault="00F11D58" w:rsidP="00A76F4A">
            <w:pPr>
              <w:ind w:right="12"/>
              <w:rPr>
                <w:rFonts w:eastAsia="Times New Roman"/>
                <w:b/>
                <w:sz w:val="20"/>
                <w:szCs w:val="20"/>
                <w:lang w:val="fr-CA" w:eastAsia="en-US"/>
              </w:rPr>
            </w:pPr>
          </w:p>
        </w:tc>
        <w:tc>
          <w:tcPr>
            <w:tcW w:w="348" w:type="dxa"/>
            <w:shd w:val="clear" w:color="auto" w:fill="FFFFFF"/>
          </w:tcPr>
          <w:p w:rsidR="00F11D58" w:rsidRPr="00F92390" w:rsidRDefault="00F11D58" w:rsidP="00A76F4A">
            <w:pPr>
              <w:ind w:right="12"/>
              <w:rPr>
                <w:rFonts w:eastAsia="Times New Roman"/>
                <w:b/>
                <w:sz w:val="20"/>
                <w:szCs w:val="20"/>
                <w:lang w:val="fr-CA" w:eastAsia="en-US"/>
              </w:rPr>
            </w:pPr>
          </w:p>
        </w:tc>
        <w:tc>
          <w:tcPr>
            <w:tcW w:w="348" w:type="dxa"/>
            <w:shd w:val="clear" w:color="auto" w:fill="FFFFFF"/>
          </w:tcPr>
          <w:p w:rsidR="00F11D58" w:rsidRPr="00F92390" w:rsidRDefault="00F11D58" w:rsidP="00A76F4A">
            <w:pPr>
              <w:ind w:right="12"/>
              <w:rPr>
                <w:rFonts w:eastAsia="Times New Roman"/>
                <w:b/>
                <w:sz w:val="20"/>
                <w:szCs w:val="20"/>
                <w:lang w:val="fr-CA" w:eastAsia="en-US"/>
              </w:rPr>
            </w:pPr>
          </w:p>
        </w:tc>
        <w:tc>
          <w:tcPr>
            <w:tcW w:w="348" w:type="dxa"/>
            <w:shd w:val="clear" w:color="auto" w:fill="FFFFFF"/>
          </w:tcPr>
          <w:p w:rsidR="00F11D58" w:rsidRPr="00F92390" w:rsidRDefault="00F11D58" w:rsidP="00A76F4A">
            <w:pPr>
              <w:ind w:right="12"/>
              <w:rPr>
                <w:rFonts w:eastAsia="Times New Roman"/>
                <w:b/>
                <w:sz w:val="20"/>
                <w:szCs w:val="20"/>
                <w:lang w:val="fr-CA" w:eastAsia="en-US"/>
              </w:rPr>
            </w:pPr>
          </w:p>
        </w:tc>
        <w:tc>
          <w:tcPr>
            <w:tcW w:w="406" w:type="dxa"/>
            <w:shd w:val="clear" w:color="auto" w:fill="FFFFFF"/>
          </w:tcPr>
          <w:p w:rsidR="00F11D58" w:rsidRPr="00F92390" w:rsidRDefault="00F11D58" w:rsidP="00A76F4A">
            <w:pPr>
              <w:ind w:right="12"/>
              <w:rPr>
                <w:rFonts w:eastAsia="Times New Roman"/>
                <w:b/>
                <w:sz w:val="20"/>
                <w:szCs w:val="20"/>
                <w:lang w:val="fr-CA" w:eastAsia="en-US"/>
              </w:rPr>
            </w:pPr>
          </w:p>
        </w:tc>
        <w:tc>
          <w:tcPr>
            <w:tcW w:w="406" w:type="dxa"/>
            <w:shd w:val="clear" w:color="auto" w:fill="FFFFFF"/>
          </w:tcPr>
          <w:p w:rsidR="00F11D58" w:rsidRPr="00F92390" w:rsidRDefault="00F11D58" w:rsidP="00A76F4A">
            <w:pPr>
              <w:ind w:right="12"/>
              <w:rPr>
                <w:rFonts w:eastAsia="Times New Roman"/>
                <w:b/>
                <w:sz w:val="20"/>
                <w:szCs w:val="20"/>
                <w:lang w:val="fr-CA" w:eastAsia="en-US"/>
              </w:rPr>
            </w:pPr>
          </w:p>
        </w:tc>
        <w:tc>
          <w:tcPr>
            <w:tcW w:w="406" w:type="dxa"/>
            <w:shd w:val="clear" w:color="auto" w:fill="FFFFFF"/>
          </w:tcPr>
          <w:p w:rsidR="00F11D58" w:rsidRPr="00F92390" w:rsidRDefault="00F11D58" w:rsidP="00A76F4A">
            <w:pPr>
              <w:ind w:right="12"/>
              <w:rPr>
                <w:rFonts w:eastAsia="Times New Roman"/>
                <w:b/>
                <w:sz w:val="20"/>
                <w:szCs w:val="20"/>
                <w:lang w:val="fr-CA" w:eastAsia="en-US"/>
              </w:rPr>
            </w:pPr>
          </w:p>
        </w:tc>
      </w:tr>
      <w:tr w:rsidR="002F5899" w:rsidRPr="00F92390" w:rsidTr="00F92390">
        <w:trPr>
          <w:jc w:val="center"/>
        </w:trPr>
        <w:tc>
          <w:tcPr>
            <w:tcW w:w="1555" w:type="dxa"/>
            <w:vMerge w:val="restart"/>
            <w:shd w:val="clear" w:color="auto" w:fill="auto"/>
            <w:vAlign w:val="center"/>
          </w:tcPr>
          <w:p w:rsidR="009736D6" w:rsidRPr="00F92390" w:rsidRDefault="009736D6" w:rsidP="00A76F4A">
            <w:pPr>
              <w:autoSpaceDE w:val="0"/>
              <w:autoSpaceDN w:val="0"/>
              <w:adjustRightInd w:val="0"/>
              <w:ind w:right="12"/>
              <w:rPr>
                <w:rFonts w:eastAsia="Times New Roman"/>
                <w:b/>
                <w:sz w:val="20"/>
                <w:szCs w:val="20"/>
                <w:lang w:val="fr-CA" w:eastAsia="en-US"/>
              </w:rPr>
            </w:pPr>
            <w:r w:rsidRPr="00F92390">
              <w:rPr>
                <w:rFonts w:eastAsia="Times New Roman"/>
                <w:b/>
                <w:sz w:val="20"/>
                <w:szCs w:val="20"/>
                <w:lang w:val="fr-CA" w:eastAsia="en-US"/>
              </w:rPr>
              <w:t>Mesures techniques</w:t>
            </w:r>
          </w:p>
          <w:p w:rsidR="009736D6" w:rsidRPr="00F92390" w:rsidRDefault="009736D6" w:rsidP="00A76F4A">
            <w:pPr>
              <w:ind w:right="12"/>
              <w:rPr>
                <w:rFonts w:eastAsia="Times New Roman"/>
                <w:b/>
                <w:sz w:val="20"/>
                <w:szCs w:val="20"/>
                <w:lang w:val="fr-CA" w:eastAsia="en-US"/>
              </w:rPr>
            </w:pPr>
          </w:p>
        </w:tc>
        <w:tc>
          <w:tcPr>
            <w:tcW w:w="2420" w:type="dxa"/>
            <w:shd w:val="clear" w:color="auto" w:fill="auto"/>
            <w:vAlign w:val="center"/>
          </w:tcPr>
          <w:p w:rsidR="009736D6" w:rsidRPr="00F92390" w:rsidRDefault="009736D6"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t xml:space="preserve">Réalisation des </w:t>
            </w:r>
            <w:r w:rsidR="00483C88" w:rsidRPr="00F92390">
              <w:rPr>
                <w:rFonts w:eastAsia="Times New Roman"/>
                <w:sz w:val="20"/>
                <w:szCs w:val="20"/>
                <w:lang w:val="fr-CA" w:eastAsia="en-US"/>
              </w:rPr>
              <w:t xml:space="preserve">AEI </w:t>
            </w:r>
            <w:r w:rsidRPr="00F92390">
              <w:rPr>
                <w:rFonts w:eastAsia="Times New Roman"/>
                <w:sz w:val="20"/>
                <w:szCs w:val="20"/>
                <w:lang w:val="fr-CA" w:eastAsia="en-US"/>
              </w:rPr>
              <w:t>pour certaines activités du P</w:t>
            </w:r>
            <w:r w:rsidR="00866A65" w:rsidRPr="00F92390">
              <w:rPr>
                <w:rFonts w:eastAsia="Times New Roman"/>
                <w:sz w:val="20"/>
                <w:szCs w:val="20"/>
                <w:lang w:val="fr-CA" w:eastAsia="en-US"/>
              </w:rPr>
              <w:t>USA</w:t>
            </w:r>
          </w:p>
        </w:tc>
        <w:tc>
          <w:tcPr>
            <w:tcW w:w="2311" w:type="dxa"/>
            <w:gridSpan w:val="2"/>
            <w:shd w:val="clear" w:color="auto" w:fill="FFFFFF"/>
          </w:tcPr>
          <w:p w:rsidR="009736D6" w:rsidRPr="00F92390" w:rsidRDefault="009736D6" w:rsidP="00A76F4A">
            <w:pPr>
              <w:ind w:right="12"/>
              <w:rPr>
                <w:rFonts w:eastAsia="Times New Roman"/>
                <w:sz w:val="20"/>
                <w:szCs w:val="20"/>
                <w:lang w:val="fr-CA" w:eastAsia="en-US"/>
              </w:rPr>
            </w:pPr>
            <w:r w:rsidRPr="00F92390">
              <w:rPr>
                <w:rFonts w:eastAsia="Times New Roman"/>
                <w:sz w:val="20"/>
                <w:szCs w:val="20"/>
                <w:lang w:val="fr-CA" w:eastAsia="en-US"/>
              </w:rPr>
              <w:t>Consultants</w:t>
            </w:r>
          </w:p>
        </w:tc>
        <w:tc>
          <w:tcPr>
            <w:tcW w:w="408" w:type="dxa"/>
            <w:shd w:val="clear" w:color="auto" w:fill="FFFFFF"/>
            <w:vAlign w:val="center"/>
          </w:tcPr>
          <w:p w:rsidR="009736D6" w:rsidRPr="00F92390" w:rsidRDefault="009736D6" w:rsidP="00A76F4A">
            <w:pPr>
              <w:ind w:right="12"/>
              <w:rPr>
                <w:rFonts w:eastAsia="Times New Roman"/>
                <w:b/>
                <w:sz w:val="20"/>
                <w:szCs w:val="20"/>
                <w:lang w:val="fr-CA" w:eastAsia="en-US"/>
              </w:rPr>
            </w:pPr>
            <w:r w:rsidRPr="00F92390">
              <w:rPr>
                <w:rFonts w:eastAsia="Times New Roman"/>
                <w:b/>
                <w:sz w:val="20"/>
                <w:szCs w:val="20"/>
                <w:lang w:val="fr-CA" w:eastAsia="en-US"/>
              </w:rPr>
              <w:t>X</w:t>
            </w:r>
          </w:p>
        </w:tc>
        <w:tc>
          <w:tcPr>
            <w:tcW w:w="403" w:type="dxa"/>
            <w:shd w:val="clear" w:color="auto" w:fill="FFFFFF"/>
            <w:vAlign w:val="center"/>
          </w:tcPr>
          <w:p w:rsidR="009736D6" w:rsidRPr="00F92390" w:rsidRDefault="00866A65" w:rsidP="00A76F4A">
            <w:pPr>
              <w:ind w:right="12"/>
              <w:rPr>
                <w:rFonts w:eastAsia="Times New Roman"/>
                <w:b/>
                <w:sz w:val="20"/>
                <w:szCs w:val="20"/>
                <w:lang w:val="fr-CA" w:eastAsia="en-US"/>
              </w:rPr>
            </w:pPr>
            <w:r w:rsidRPr="00F92390">
              <w:rPr>
                <w:rFonts w:eastAsia="Times New Roman"/>
                <w:b/>
                <w:sz w:val="20"/>
                <w:szCs w:val="20"/>
                <w:lang w:val="fr-CA" w:eastAsia="en-US"/>
              </w:rPr>
              <w:t>X</w:t>
            </w:r>
          </w:p>
        </w:tc>
        <w:tc>
          <w:tcPr>
            <w:tcW w:w="305" w:type="dxa"/>
            <w:shd w:val="clear" w:color="auto" w:fill="FFFFFF"/>
            <w:vAlign w:val="center"/>
          </w:tcPr>
          <w:p w:rsidR="009736D6" w:rsidRPr="00F92390" w:rsidRDefault="00866A65" w:rsidP="00A76F4A">
            <w:pPr>
              <w:ind w:right="12"/>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9736D6" w:rsidRPr="00F92390" w:rsidRDefault="009736D6" w:rsidP="00A76F4A">
            <w:pPr>
              <w:ind w:right="12"/>
              <w:rPr>
                <w:rFonts w:eastAsia="Times New Roman"/>
                <w:b/>
                <w:sz w:val="20"/>
                <w:szCs w:val="20"/>
                <w:lang w:val="fr-CA" w:eastAsia="en-US"/>
              </w:rPr>
            </w:pPr>
          </w:p>
        </w:tc>
        <w:tc>
          <w:tcPr>
            <w:tcW w:w="354" w:type="dxa"/>
            <w:shd w:val="clear" w:color="auto" w:fill="FFFFFF"/>
            <w:vAlign w:val="center"/>
          </w:tcPr>
          <w:p w:rsidR="009736D6" w:rsidRPr="00F92390" w:rsidRDefault="009736D6" w:rsidP="00A76F4A">
            <w:pPr>
              <w:ind w:right="12"/>
              <w:rPr>
                <w:rFonts w:eastAsia="Times New Roman"/>
                <w:b/>
                <w:sz w:val="20"/>
                <w:szCs w:val="20"/>
                <w:lang w:val="fr-CA" w:eastAsia="en-US"/>
              </w:rPr>
            </w:pPr>
          </w:p>
        </w:tc>
        <w:tc>
          <w:tcPr>
            <w:tcW w:w="354" w:type="dxa"/>
            <w:shd w:val="clear" w:color="auto" w:fill="FFFFFF"/>
            <w:vAlign w:val="center"/>
          </w:tcPr>
          <w:p w:rsidR="009736D6" w:rsidRPr="00F92390" w:rsidRDefault="009736D6" w:rsidP="00A76F4A">
            <w:pPr>
              <w:ind w:right="12"/>
              <w:rPr>
                <w:rFonts w:eastAsia="Times New Roman"/>
                <w:b/>
                <w:sz w:val="20"/>
                <w:szCs w:val="20"/>
                <w:lang w:val="fr-CA" w:eastAsia="en-US"/>
              </w:rPr>
            </w:pPr>
          </w:p>
        </w:tc>
        <w:tc>
          <w:tcPr>
            <w:tcW w:w="348" w:type="dxa"/>
            <w:shd w:val="clear" w:color="auto" w:fill="FFFFFF"/>
          </w:tcPr>
          <w:p w:rsidR="009736D6" w:rsidRPr="00F92390" w:rsidRDefault="009736D6" w:rsidP="00A76F4A">
            <w:pPr>
              <w:ind w:right="12"/>
              <w:rPr>
                <w:rFonts w:eastAsia="Times New Roman"/>
                <w:b/>
                <w:sz w:val="20"/>
                <w:szCs w:val="20"/>
                <w:lang w:val="fr-CA" w:eastAsia="en-US"/>
              </w:rPr>
            </w:pPr>
          </w:p>
        </w:tc>
        <w:tc>
          <w:tcPr>
            <w:tcW w:w="348" w:type="dxa"/>
            <w:shd w:val="clear" w:color="auto" w:fill="FFFFFF"/>
          </w:tcPr>
          <w:p w:rsidR="009736D6" w:rsidRPr="00F92390" w:rsidRDefault="009736D6" w:rsidP="00A76F4A">
            <w:pPr>
              <w:ind w:right="12"/>
              <w:rPr>
                <w:rFonts w:eastAsia="Times New Roman"/>
                <w:b/>
                <w:sz w:val="20"/>
                <w:szCs w:val="20"/>
                <w:lang w:val="fr-CA" w:eastAsia="en-US"/>
              </w:rPr>
            </w:pPr>
          </w:p>
        </w:tc>
        <w:tc>
          <w:tcPr>
            <w:tcW w:w="348" w:type="dxa"/>
            <w:shd w:val="clear" w:color="auto" w:fill="FFFFFF"/>
          </w:tcPr>
          <w:p w:rsidR="009736D6" w:rsidRPr="00F92390" w:rsidRDefault="009736D6" w:rsidP="00A76F4A">
            <w:pPr>
              <w:ind w:right="12"/>
              <w:rPr>
                <w:rFonts w:eastAsia="Times New Roman"/>
                <w:b/>
                <w:sz w:val="20"/>
                <w:szCs w:val="20"/>
                <w:lang w:val="fr-CA" w:eastAsia="en-US"/>
              </w:rPr>
            </w:pPr>
          </w:p>
        </w:tc>
        <w:tc>
          <w:tcPr>
            <w:tcW w:w="406" w:type="dxa"/>
            <w:shd w:val="clear" w:color="auto" w:fill="FFFFFF"/>
          </w:tcPr>
          <w:p w:rsidR="009736D6" w:rsidRPr="00F92390" w:rsidRDefault="009736D6" w:rsidP="00A76F4A">
            <w:pPr>
              <w:ind w:right="12"/>
              <w:rPr>
                <w:rFonts w:eastAsia="Times New Roman"/>
                <w:b/>
                <w:sz w:val="20"/>
                <w:szCs w:val="20"/>
                <w:lang w:val="fr-CA" w:eastAsia="en-US"/>
              </w:rPr>
            </w:pPr>
          </w:p>
        </w:tc>
        <w:tc>
          <w:tcPr>
            <w:tcW w:w="406" w:type="dxa"/>
            <w:shd w:val="clear" w:color="auto" w:fill="FFFFFF"/>
          </w:tcPr>
          <w:p w:rsidR="009736D6" w:rsidRPr="00F92390" w:rsidRDefault="009736D6" w:rsidP="00A76F4A">
            <w:pPr>
              <w:ind w:right="12"/>
              <w:rPr>
                <w:rFonts w:eastAsia="Times New Roman"/>
                <w:b/>
                <w:sz w:val="20"/>
                <w:szCs w:val="20"/>
                <w:lang w:val="fr-CA" w:eastAsia="en-US"/>
              </w:rPr>
            </w:pPr>
          </w:p>
        </w:tc>
        <w:tc>
          <w:tcPr>
            <w:tcW w:w="406" w:type="dxa"/>
            <w:shd w:val="clear" w:color="auto" w:fill="FFFFFF"/>
          </w:tcPr>
          <w:p w:rsidR="009736D6" w:rsidRPr="00F92390" w:rsidRDefault="009736D6" w:rsidP="00A76F4A">
            <w:pPr>
              <w:ind w:right="12"/>
              <w:rPr>
                <w:rFonts w:eastAsia="Times New Roman"/>
                <w:b/>
                <w:sz w:val="20"/>
                <w:szCs w:val="20"/>
                <w:lang w:val="fr-CA" w:eastAsia="en-US"/>
              </w:rPr>
            </w:pPr>
          </w:p>
        </w:tc>
      </w:tr>
      <w:tr w:rsidR="002F5899" w:rsidRPr="00F92390" w:rsidTr="00F92390">
        <w:trPr>
          <w:trHeight w:val="1529"/>
          <w:jc w:val="center"/>
        </w:trPr>
        <w:tc>
          <w:tcPr>
            <w:tcW w:w="1555" w:type="dxa"/>
            <w:vMerge/>
            <w:shd w:val="clear" w:color="auto" w:fill="auto"/>
            <w:vAlign w:val="center"/>
          </w:tcPr>
          <w:p w:rsidR="00FC0018" w:rsidRPr="00F92390" w:rsidRDefault="00FC0018" w:rsidP="00A76F4A">
            <w:pPr>
              <w:ind w:right="12"/>
              <w:rPr>
                <w:rFonts w:eastAsia="Times New Roman"/>
                <w:sz w:val="20"/>
                <w:szCs w:val="20"/>
                <w:lang w:val="fr-CA" w:eastAsia="en-US"/>
              </w:rPr>
            </w:pPr>
          </w:p>
        </w:tc>
        <w:tc>
          <w:tcPr>
            <w:tcW w:w="2420" w:type="dxa"/>
            <w:shd w:val="clear" w:color="auto" w:fill="auto"/>
            <w:vAlign w:val="center"/>
          </w:tcPr>
          <w:p w:rsidR="00FC0018" w:rsidRPr="00F92390" w:rsidRDefault="00FC0018"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t>Directives, bonnes pratiques agricoles et manuel d’entretien des infrastructures agricoles</w:t>
            </w:r>
          </w:p>
          <w:p w:rsidR="00FC0018" w:rsidRPr="00F92390" w:rsidRDefault="00FC0018"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eastAsia="en-US"/>
              </w:rPr>
              <w:t>Mesures d’élimination de facteurs de vulnérabilité des activités agricoles y compris la mise en œuvre du PGPP</w:t>
            </w:r>
          </w:p>
        </w:tc>
        <w:tc>
          <w:tcPr>
            <w:tcW w:w="2311" w:type="dxa"/>
            <w:gridSpan w:val="2"/>
            <w:shd w:val="clear" w:color="auto" w:fill="FFFFFF"/>
          </w:tcPr>
          <w:p w:rsidR="00FC0018" w:rsidRPr="00F92390" w:rsidRDefault="00FC0018" w:rsidP="00A76F4A">
            <w:pPr>
              <w:ind w:right="12"/>
              <w:rPr>
                <w:rFonts w:eastAsia="Times New Roman"/>
                <w:sz w:val="20"/>
                <w:szCs w:val="20"/>
                <w:lang w:val="fr-CA" w:eastAsia="en-US"/>
              </w:rPr>
            </w:pPr>
            <w:r w:rsidRPr="00F92390">
              <w:rPr>
                <w:rFonts w:eastAsia="Times New Roman"/>
                <w:sz w:val="20"/>
                <w:szCs w:val="20"/>
                <w:lang w:val="fr-CA" w:eastAsia="en-US"/>
              </w:rPr>
              <w:t>DGA</w:t>
            </w:r>
          </w:p>
          <w:p w:rsidR="00FC0018" w:rsidRPr="00F92390" w:rsidRDefault="00FC0018" w:rsidP="00A76F4A">
            <w:pPr>
              <w:ind w:right="12"/>
              <w:rPr>
                <w:rFonts w:eastAsia="Times New Roman"/>
                <w:sz w:val="20"/>
                <w:szCs w:val="20"/>
                <w:lang w:val="fr-CA" w:eastAsia="en-US"/>
              </w:rPr>
            </w:pPr>
            <w:r w:rsidRPr="00F92390">
              <w:rPr>
                <w:rFonts w:eastAsia="Times New Roman"/>
                <w:sz w:val="20"/>
                <w:szCs w:val="20"/>
                <w:lang w:val="fr-CA" w:eastAsia="en-US"/>
              </w:rPr>
              <w:t xml:space="preserve">Bénéficiaires </w:t>
            </w:r>
          </w:p>
          <w:p w:rsidR="00FC0018" w:rsidRPr="00F92390" w:rsidRDefault="00FC0018" w:rsidP="00A76F4A">
            <w:pPr>
              <w:ind w:right="12"/>
              <w:rPr>
                <w:rFonts w:eastAsia="Times New Roman"/>
                <w:sz w:val="20"/>
                <w:szCs w:val="20"/>
                <w:lang w:val="fr-CA" w:eastAsia="en-US"/>
              </w:rPr>
            </w:pPr>
            <w:r w:rsidRPr="00F92390">
              <w:rPr>
                <w:rFonts w:eastAsia="Times New Roman"/>
                <w:sz w:val="20"/>
                <w:szCs w:val="20"/>
                <w:lang w:val="fr-CA" w:eastAsia="en-US"/>
              </w:rPr>
              <w:t>PUSA /FAO</w:t>
            </w:r>
          </w:p>
          <w:p w:rsidR="00FC0018" w:rsidRPr="00F92390" w:rsidRDefault="00FC0018" w:rsidP="00A76F4A">
            <w:pPr>
              <w:ind w:right="12"/>
              <w:rPr>
                <w:rFonts w:eastAsia="Times New Roman"/>
                <w:sz w:val="20"/>
                <w:szCs w:val="20"/>
                <w:lang w:val="fr-CA" w:eastAsia="en-US"/>
              </w:rPr>
            </w:pPr>
          </w:p>
        </w:tc>
        <w:tc>
          <w:tcPr>
            <w:tcW w:w="408" w:type="dxa"/>
            <w:shd w:val="clear" w:color="auto" w:fill="FFFFFF"/>
            <w:vAlign w:val="center"/>
          </w:tcPr>
          <w:p w:rsidR="00FC0018" w:rsidRPr="00F92390" w:rsidRDefault="00FC0018" w:rsidP="00A76F4A">
            <w:pPr>
              <w:ind w:right="12"/>
              <w:rPr>
                <w:rFonts w:eastAsia="Times New Roman"/>
                <w:b/>
                <w:sz w:val="20"/>
                <w:szCs w:val="20"/>
                <w:lang w:val="fr-CA" w:eastAsia="en-US"/>
              </w:rPr>
            </w:pPr>
          </w:p>
        </w:tc>
        <w:tc>
          <w:tcPr>
            <w:tcW w:w="403" w:type="dxa"/>
            <w:shd w:val="clear" w:color="auto" w:fill="FFFFFF"/>
            <w:vAlign w:val="center"/>
          </w:tcPr>
          <w:p w:rsidR="00FC0018" w:rsidRPr="00F92390" w:rsidRDefault="00FC0018" w:rsidP="00A76F4A">
            <w:pPr>
              <w:ind w:right="12"/>
              <w:rPr>
                <w:rFonts w:eastAsia="Times New Roman"/>
                <w:b/>
                <w:sz w:val="20"/>
                <w:szCs w:val="20"/>
                <w:lang w:val="fr-CA" w:eastAsia="en-US"/>
              </w:rPr>
            </w:pPr>
          </w:p>
        </w:tc>
        <w:tc>
          <w:tcPr>
            <w:tcW w:w="305" w:type="dxa"/>
            <w:shd w:val="clear" w:color="auto" w:fill="FFFFFF"/>
            <w:vAlign w:val="center"/>
          </w:tcPr>
          <w:p w:rsidR="00FC0018" w:rsidRPr="00F92390" w:rsidRDefault="00FC0018" w:rsidP="00A76F4A">
            <w:pPr>
              <w:ind w:right="12"/>
              <w:rPr>
                <w:rFonts w:eastAsia="Times New Roman"/>
                <w:b/>
                <w:sz w:val="20"/>
                <w:szCs w:val="20"/>
                <w:lang w:val="fr-CA" w:eastAsia="en-US"/>
              </w:rPr>
            </w:pPr>
          </w:p>
        </w:tc>
        <w:tc>
          <w:tcPr>
            <w:tcW w:w="354" w:type="dxa"/>
            <w:shd w:val="clear" w:color="auto" w:fill="FFFFFF"/>
            <w:vAlign w:val="center"/>
          </w:tcPr>
          <w:p w:rsidR="00FC0018" w:rsidRPr="00F92390" w:rsidRDefault="00FC0018" w:rsidP="00A76F4A">
            <w:pPr>
              <w:ind w:right="12"/>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FC0018" w:rsidRPr="00F92390" w:rsidRDefault="00FC0018" w:rsidP="00A76F4A">
            <w:pPr>
              <w:ind w:right="12"/>
              <w:rPr>
                <w:rFonts w:eastAsia="Times New Roman"/>
                <w:b/>
                <w:sz w:val="20"/>
                <w:szCs w:val="20"/>
                <w:lang w:val="fr-CA" w:eastAsia="en-US"/>
              </w:rPr>
            </w:pPr>
          </w:p>
          <w:p w:rsidR="00FC0018" w:rsidRPr="00F92390" w:rsidRDefault="00FC0018" w:rsidP="00A76F4A">
            <w:pPr>
              <w:ind w:right="12"/>
              <w:rPr>
                <w:rFonts w:eastAsia="Times New Roman"/>
                <w:b/>
                <w:sz w:val="20"/>
                <w:szCs w:val="20"/>
                <w:lang w:val="fr-CA" w:eastAsia="en-US"/>
              </w:rPr>
            </w:pPr>
            <w:r w:rsidRPr="00F92390">
              <w:rPr>
                <w:rFonts w:eastAsia="Times New Roman"/>
                <w:b/>
                <w:sz w:val="20"/>
                <w:szCs w:val="20"/>
                <w:lang w:val="fr-CA" w:eastAsia="en-US"/>
              </w:rPr>
              <w:t>X</w:t>
            </w:r>
          </w:p>
          <w:p w:rsidR="00FC0018" w:rsidRPr="00F92390" w:rsidRDefault="00FC0018" w:rsidP="00A76F4A">
            <w:pPr>
              <w:ind w:right="12"/>
              <w:rPr>
                <w:rFonts w:eastAsia="Times New Roman"/>
                <w:b/>
                <w:sz w:val="20"/>
                <w:szCs w:val="20"/>
                <w:lang w:val="fr-CA" w:eastAsia="en-US"/>
              </w:rPr>
            </w:pPr>
          </w:p>
        </w:tc>
        <w:tc>
          <w:tcPr>
            <w:tcW w:w="354" w:type="dxa"/>
            <w:shd w:val="clear" w:color="auto" w:fill="FFFFFF"/>
            <w:vAlign w:val="center"/>
          </w:tcPr>
          <w:p w:rsidR="00FC0018" w:rsidRPr="00F92390" w:rsidRDefault="00FC0018" w:rsidP="00A76F4A">
            <w:pPr>
              <w:ind w:right="12"/>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FC0018" w:rsidRPr="00F92390" w:rsidRDefault="00FC0018"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FC0018" w:rsidRPr="00F92390" w:rsidRDefault="00FC0018"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tcPr>
          <w:p w:rsidR="00FC0018" w:rsidRPr="00F92390" w:rsidRDefault="00FC0018" w:rsidP="00A76F4A">
            <w:pPr>
              <w:ind w:right="12"/>
              <w:rPr>
                <w:rFonts w:eastAsia="Times New Roman"/>
                <w:b/>
                <w:sz w:val="20"/>
                <w:szCs w:val="20"/>
                <w:lang w:val="fr-CA" w:eastAsia="en-US"/>
              </w:rPr>
            </w:pPr>
          </w:p>
        </w:tc>
        <w:tc>
          <w:tcPr>
            <w:tcW w:w="406" w:type="dxa"/>
            <w:shd w:val="clear" w:color="auto" w:fill="FFFFFF"/>
          </w:tcPr>
          <w:p w:rsidR="00FC0018" w:rsidRPr="00F92390" w:rsidRDefault="00FC0018" w:rsidP="00A76F4A">
            <w:pPr>
              <w:ind w:right="12"/>
              <w:rPr>
                <w:rFonts w:eastAsia="Times New Roman"/>
                <w:b/>
                <w:sz w:val="20"/>
                <w:szCs w:val="20"/>
                <w:lang w:val="fr-CA" w:eastAsia="en-US"/>
              </w:rPr>
            </w:pPr>
          </w:p>
        </w:tc>
        <w:tc>
          <w:tcPr>
            <w:tcW w:w="406" w:type="dxa"/>
            <w:shd w:val="clear" w:color="auto" w:fill="FFFFFF"/>
          </w:tcPr>
          <w:p w:rsidR="00FC0018" w:rsidRPr="00F92390" w:rsidRDefault="00FC0018" w:rsidP="00A76F4A">
            <w:pPr>
              <w:ind w:right="12"/>
              <w:rPr>
                <w:rFonts w:eastAsia="Times New Roman"/>
                <w:b/>
                <w:sz w:val="20"/>
                <w:szCs w:val="20"/>
                <w:lang w:val="fr-CA" w:eastAsia="en-US"/>
              </w:rPr>
            </w:pPr>
          </w:p>
        </w:tc>
        <w:tc>
          <w:tcPr>
            <w:tcW w:w="406" w:type="dxa"/>
            <w:shd w:val="clear" w:color="auto" w:fill="FFFFFF"/>
          </w:tcPr>
          <w:p w:rsidR="00FC0018" w:rsidRPr="00F92390" w:rsidRDefault="00FC0018" w:rsidP="00A76F4A">
            <w:pPr>
              <w:ind w:right="12"/>
              <w:rPr>
                <w:rFonts w:eastAsia="Times New Roman"/>
                <w:b/>
                <w:sz w:val="20"/>
                <w:szCs w:val="20"/>
                <w:lang w:val="fr-CA" w:eastAsia="en-US"/>
              </w:rPr>
            </w:pPr>
          </w:p>
        </w:tc>
      </w:tr>
      <w:tr w:rsidR="002F5899" w:rsidRPr="00F92390" w:rsidTr="00F92390">
        <w:trPr>
          <w:jc w:val="center"/>
        </w:trPr>
        <w:tc>
          <w:tcPr>
            <w:tcW w:w="1555" w:type="dxa"/>
            <w:shd w:val="clear" w:color="auto" w:fill="auto"/>
            <w:vAlign w:val="center"/>
          </w:tcPr>
          <w:p w:rsidR="006A5B0F" w:rsidRPr="00F92390" w:rsidRDefault="006A5B0F" w:rsidP="00A76F4A">
            <w:pPr>
              <w:autoSpaceDE w:val="0"/>
              <w:autoSpaceDN w:val="0"/>
              <w:adjustRightInd w:val="0"/>
              <w:ind w:right="12"/>
              <w:rPr>
                <w:rFonts w:eastAsia="Times New Roman"/>
                <w:sz w:val="20"/>
                <w:szCs w:val="20"/>
                <w:lang w:val="fr-CA" w:eastAsia="en-US"/>
              </w:rPr>
            </w:pPr>
            <w:r w:rsidRPr="00F92390">
              <w:rPr>
                <w:rFonts w:eastAsia="Times New Roman"/>
                <w:b/>
                <w:bCs/>
                <w:sz w:val="20"/>
                <w:szCs w:val="20"/>
                <w:lang w:val="fr-CA" w:eastAsia="en-US"/>
              </w:rPr>
              <w:t xml:space="preserve">Formation </w:t>
            </w:r>
          </w:p>
          <w:p w:rsidR="006A5B0F" w:rsidRPr="00F92390" w:rsidRDefault="006A5B0F" w:rsidP="00A76F4A">
            <w:pPr>
              <w:ind w:right="12"/>
              <w:rPr>
                <w:rFonts w:eastAsia="Times New Roman"/>
                <w:sz w:val="20"/>
                <w:szCs w:val="20"/>
                <w:lang w:val="fr-CA" w:eastAsia="en-US"/>
              </w:rPr>
            </w:pPr>
          </w:p>
        </w:tc>
        <w:tc>
          <w:tcPr>
            <w:tcW w:w="2420" w:type="dxa"/>
            <w:shd w:val="clear" w:color="auto" w:fill="auto"/>
            <w:vAlign w:val="center"/>
          </w:tcPr>
          <w:p w:rsidR="006A5B0F" w:rsidRPr="00F92390" w:rsidRDefault="006A5B0F"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t xml:space="preserve">Formation des </w:t>
            </w:r>
            <w:r w:rsidR="003807A4" w:rsidRPr="00F92390">
              <w:rPr>
                <w:sz w:val="20"/>
                <w:szCs w:val="20"/>
              </w:rPr>
              <w:t xml:space="preserve">Points Focaux Environnementales et Sociales </w:t>
            </w:r>
            <w:r w:rsidRPr="00F92390">
              <w:rPr>
                <w:rFonts w:eastAsia="Times New Roman"/>
                <w:sz w:val="20"/>
                <w:szCs w:val="20"/>
                <w:lang w:val="fr-CA" w:eastAsia="en-US"/>
              </w:rPr>
              <w:t>en gestion environnementale des projets</w:t>
            </w:r>
          </w:p>
        </w:tc>
        <w:tc>
          <w:tcPr>
            <w:tcW w:w="2311" w:type="dxa"/>
            <w:gridSpan w:val="2"/>
            <w:shd w:val="clear" w:color="auto" w:fill="FFFFFF"/>
          </w:tcPr>
          <w:p w:rsidR="006A5B0F" w:rsidRPr="00F92390" w:rsidRDefault="006A5B0F" w:rsidP="00A76F4A">
            <w:pPr>
              <w:tabs>
                <w:tab w:val="num" w:pos="360"/>
              </w:tabs>
              <w:ind w:right="12"/>
              <w:rPr>
                <w:rFonts w:eastAsia="Times New Roman"/>
                <w:sz w:val="20"/>
                <w:szCs w:val="20"/>
                <w:lang w:val="fr-CA" w:eastAsia="en-US"/>
              </w:rPr>
            </w:pPr>
            <w:r w:rsidRPr="00F92390">
              <w:rPr>
                <w:rFonts w:eastAsia="Times New Roman"/>
                <w:sz w:val="20"/>
                <w:szCs w:val="20"/>
                <w:lang w:val="fr-CA" w:eastAsia="en-US"/>
              </w:rPr>
              <w:t>Consultants</w:t>
            </w:r>
          </w:p>
          <w:p w:rsidR="00BA673E" w:rsidRPr="00F92390" w:rsidRDefault="00BA673E" w:rsidP="00A76F4A">
            <w:pPr>
              <w:ind w:right="12"/>
              <w:rPr>
                <w:rFonts w:eastAsia="Times New Roman"/>
                <w:sz w:val="20"/>
                <w:szCs w:val="20"/>
                <w:lang w:val="fr-CA" w:eastAsia="en-US"/>
              </w:rPr>
            </w:pPr>
            <w:r w:rsidRPr="00F92390">
              <w:rPr>
                <w:rFonts w:eastAsia="Times New Roman"/>
                <w:sz w:val="20"/>
                <w:szCs w:val="20"/>
                <w:lang w:val="fr-CA" w:eastAsia="en-US"/>
              </w:rPr>
              <w:t>AAAC</w:t>
            </w:r>
            <w:r w:rsidR="007227C7" w:rsidRPr="00F92390">
              <w:rPr>
                <w:rFonts w:eastAsia="Times New Roman"/>
                <w:sz w:val="20"/>
                <w:szCs w:val="20"/>
                <w:lang w:val="fr-CA" w:eastAsia="en-US"/>
              </w:rPr>
              <w:t> / SSES</w:t>
            </w:r>
          </w:p>
          <w:p w:rsidR="00312E68" w:rsidRPr="00F92390" w:rsidRDefault="00773726" w:rsidP="00A76F4A">
            <w:pPr>
              <w:ind w:right="12"/>
              <w:rPr>
                <w:rFonts w:eastAsia="Times New Roman"/>
                <w:sz w:val="20"/>
                <w:szCs w:val="20"/>
                <w:lang w:val="fr-CA" w:eastAsia="en-US"/>
              </w:rPr>
            </w:pPr>
            <w:r w:rsidRPr="00F92390">
              <w:rPr>
                <w:rFonts w:eastAsia="Times New Roman"/>
                <w:sz w:val="20"/>
                <w:szCs w:val="20"/>
                <w:lang w:val="fr-CA" w:eastAsia="en-US"/>
              </w:rPr>
              <w:t>Spécialisées</w:t>
            </w:r>
            <w:r w:rsidR="006A5B0F" w:rsidRPr="00F92390">
              <w:rPr>
                <w:rFonts w:eastAsia="Times New Roman"/>
                <w:sz w:val="20"/>
                <w:szCs w:val="20"/>
                <w:lang w:val="fr-CA" w:eastAsia="en-US"/>
              </w:rPr>
              <w:t xml:space="preserve"> en animation</w:t>
            </w:r>
            <w:r w:rsidR="001E249C" w:rsidRPr="00F92390">
              <w:rPr>
                <w:rFonts w:eastAsia="Times New Roman"/>
                <w:sz w:val="20"/>
                <w:szCs w:val="20"/>
                <w:lang w:val="fr-CA" w:eastAsia="en-US"/>
              </w:rPr>
              <w:t>, ONG</w:t>
            </w:r>
          </w:p>
        </w:tc>
        <w:tc>
          <w:tcPr>
            <w:tcW w:w="408" w:type="dxa"/>
            <w:shd w:val="clear" w:color="auto" w:fill="FFFFFF"/>
            <w:vAlign w:val="center"/>
          </w:tcPr>
          <w:p w:rsidR="006A5B0F" w:rsidRPr="00F92390" w:rsidRDefault="006A5B0F" w:rsidP="00A76F4A">
            <w:pPr>
              <w:ind w:right="12"/>
              <w:rPr>
                <w:rFonts w:eastAsia="Times New Roman"/>
                <w:b/>
                <w:sz w:val="20"/>
                <w:szCs w:val="20"/>
                <w:lang w:val="fr-CA" w:eastAsia="en-US"/>
              </w:rPr>
            </w:pPr>
          </w:p>
        </w:tc>
        <w:tc>
          <w:tcPr>
            <w:tcW w:w="403" w:type="dxa"/>
            <w:shd w:val="clear" w:color="auto" w:fill="FFFFFF"/>
            <w:vAlign w:val="center"/>
          </w:tcPr>
          <w:p w:rsidR="006A5B0F" w:rsidRPr="00F92390" w:rsidRDefault="006A5B0F" w:rsidP="00A76F4A">
            <w:pPr>
              <w:ind w:right="12"/>
              <w:rPr>
                <w:rFonts w:eastAsia="Times New Roman"/>
                <w:b/>
                <w:sz w:val="20"/>
                <w:szCs w:val="20"/>
                <w:lang w:val="fr-CA" w:eastAsia="en-US"/>
              </w:rPr>
            </w:pPr>
          </w:p>
        </w:tc>
        <w:tc>
          <w:tcPr>
            <w:tcW w:w="305" w:type="dxa"/>
            <w:shd w:val="clear" w:color="auto" w:fill="FFFFFF"/>
            <w:vAlign w:val="center"/>
          </w:tcPr>
          <w:p w:rsidR="006A5B0F" w:rsidRPr="00F92390" w:rsidRDefault="008F665D" w:rsidP="00A76F4A">
            <w:pPr>
              <w:ind w:right="12"/>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6A5B0F" w:rsidRPr="00F92390" w:rsidRDefault="006A5B0F" w:rsidP="00A76F4A">
            <w:pPr>
              <w:ind w:right="12"/>
              <w:rPr>
                <w:rFonts w:eastAsia="Times New Roman"/>
                <w:b/>
                <w:sz w:val="20"/>
                <w:szCs w:val="20"/>
                <w:lang w:val="fr-CA" w:eastAsia="en-US"/>
              </w:rPr>
            </w:pPr>
          </w:p>
        </w:tc>
        <w:tc>
          <w:tcPr>
            <w:tcW w:w="354" w:type="dxa"/>
            <w:shd w:val="clear" w:color="auto" w:fill="FFFFFF"/>
            <w:vAlign w:val="center"/>
          </w:tcPr>
          <w:p w:rsidR="006A5B0F" w:rsidRPr="00F92390" w:rsidRDefault="006A5B0F" w:rsidP="00A76F4A">
            <w:pPr>
              <w:ind w:right="12"/>
              <w:rPr>
                <w:rFonts w:eastAsia="Times New Roman"/>
                <w:b/>
                <w:sz w:val="20"/>
                <w:szCs w:val="20"/>
                <w:lang w:val="fr-CA" w:eastAsia="en-US"/>
              </w:rPr>
            </w:pPr>
          </w:p>
        </w:tc>
        <w:tc>
          <w:tcPr>
            <w:tcW w:w="354" w:type="dxa"/>
            <w:shd w:val="clear" w:color="auto" w:fill="FFFFFF"/>
            <w:vAlign w:val="center"/>
          </w:tcPr>
          <w:p w:rsidR="006A5B0F" w:rsidRPr="00F92390" w:rsidRDefault="006A5B0F" w:rsidP="00A76F4A">
            <w:pPr>
              <w:ind w:right="12"/>
              <w:rPr>
                <w:rFonts w:eastAsia="Times New Roman"/>
                <w:b/>
                <w:sz w:val="20"/>
                <w:szCs w:val="20"/>
                <w:lang w:val="fr-CA" w:eastAsia="en-US"/>
              </w:rPr>
            </w:pPr>
          </w:p>
        </w:tc>
        <w:tc>
          <w:tcPr>
            <w:tcW w:w="348" w:type="dxa"/>
            <w:shd w:val="clear" w:color="auto" w:fill="FFFFFF"/>
          </w:tcPr>
          <w:p w:rsidR="006A5B0F" w:rsidRPr="00F92390" w:rsidRDefault="006A5B0F" w:rsidP="00A76F4A">
            <w:pPr>
              <w:ind w:right="12"/>
              <w:rPr>
                <w:rFonts w:eastAsia="Times New Roman"/>
                <w:b/>
                <w:sz w:val="20"/>
                <w:szCs w:val="20"/>
                <w:lang w:val="fr-CA" w:eastAsia="en-US"/>
              </w:rPr>
            </w:pPr>
          </w:p>
        </w:tc>
        <w:tc>
          <w:tcPr>
            <w:tcW w:w="348" w:type="dxa"/>
            <w:shd w:val="clear" w:color="auto" w:fill="FFFFFF"/>
          </w:tcPr>
          <w:p w:rsidR="006A5B0F" w:rsidRPr="00F92390" w:rsidRDefault="006A5B0F" w:rsidP="00A76F4A">
            <w:pPr>
              <w:ind w:right="12"/>
              <w:rPr>
                <w:rFonts w:eastAsia="Times New Roman"/>
                <w:b/>
                <w:sz w:val="20"/>
                <w:szCs w:val="20"/>
                <w:lang w:val="fr-CA" w:eastAsia="en-US"/>
              </w:rPr>
            </w:pPr>
          </w:p>
        </w:tc>
        <w:tc>
          <w:tcPr>
            <w:tcW w:w="348" w:type="dxa"/>
            <w:shd w:val="clear" w:color="auto" w:fill="FFFFFF"/>
          </w:tcPr>
          <w:p w:rsidR="006A5B0F" w:rsidRPr="00F92390" w:rsidRDefault="006A5B0F" w:rsidP="00A76F4A">
            <w:pPr>
              <w:ind w:right="12"/>
              <w:rPr>
                <w:rFonts w:eastAsia="Times New Roman"/>
                <w:b/>
                <w:sz w:val="20"/>
                <w:szCs w:val="20"/>
                <w:lang w:val="fr-CA" w:eastAsia="en-US"/>
              </w:rPr>
            </w:pPr>
          </w:p>
        </w:tc>
        <w:tc>
          <w:tcPr>
            <w:tcW w:w="406" w:type="dxa"/>
            <w:shd w:val="clear" w:color="auto" w:fill="FFFFFF"/>
          </w:tcPr>
          <w:p w:rsidR="006A5B0F" w:rsidRPr="00F92390" w:rsidRDefault="006A5B0F" w:rsidP="00A76F4A">
            <w:pPr>
              <w:ind w:right="12"/>
              <w:rPr>
                <w:rFonts w:eastAsia="Times New Roman"/>
                <w:b/>
                <w:sz w:val="20"/>
                <w:szCs w:val="20"/>
                <w:lang w:val="fr-CA" w:eastAsia="en-US"/>
              </w:rPr>
            </w:pPr>
          </w:p>
        </w:tc>
        <w:tc>
          <w:tcPr>
            <w:tcW w:w="406" w:type="dxa"/>
            <w:shd w:val="clear" w:color="auto" w:fill="FFFFFF"/>
          </w:tcPr>
          <w:p w:rsidR="006A5B0F" w:rsidRPr="00F92390" w:rsidRDefault="006A5B0F" w:rsidP="00A76F4A">
            <w:pPr>
              <w:ind w:right="12"/>
              <w:rPr>
                <w:rFonts w:eastAsia="Times New Roman"/>
                <w:b/>
                <w:sz w:val="20"/>
                <w:szCs w:val="20"/>
                <w:lang w:val="fr-CA" w:eastAsia="en-US"/>
              </w:rPr>
            </w:pPr>
          </w:p>
        </w:tc>
        <w:tc>
          <w:tcPr>
            <w:tcW w:w="406" w:type="dxa"/>
            <w:shd w:val="clear" w:color="auto" w:fill="FFFFFF"/>
          </w:tcPr>
          <w:p w:rsidR="006A5B0F" w:rsidRPr="00F92390" w:rsidRDefault="006A5B0F" w:rsidP="00A76F4A">
            <w:pPr>
              <w:ind w:right="12"/>
              <w:rPr>
                <w:rFonts w:eastAsia="Times New Roman"/>
                <w:b/>
                <w:sz w:val="20"/>
                <w:szCs w:val="20"/>
                <w:lang w:val="fr-CA" w:eastAsia="en-US"/>
              </w:rPr>
            </w:pPr>
          </w:p>
        </w:tc>
      </w:tr>
      <w:tr w:rsidR="002F5899" w:rsidRPr="00F92390" w:rsidTr="00F92390">
        <w:trPr>
          <w:jc w:val="center"/>
        </w:trPr>
        <w:tc>
          <w:tcPr>
            <w:tcW w:w="1555" w:type="dxa"/>
            <w:shd w:val="clear" w:color="auto" w:fill="auto"/>
            <w:vAlign w:val="center"/>
          </w:tcPr>
          <w:p w:rsidR="006A5B0F" w:rsidRPr="00F92390" w:rsidRDefault="006A5B0F" w:rsidP="00A76F4A">
            <w:pPr>
              <w:autoSpaceDE w:val="0"/>
              <w:autoSpaceDN w:val="0"/>
              <w:adjustRightInd w:val="0"/>
              <w:ind w:right="12"/>
              <w:rPr>
                <w:rFonts w:eastAsia="Times New Roman"/>
                <w:sz w:val="20"/>
                <w:szCs w:val="20"/>
                <w:lang w:val="fr-CA" w:eastAsia="en-US"/>
              </w:rPr>
            </w:pPr>
            <w:r w:rsidRPr="00F92390">
              <w:rPr>
                <w:rFonts w:eastAsia="Times New Roman"/>
                <w:b/>
                <w:bCs/>
                <w:sz w:val="20"/>
                <w:szCs w:val="20"/>
                <w:lang w:val="fr-CA" w:eastAsia="en-US"/>
              </w:rPr>
              <w:t xml:space="preserve">Sensibilisation </w:t>
            </w:r>
          </w:p>
          <w:p w:rsidR="006A5B0F" w:rsidRPr="00F92390" w:rsidRDefault="006A5B0F" w:rsidP="00A76F4A">
            <w:pPr>
              <w:ind w:right="12"/>
              <w:rPr>
                <w:rFonts w:eastAsia="Times New Roman"/>
                <w:sz w:val="20"/>
                <w:szCs w:val="20"/>
                <w:lang w:val="fr-CA" w:eastAsia="en-US"/>
              </w:rPr>
            </w:pPr>
          </w:p>
        </w:tc>
        <w:tc>
          <w:tcPr>
            <w:tcW w:w="2420" w:type="dxa"/>
            <w:shd w:val="clear" w:color="auto" w:fill="auto"/>
            <w:vAlign w:val="center"/>
          </w:tcPr>
          <w:p w:rsidR="006A5B0F" w:rsidRPr="00F92390" w:rsidRDefault="006A5B0F"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t>Sensibilisation et mobilisation des populations locales et des producteurs et transformateurs agricoles</w:t>
            </w:r>
          </w:p>
        </w:tc>
        <w:tc>
          <w:tcPr>
            <w:tcW w:w="2311" w:type="dxa"/>
            <w:gridSpan w:val="2"/>
            <w:shd w:val="clear" w:color="auto" w:fill="FFFFFF"/>
          </w:tcPr>
          <w:p w:rsidR="006A5B0F" w:rsidRPr="00F92390" w:rsidRDefault="006A5B0F" w:rsidP="00A76F4A">
            <w:pPr>
              <w:tabs>
                <w:tab w:val="num" w:pos="360"/>
              </w:tabs>
              <w:ind w:right="12"/>
              <w:rPr>
                <w:rFonts w:eastAsia="Times New Roman"/>
                <w:sz w:val="20"/>
                <w:szCs w:val="20"/>
                <w:lang w:val="fr-CA" w:eastAsia="en-US"/>
              </w:rPr>
            </w:pPr>
            <w:r w:rsidRPr="00F92390">
              <w:rPr>
                <w:rFonts w:eastAsia="Times New Roman"/>
                <w:sz w:val="20"/>
                <w:szCs w:val="20"/>
                <w:lang w:val="fr-CA" w:eastAsia="en-US"/>
              </w:rPr>
              <w:t>Consultants</w:t>
            </w:r>
          </w:p>
          <w:p w:rsidR="006A5B0F" w:rsidRPr="00F92390" w:rsidRDefault="006A5B0F" w:rsidP="00A76F4A">
            <w:pPr>
              <w:ind w:right="12"/>
              <w:rPr>
                <w:rFonts w:eastAsia="Times New Roman"/>
                <w:b/>
                <w:sz w:val="20"/>
                <w:szCs w:val="20"/>
                <w:lang w:val="fr-CA" w:eastAsia="en-US"/>
              </w:rPr>
            </w:pPr>
            <w:r w:rsidRPr="00F92390">
              <w:rPr>
                <w:rFonts w:eastAsia="Times New Roman"/>
                <w:sz w:val="20"/>
                <w:szCs w:val="20"/>
                <w:lang w:val="fr-CA" w:eastAsia="en-US"/>
              </w:rPr>
              <w:t>ONG spécialisées en animation</w:t>
            </w:r>
          </w:p>
        </w:tc>
        <w:tc>
          <w:tcPr>
            <w:tcW w:w="408" w:type="dxa"/>
            <w:shd w:val="clear" w:color="auto" w:fill="FFFFFF"/>
            <w:vAlign w:val="center"/>
          </w:tcPr>
          <w:p w:rsidR="006A5B0F" w:rsidRPr="00F92390" w:rsidRDefault="006A5B0F" w:rsidP="00A76F4A">
            <w:pPr>
              <w:ind w:right="12"/>
              <w:rPr>
                <w:rFonts w:eastAsia="Times New Roman"/>
                <w:b/>
                <w:sz w:val="20"/>
                <w:szCs w:val="20"/>
                <w:lang w:val="fr-CA" w:eastAsia="en-US"/>
              </w:rPr>
            </w:pPr>
          </w:p>
        </w:tc>
        <w:tc>
          <w:tcPr>
            <w:tcW w:w="403" w:type="dxa"/>
            <w:shd w:val="clear" w:color="auto" w:fill="FFFFFF"/>
            <w:vAlign w:val="center"/>
          </w:tcPr>
          <w:p w:rsidR="006A5B0F" w:rsidRPr="00F92390" w:rsidRDefault="006A5B0F" w:rsidP="00A76F4A">
            <w:pPr>
              <w:ind w:right="12"/>
              <w:rPr>
                <w:rFonts w:eastAsia="Times New Roman"/>
                <w:b/>
                <w:sz w:val="20"/>
                <w:szCs w:val="20"/>
                <w:lang w:val="fr-CA" w:eastAsia="en-US"/>
              </w:rPr>
            </w:pPr>
          </w:p>
        </w:tc>
        <w:tc>
          <w:tcPr>
            <w:tcW w:w="305" w:type="dxa"/>
            <w:shd w:val="clear" w:color="auto" w:fill="FFFFFF"/>
            <w:vAlign w:val="center"/>
          </w:tcPr>
          <w:p w:rsidR="006A5B0F" w:rsidRPr="00F92390" w:rsidRDefault="006A5B0F" w:rsidP="00A76F4A">
            <w:pPr>
              <w:ind w:right="12"/>
              <w:rPr>
                <w:rFonts w:eastAsia="Times New Roman"/>
                <w:b/>
                <w:sz w:val="20"/>
                <w:szCs w:val="20"/>
                <w:lang w:val="fr-CA" w:eastAsia="en-US"/>
              </w:rPr>
            </w:pPr>
          </w:p>
        </w:tc>
        <w:tc>
          <w:tcPr>
            <w:tcW w:w="354" w:type="dxa"/>
            <w:shd w:val="clear" w:color="auto" w:fill="FFFFFF"/>
            <w:vAlign w:val="center"/>
          </w:tcPr>
          <w:p w:rsidR="006A5B0F" w:rsidRPr="00F92390" w:rsidRDefault="006A5B0F"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6A5B0F" w:rsidRPr="00F92390" w:rsidRDefault="006A5B0F"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6A5B0F" w:rsidRPr="00F92390" w:rsidRDefault="008A5B28"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6A5B0F" w:rsidRPr="00F92390" w:rsidRDefault="008A5B28"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6A5B0F" w:rsidRPr="00F92390" w:rsidRDefault="008A5B28"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6A5B0F" w:rsidRPr="00F92390" w:rsidRDefault="00521246"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406" w:type="dxa"/>
            <w:shd w:val="clear" w:color="auto" w:fill="FFFFFF"/>
          </w:tcPr>
          <w:p w:rsidR="006A5B0F" w:rsidRPr="00F92390" w:rsidRDefault="006A5B0F" w:rsidP="00A76F4A">
            <w:pPr>
              <w:ind w:right="12"/>
              <w:rPr>
                <w:rFonts w:eastAsia="Times New Roman"/>
                <w:b/>
                <w:sz w:val="20"/>
                <w:szCs w:val="20"/>
                <w:lang w:val="fr-CA" w:eastAsia="en-US"/>
              </w:rPr>
            </w:pPr>
          </w:p>
        </w:tc>
        <w:tc>
          <w:tcPr>
            <w:tcW w:w="406" w:type="dxa"/>
            <w:shd w:val="clear" w:color="auto" w:fill="FFFFFF"/>
          </w:tcPr>
          <w:p w:rsidR="006A5B0F" w:rsidRPr="00F92390" w:rsidRDefault="006A5B0F" w:rsidP="00A76F4A">
            <w:pPr>
              <w:ind w:right="12"/>
              <w:rPr>
                <w:rFonts w:eastAsia="Times New Roman"/>
                <w:b/>
                <w:sz w:val="20"/>
                <w:szCs w:val="20"/>
                <w:lang w:val="fr-CA" w:eastAsia="en-US"/>
              </w:rPr>
            </w:pPr>
          </w:p>
        </w:tc>
        <w:tc>
          <w:tcPr>
            <w:tcW w:w="406" w:type="dxa"/>
            <w:shd w:val="clear" w:color="auto" w:fill="FFFFFF"/>
          </w:tcPr>
          <w:p w:rsidR="006A5B0F" w:rsidRPr="00F92390" w:rsidRDefault="006A5B0F" w:rsidP="00A76F4A">
            <w:pPr>
              <w:ind w:right="12"/>
              <w:rPr>
                <w:rFonts w:eastAsia="Times New Roman"/>
                <w:b/>
                <w:sz w:val="20"/>
                <w:szCs w:val="20"/>
                <w:lang w:val="fr-CA" w:eastAsia="en-US"/>
              </w:rPr>
            </w:pPr>
          </w:p>
        </w:tc>
      </w:tr>
      <w:tr w:rsidR="002F5899" w:rsidRPr="00F92390" w:rsidTr="00F92390">
        <w:trPr>
          <w:jc w:val="center"/>
        </w:trPr>
        <w:tc>
          <w:tcPr>
            <w:tcW w:w="1555" w:type="dxa"/>
            <w:vMerge w:val="restart"/>
            <w:shd w:val="clear" w:color="auto" w:fill="auto"/>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bCs/>
                <w:sz w:val="20"/>
                <w:szCs w:val="20"/>
                <w:lang w:val="fr-CA" w:eastAsia="en-US"/>
              </w:rPr>
              <w:t xml:space="preserve">Mesures de </w:t>
            </w:r>
            <w:r w:rsidRPr="00F92390">
              <w:rPr>
                <w:rFonts w:eastAsia="Times New Roman"/>
                <w:b/>
                <w:bCs/>
                <w:sz w:val="20"/>
                <w:szCs w:val="20"/>
                <w:lang w:val="fr-CA" w:eastAsia="en-US"/>
              </w:rPr>
              <w:lastRenderedPageBreak/>
              <w:t>suivi</w:t>
            </w:r>
          </w:p>
        </w:tc>
        <w:tc>
          <w:tcPr>
            <w:tcW w:w="2420" w:type="dxa"/>
            <w:vMerge w:val="restart"/>
            <w:shd w:val="clear" w:color="auto" w:fill="auto"/>
            <w:vAlign w:val="center"/>
          </w:tcPr>
          <w:p w:rsidR="00A72E43" w:rsidRPr="00F92390" w:rsidRDefault="00A72E43"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lastRenderedPageBreak/>
              <w:t xml:space="preserve">Suivi environnemental et </w:t>
            </w:r>
            <w:r w:rsidRPr="00F92390">
              <w:rPr>
                <w:rFonts w:eastAsia="Times New Roman"/>
                <w:sz w:val="20"/>
                <w:szCs w:val="20"/>
                <w:lang w:val="fr-CA" w:eastAsia="en-US"/>
              </w:rPr>
              <w:lastRenderedPageBreak/>
              <w:t>surveillance environnementale du PUSA</w:t>
            </w:r>
          </w:p>
          <w:p w:rsidR="00A72E43" w:rsidRPr="00F92390" w:rsidRDefault="00A72E43" w:rsidP="00A76F4A">
            <w:pPr>
              <w:ind w:right="12"/>
              <w:rPr>
                <w:rFonts w:eastAsia="Times New Roman"/>
                <w:sz w:val="20"/>
                <w:szCs w:val="20"/>
                <w:lang w:val="fr-CA" w:eastAsia="en-US"/>
              </w:rPr>
            </w:pPr>
          </w:p>
        </w:tc>
        <w:tc>
          <w:tcPr>
            <w:tcW w:w="1276" w:type="dxa"/>
            <w:shd w:val="clear" w:color="auto" w:fill="auto"/>
            <w:vAlign w:val="center"/>
          </w:tcPr>
          <w:p w:rsidR="00A72E43" w:rsidRPr="00F92390" w:rsidRDefault="00A72E43"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lastRenderedPageBreak/>
              <w:t xml:space="preserve">Suivi de </w:t>
            </w:r>
            <w:r w:rsidRPr="00F92390">
              <w:rPr>
                <w:rFonts w:eastAsia="Times New Roman"/>
                <w:sz w:val="20"/>
                <w:szCs w:val="20"/>
                <w:lang w:val="fr-CA" w:eastAsia="en-US"/>
              </w:rPr>
              <w:lastRenderedPageBreak/>
              <w:t>proximité</w:t>
            </w:r>
          </w:p>
        </w:tc>
        <w:tc>
          <w:tcPr>
            <w:tcW w:w="1035" w:type="dxa"/>
            <w:shd w:val="clear" w:color="auto" w:fill="FFFFFF"/>
          </w:tcPr>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lastRenderedPageBreak/>
              <w:t>AAAC</w:t>
            </w:r>
          </w:p>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lastRenderedPageBreak/>
              <w:t>PUSA</w:t>
            </w:r>
          </w:p>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FAO</w:t>
            </w:r>
          </w:p>
        </w:tc>
        <w:tc>
          <w:tcPr>
            <w:tcW w:w="408" w:type="dxa"/>
            <w:shd w:val="clear" w:color="auto" w:fill="FFFFFF"/>
            <w:vAlign w:val="center"/>
          </w:tcPr>
          <w:p w:rsidR="00A72E43" w:rsidRPr="00F92390" w:rsidRDefault="00A72E43" w:rsidP="00A76F4A">
            <w:pPr>
              <w:ind w:right="12"/>
              <w:rPr>
                <w:rFonts w:eastAsia="Times New Roman"/>
                <w:b/>
                <w:sz w:val="20"/>
                <w:szCs w:val="20"/>
                <w:lang w:val="fr-CA" w:eastAsia="en-US"/>
              </w:rPr>
            </w:pPr>
          </w:p>
        </w:tc>
        <w:tc>
          <w:tcPr>
            <w:tcW w:w="403" w:type="dxa"/>
            <w:shd w:val="clear" w:color="auto" w:fill="FFFFFF"/>
            <w:vAlign w:val="center"/>
          </w:tcPr>
          <w:p w:rsidR="00A72E43" w:rsidRPr="00F92390" w:rsidRDefault="00A72E43" w:rsidP="00A76F4A">
            <w:pPr>
              <w:ind w:right="12"/>
              <w:rPr>
                <w:rFonts w:eastAsia="Times New Roman"/>
                <w:b/>
                <w:sz w:val="20"/>
                <w:szCs w:val="20"/>
                <w:lang w:val="fr-CA" w:eastAsia="en-US"/>
              </w:rPr>
            </w:pPr>
          </w:p>
        </w:tc>
        <w:tc>
          <w:tcPr>
            <w:tcW w:w="305"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54"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348"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406"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406"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c>
          <w:tcPr>
            <w:tcW w:w="406" w:type="dxa"/>
            <w:shd w:val="clear" w:color="auto" w:fill="FFFFFF"/>
            <w:vAlign w:val="center"/>
          </w:tcPr>
          <w:p w:rsidR="00A72E43" w:rsidRPr="00F92390" w:rsidRDefault="00A72E43" w:rsidP="00A76F4A">
            <w:pPr>
              <w:ind w:right="12"/>
              <w:jc w:val="center"/>
              <w:rPr>
                <w:rFonts w:eastAsia="Times New Roman"/>
                <w:b/>
                <w:sz w:val="20"/>
                <w:szCs w:val="20"/>
                <w:lang w:val="fr-CA" w:eastAsia="en-US"/>
              </w:rPr>
            </w:pPr>
            <w:r w:rsidRPr="00F92390">
              <w:rPr>
                <w:rFonts w:eastAsia="Times New Roman"/>
                <w:b/>
                <w:sz w:val="20"/>
                <w:szCs w:val="20"/>
                <w:lang w:val="fr-CA" w:eastAsia="en-US"/>
              </w:rPr>
              <w:t>X</w:t>
            </w:r>
          </w:p>
        </w:tc>
      </w:tr>
      <w:tr w:rsidR="002F5899" w:rsidRPr="00F92390" w:rsidTr="00F92390">
        <w:trPr>
          <w:jc w:val="center"/>
        </w:trPr>
        <w:tc>
          <w:tcPr>
            <w:tcW w:w="1555" w:type="dxa"/>
            <w:vMerge/>
            <w:shd w:val="clear" w:color="auto" w:fill="auto"/>
            <w:vAlign w:val="center"/>
          </w:tcPr>
          <w:p w:rsidR="00A72E43" w:rsidRPr="00F92390" w:rsidRDefault="00A72E43" w:rsidP="00A76F4A">
            <w:pPr>
              <w:ind w:right="12"/>
              <w:rPr>
                <w:rFonts w:eastAsia="Times New Roman"/>
                <w:sz w:val="20"/>
                <w:szCs w:val="20"/>
                <w:lang w:val="fr-CA" w:eastAsia="en-US"/>
              </w:rPr>
            </w:pPr>
          </w:p>
        </w:tc>
        <w:tc>
          <w:tcPr>
            <w:tcW w:w="2420" w:type="dxa"/>
            <w:vMerge/>
            <w:shd w:val="clear" w:color="auto" w:fill="auto"/>
            <w:vAlign w:val="center"/>
          </w:tcPr>
          <w:p w:rsidR="00A72E43" w:rsidRPr="00F92390" w:rsidRDefault="00A72E43" w:rsidP="00A76F4A">
            <w:pPr>
              <w:ind w:right="12"/>
              <w:rPr>
                <w:rFonts w:eastAsia="Times New Roman"/>
                <w:sz w:val="20"/>
                <w:szCs w:val="20"/>
                <w:lang w:val="fr-CA" w:eastAsia="en-US"/>
              </w:rPr>
            </w:pPr>
          </w:p>
        </w:tc>
        <w:tc>
          <w:tcPr>
            <w:tcW w:w="1276" w:type="dxa"/>
            <w:shd w:val="clear" w:color="auto" w:fill="auto"/>
            <w:vAlign w:val="center"/>
          </w:tcPr>
          <w:p w:rsidR="00A72E43" w:rsidRPr="00F92390" w:rsidRDefault="00A72E43" w:rsidP="00A76F4A">
            <w:pPr>
              <w:autoSpaceDE w:val="0"/>
              <w:autoSpaceDN w:val="0"/>
              <w:adjustRightInd w:val="0"/>
              <w:ind w:right="12"/>
              <w:rPr>
                <w:rFonts w:eastAsia="Times New Roman"/>
                <w:sz w:val="20"/>
                <w:szCs w:val="20"/>
                <w:lang w:val="fr-CA" w:eastAsia="en-US"/>
              </w:rPr>
            </w:pPr>
            <w:r w:rsidRPr="00F92390">
              <w:rPr>
                <w:rFonts w:eastAsia="Times New Roman"/>
                <w:sz w:val="20"/>
                <w:szCs w:val="20"/>
                <w:lang w:val="fr-CA" w:eastAsia="en-US"/>
              </w:rPr>
              <w:t xml:space="preserve">Supervision </w:t>
            </w:r>
          </w:p>
          <w:p w:rsidR="00A72E43" w:rsidRPr="00F92390" w:rsidRDefault="00A72E43" w:rsidP="00A76F4A">
            <w:pPr>
              <w:ind w:right="12"/>
              <w:rPr>
                <w:rFonts w:eastAsia="Times New Roman"/>
                <w:sz w:val="20"/>
                <w:szCs w:val="20"/>
                <w:lang w:val="fr-CA" w:eastAsia="en-US"/>
              </w:rPr>
            </w:pPr>
          </w:p>
        </w:tc>
        <w:tc>
          <w:tcPr>
            <w:tcW w:w="1035" w:type="dxa"/>
            <w:shd w:val="clear" w:color="auto" w:fill="auto"/>
          </w:tcPr>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BM</w:t>
            </w:r>
          </w:p>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FAO</w:t>
            </w:r>
          </w:p>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PUSA</w:t>
            </w:r>
          </w:p>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AAAC</w:t>
            </w:r>
          </w:p>
        </w:tc>
        <w:tc>
          <w:tcPr>
            <w:tcW w:w="408"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403"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05"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54" w:type="dxa"/>
            <w:shd w:val="clear" w:color="auto" w:fill="auto"/>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sz w:val="20"/>
                <w:szCs w:val="20"/>
                <w:lang w:val="fr-CA" w:eastAsia="en-US"/>
              </w:rPr>
              <w:t>X</w:t>
            </w:r>
          </w:p>
        </w:tc>
        <w:tc>
          <w:tcPr>
            <w:tcW w:w="354" w:type="dxa"/>
            <w:shd w:val="clear" w:color="auto" w:fill="auto"/>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sz w:val="20"/>
                <w:szCs w:val="20"/>
                <w:lang w:val="fr-CA" w:eastAsia="en-US"/>
              </w:rPr>
              <w:t>X</w:t>
            </w:r>
          </w:p>
        </w:tc>
        <w:tc>
          <w:tcPr>
            <w:tcW w:w="354" w:type="dxa"/>
            <w:shd w:val="clear" w:color="auto" w:fill="auto"/>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sz w:val="20"/>
                <w:szCs w:val="20"/>
                <w:lang w:val="fr-CA" w:eastAsia="en-US"/>
              </w:rPr>
              <w:t>X</w:t>
            </w:r>
          </w:p>
        </w:tc>
        <w:tc>
          <w:tcPr>
            <w:tcW w:w="348" w:type="dxa"/>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sz w:val="20"/>
                <w:szCs w:val="20"/>
                <w:lang w:val="fr-CA" w:eastAsia="en-US"/>
              </w:rPr>
              <w:t>X</w:t>
            </w:r>
          </w:p>
        </w:tc>
        <w:tc>
          <w:tcPr>
            <w:tcW w:w="348" w:type="dxa"/>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sz w:val="20"/>
                <w:szCs w:val="20"/>
                <w:lang w:val="fr-CA" w:eastAsia="en-US"/>
              </w:rPr>
              <w:t>X</w:t>
            </w:r>
          </w:p>
        </w:tc>
        <w:tc>
          <w:tcPr>
            <w:tcW w:w="348" w:type="dxa"/>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sz w:val="20"/>
                <w:szCs w:val="20"/>
                <w:lang w:val="fr-CA" w:eastAsia="en-US"/>
              </w:rPr>
              <w:t>X</w:t>
            </w:r>
          </w:p>
        </w:tc>
        <w:tc>
          <w:tcPr>
            <w:tcW w:w="406" w:type="dxa"/>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sz w:val="20"/>
                <w:szCs w:val="20"/>
                <w:lang w:val="fr-CA" w:eastAsia="en-US"/>
              </w:rPr>
              <w:t>X</w:t>
            </w:r>
          </w:p>
        </w:tc>
        <w:tc>
          <w:tcPr>
            <w:tcW w:w="406" w:type="dxa"/>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sz w:val="20"/>
                <w:szCs w:val="20"/>
                <w:lang w:val="fr-CA" w:eastAsia="en-US"/>
              </w:rPr>
              <w:t>X</w:t>
            </w:r>
          </w:p>
        </w:tc>
        <w:tc>
          <w:tcPr>
            <w:tcW w:w="406" w:type="dxa"/>
            <w:vAlign w:val="center"/>
          </w:tcPr>
          <w:p w:rsidR="00A72E43" w:rsidRPr="00F92390" w:rsidRDefault="00A72E43" w:rsidP="00A76F4A">
            <w:pPr>
              <w:ind w:right="12"/>
              <w:rPr>
                <w:rFonts w:eastAsia="Times New Roman"/>
                <w:sz w:val="20"/>
                <w:szCs w:val="20"/>
                <w:lang w:val="fr-CA" w:eastAsia="en-US"/>
              </w:rPr>
            </w:pPr>
            <w:r w:rsidRPr="00F92390">
              <w:rPr>
                <w:rFonts w:eastAsia="Times New Roman"/>
                <w:b/>
                <w:sz w:val="20"/>
                <w:szCs w:val="20"/>
                <w:lang w:val="fr-CA" w:eastAsia="en-US"/>
              </w:rPr>
              <w:t>X</w:t>
            </w:r>
          </w:p>
        </w:tc>
      </w:tr>
      <w:tr w:rsidR="002F5899" w:rsidRPr="00F92390" w:rsidTr="00F92390">
        <w:trPr>
          <w:jc w:val="center"/>
        </w:trPr>
        <w:tc>
          <w:tcPr>
            <w:tcW w:w="1555" w:type="dxa"/>
            <w:vMerge/>
            <w:shd w:val="clear" w:color="auto" w:fill="auto"/>
            <w:vAlign w:val="center"/>
          </w:tcPr>
          <w:p w:rsidR="00A72E43" w:rsidRPr="00F92390" w:rsidRDefault="00A72E43" w:rsidP="00A76F4A">
            <w:pPr>
              <w:ind w:right="12"/>
              <w:rPr>
                <w:rFonts w:eastAsia="Times New Roman"/>
                <w:sz w:val="20"/>
                <w:szCs w:val="20"/>
                <w:lang w:val="fr-CA" w:eastAsia="en-US"/>
              </w:rPr>
            </w:pPr>
          </w:p>
        </w:tc>
        <w:tc>
          <w:tcPr>
            <w:tcW w:w="2420" w:type="dxa"/>
            <w:vMerge w:val="restart"/>
            <w:shd w:val="clear" w:color="auto" w:fill="auto"/>
            <w:vAlign w:val="center"/>
          </w:tcPr>
          <w:p w:rsidR="00A72E43" w:rsidRPr="00F92390" w:rsidRDefault="00A72E43" w:rsidP="00A76F4A">
            <w:pPr>
              <w:ind w:right="12"/>
              <w:rPr>
                <w:rFonts w:eastAsia="Times New Roman"/>
                <w:sz w:val="20"/>
                <w:szCs w:val="20"/>
                <w:lang w:val="fr-CA" w:eastAsia="en-US"/>
              </w:rPr>
            </w:pPr>
            <w:r w:rsidRPr="00F92390">
              <w:rPr>
                <w:sz w:val="20"/>
                <w:szCs w:val="20"/>
              </w:rPr>
              <w:t xml:space="preserve">Évaluation </w:t>
            </w:r>
            <w:r w:rsidR="00A73BE0" w:rsidRPr="00F92390">
              <w:rPr>
                <w:sz w:val="20"/>
                <w:szCs w:val="20"/>
              </w:rPr>
              <w:t>AEI</w:t>
            </w:r>
          </w:p>
        </w:tc>
        <w:tc>
          <w:tcPr>
            <w:tcW w:w="1276" w:type="dxa"/>
            <w:shd w:val="clear" w:color="auto" w:fill="auto"/>
            <w:vAlign w:val="center"/>
          </w:tcPr>
          <w:p w:rsidR="00A72E43" w:rsidRPr="00F92390" w:rsidRDefault="00B46AFA" w:rsidP="00A76F4A">
            <w:pPr>
              <w:ind w:right="12"/>
              <w:rPr>
                <w:rFonts w:eastAsia="Times New Roman"/>
                <w:sz w:val="20"/>
                <w:szCs w:val="20"/>
                <w:lang w:val="fr-CA" w:eastAsia="en-US"/>
              </w:rPr>
            </w:pPr>
            <w:r w:rsidRPr="00F92390">
              <w:rPr>
                <w:rFonts w:eastAsia="Times New Roman"/>
                <w:sz w:val="20"/>
                <w:szCs w:val="20"/>
                <w:lang w:val="fr-CA" w:eastAsia="en-US"/>
              </w:rPr>
              <w:t>Mi</w:t>
            </w:r>
            <w:r w:rsidR="00A72E43" w:rsidRPr="00F92390">
              <w:rPr>
                <w:rFonts w:eastAsia="Times New Roman"/>
                <w:sz w:val="20"/>
                <w:szCs w:val="20"/>
                <w:lang w:val="fr-CA" w:eastAsia="en-US"/>
              </w:rPr>
              <w:t>-parcours</w:t>
            </w:r>
          </w:p>
        </w:tc>
        <w:tc>
          <w:tcPr>
            <w:tcW w:w="1035" w:type="dxa"/>
            <w:shd w:val="clear" w:color="auto" w:fill="auto"/>
          </w:tcPr>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BM</w:t>
            </w:r>
          </w:p>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FAO</w:t>
            </w:r>
          </w:p>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PUSA</w:t>
            </w:r>
          </w:p>
        </w:tc>
        <w:tc>
          <w:tcPr>
            <w:tcW w:w="408"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403"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05"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54"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54"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54" w:type="dxa"/>
            <w:shd w:val="clear" w:color="auto" w:fill="auto"/>
            <w:vAlign w:val="center"/>
          </w:tcPr>
          <w:p w:rsidR="00A72E43" w:rsidRPr="00F92390" w:rsidRDefault="00A72E43" w:rsidP="00A76F4A">
            <w:pPr>
              <w:ind w:right="12"/>
              <w:rPr>
                <w:rFonts w:eastAsia="Times New Roman"/>
                <w:b/>
                <w:sz w:val="20"/>
                <w:szCs w:val="20"/>
                <w:lang w:val="fr-CA" w:eastAsia="en-US"/>
              </w:rPr>
            </w:pPr>
            <w:r w:rsidRPr="00F92390">
              <w:rPr>
                <w:rFonts w:eastAsia="Times New Roman"/>
                <w:b/>
                <w:sz w:val="20"/>
                <w:szCs w:val="20"/>
                <w:lang w:val="fr-CA" w:eastAsia="en-US"/>
              </w:rPr>
              <w:t>X</w:t>
            </w:r>
          </w:p>
        </w:tc>
        <w:tc>
          <w:tcPr>
            <w:tcW w:w="348" w:type="dxa"/>
          </w:tcPr>
          <w:p w:rsidR="00A72E43" w:rsidRPr="00F92390" w:rsidRDefault="00A72E43" w:rsidP="00A76F4A">
            <w:pPr>
              <w:ind w:right="12"/>
              <w:rPr>
                <w:rFonts w:eastAsia="Times New Roman"/>
                <w:b/>
                <w:sz w:val="20"/>
                <w:szCs w:val="20"/>
                <w:lang w:val="fr-CA" w:eastAsia="en-US"/>
              </w:rPr>
            </w:pPr>
          </w:p>
        </w:tc>
        <w:tc>
          <w:tcPr>
            <w:tcW w:w="348" w:type="dxa"/>
          </w:tcPr>
          <w:p w:rsidR="00A72E43" w:rsidRPr="00F92390" w:rsidRDefault="00A72E43" w:rsidP="00A76F4A">
            <w:pPr>
              <w:ind w:right="12"/>
              <w:rPr>
                <w:rFonts w:eastAsia="Times New Roman"/>
                <w:b/>
                <w:sz w:val="20"/>
                <w:szCs w:val="20"/>
                <w:lang w:val="fr-CA" w:eastAsia="en-US"/>
              </w:rPr>
            </w:pPr>
          </w:p>
        </w:tc>
        <w:tc>
          <w:tcPr>
            <w:tcW w:w="348" w:type="dxa"/>
          </w:tcPr>
          <w:p w:rsidR="00A72E43" w:rsidRPr="00F92390" w:rsidRDefault="00A72E43" w:rsidP="00A76F4A">
            <w:pPr>
              <w:ind w:right="12"/>
              <w:rPr>
                <w:rFonts w:eastAsia="Times New Roman"/>
                <w:b/>
                <w:sz w:val="20"/>
                <w:szCs w:val="20"/>
                <w:lang w:val="fr-CA" w:eastAsia="en-US"/>
              </w:rPr>
            </w:pPr>
          </w:p>
        </w:tc>
        <w:tc>
          <w:tcPr>
            <w:tcW w:w="406" w:type="dxa"/>
          </w:tcPr>
          <w:p w:rsidR="00A72E43" w:rsidRPr="00F92390" w:rsidRDefault="00A72E43" w:rsidP="00A76F4A">
            <w:pPr>
              <w:ind w:right="12"/>
              <w:rPr>
                <w:rFonts w:eastAsia="Times New Roman"/>
                <w:b/>
                <w:sz w:val="20"/>
                <w:szCs w:val="20"/>
                <w:lang w:val="fr-CA" w:eastAsia="en-US"/>
              </w:rPr>
            </w:pPr>
          </w:p>
        </w:tc>
        <w:tc>
          <w:tcPr>
            <w:tcW w:w="406" w:type="dxa"/>
          </w:tcPr>
          <w:p w:rsidR="00A72E43" w:rsidRPr="00F92390" w:rsidRDefault="00A72E43" w:rsidP="00A76F4A">
            <w:pPr>
              <w:ind w:right="12"/>
              <w:rPr>
                <w:rFonts w:eastAsia="Times New Roman"/>
                <w:b/>
                <w:sz w:val="20"/>
                <w:szCs w:val="20"/>
                <w:lang w:val="fr-CA" w:eastAsia="en-US"/>
              </w:rPr>
            </w:pPr>
          </w:p>
        </w:tc>
        <w:tc>
          <w:tcPr>
            <w:tcW w:w="406" w:type="dxa"/>
          </w:tcPr>
          <w:p w:rsidR="00A72E43" w:rsidRPr="00F92390" w:rsidRDefault="00A72E43" w:rsidP="00A76F4A">
            <w:pPr>
              <w:ind w:right="12"/>
              <w:rPr>
                <w:rFonts w:eastAsia="Times New Roman"/>
                <w:b/>
                <w:sz w:val="20"/>
                <w:szCs w:val="20"/>
                <w:lang w:val="fr-CA" w:eastAsia="en-US"/>
              </w:rPr>
            </w:pPr>
          </w:p>
        </w:tc>
      </w:tr>
      <w:tr w:rsidR="002F5899" w:rsidRPr="00F92390" w:rsidTr="00F92390">
        <w:trPr>
          <w:jc w:val="center"/>
        </w:trPr>
        <w:tc>
          <w:tcPr>
            <w:tcW w:w="1555" w:type="dxa"/>
            <w:vMerge/>
            <w:shd w:val="clear" w:color="auto" w:fill="auto"/>
            <w:vAlign w:val="center"/>
          </w:tcPr>
          <w:p w:rsidR="00A72E43" w:rsidRPr="00F92390" w:rsidRDefault="00A72E43" w:rsidP="00A76F4A">
            <w:pPr>
              <w:ind w:right="12"/>
              <w:rPr>
                <w:rFonts w:eastAsia="Times New Roman"/>
                <w:sz w:val="20"/>
                <w:szCs w:val="20"/>
                <w:lang w:val="fr-CA" w:eastAsia="en-US"/>
              </w:rPr>
            </w:pPr>
          </w:p>
        </w:tc>
        <w:tc>
          <w:tcPr>
            <w:tcW w:w="2420" w:type="dxa"/>
            <w:vMerge/>
            <w:shd w:val="clear" w:color="auto" w:fill="auto"/>
            <w:vAlign w:val="center"/>
          </w:tcPr>
          <w:p w:rsidR="00A72E43" w:rsidRPr="00F92390" w:rsidRDefault="00A72E43" w:rsidP="00A76F4A">
            <w:pPr>
              <w:ind w:right="12"/>
              <w:rPr>
                <w:rFonts w:eastAsia="Times New Roman"/>
                <w:sz w:val="20"/>
                <w:szCs w:val="20"/>
                <w:lang w:val="fr-CA" w:eastAsia="en-US"/>
              </w:rPr>
            </w:pPr>
          </w:p>
        </w:tc>
        <w:tc>
          <w:tcPr>
            <w:tcW w:w="1276" w:type="dxa"/>
            <w:shd w:val="clear" w:color="auto" w:fill="auto"/>
            <w:vAlign w:val="center"/>
          </w:tcPr>
          <w:p w:rsidR="00A72E43" w:rsidRPr="00F92390" w:rsidRDefault="00A72E43" w:rsidP="00A76F4A">
            <w:pPr>
              <w:ind w:right="12"/>
              <w:rPr>
                <w:rFonts w:eastAsia="Times New Roman"/>
                <w:sz w:val="20"/>
                <w:szCs w:val="20"/>
                <w:lang w:val="fr-CA" w:eastAsia="en-US"/>
              </w:rPr>
            </w:pPr>
            <w:r w:rsidRPr="00F92390">
              <w:rPr>
                <w:rFonts w:eastAsia="Times New Roman"/>
                <w:sz w:val="20"/>
                <w:szCs w:val="20"/>
                <w:lang w:val="fr-CA" w:eastAsia="en-US"/>
              </w:rPr>
              <w:t>Finale</w:t>
            </w:r>
          </w:p>
        </w:tc>
        <w:tc>
          <w:tcPr>
            <w:tcW w:w="1035" w:type="dxa"/>
            <w:shd w:val="clear" w:color="auto" w:fill="auto"/>
          </w:tcPr>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BM</w:t>
            </w:r>
          </w:p>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FAO</w:t>
            </w:r>
          </w:p>
          <w:p w:rsidR="00A72E43" w:rsidRPr="00F92390" w:rsidRDefault="00A72E43" w:rsidP="00A76F4A">
            <w:pPr>
              <w:numPr>
                <w:ilvl w:val="0"/>
                <w:numId w:val="177"/>
              </w:numPr>
              <w:spacing w:after="160" w:line="256" w:lineRule="auto"/>
              <w:ind w:left="103" w:right="12" w:hanging="103"/>
              <w:contextualSpacing/>
              <w:rPr>
                <w:rFonts w:eastAsia="Calibri"/>
                <w:sz w:val="20"/>
                <w:szCs w:val="20"/>
                <w:lang w:eastAsia="en-US"/>
              </w:rPr>
            </w:pPr>
            <w:r w:rsidRPr="00F92390">
              <w:rPr>
                <w:rFonts w:eastAsia="Calibri"/>
                <w:sz w:val="20"/>
                <w:szCs w:val="20"/>
                <w:lang w:eastAsia="en-US"/>
              </w:rPr>
              <w:t>PUSA</w:t>
            </w:r>
          </w:p>
        </w:tc>
        <w:tc>
          <w:tcPr>
            <w:tcW w:w="408"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403"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05"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54"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54"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54" w:type="dxa"/>
            <w:shd w:val="clear" w:color="auto" w:fill="auto"/>
            <w:vAlign w:val="center"/>
          </w:tcPr>
          <w:p w:rsidR="00A72E43" w:rsidRPr="00F92390" w:rsidRDefault="00A72E43" w:rsidP="00A76F4A">
            <w:pPr>
              <w:ind w:right="12"/>
              <w:rPr>
                <w:rFonts w:eastAsia="Times New Roman"/>
                <w:b/>
                <w:sz w:val="20"/>
                <w:szCs w:val="20"/>
                <w:lang w:val="fr-CA" w:eastAsia="en-US"/>
              </w:rPr>
            </w:pPr>
          </w:p>
        </w:tc>
        <w:tc>
          <w:tcPr>
            <w:tcW w:w="348" w:type="dxa"/>
          </w:tcPr>
          <w:p w:rsidR="00A72E43" w:rsidRPr="00F92390" w:rsidRDefault="00A72E43" w:rsidP="00A76F4A">
            <w:pPr>
              <w:ind w:right="12"/>
              <w:rPr>
                <w:rFonts w:eastAsia="Times New Roman"/>
                <w:b/>
                <w:sz w:val="20"/>
                <w:szCs w:val="20"/>
                <w:lang w:val="fr-CA" w:eastAsia="en-US"/>
              </w:rPr>
            </w:pPr>
          </w:p>
        </w:tc>
        <w:tc>
          <w:tcPr>
            <w:tcW w:w="348" w:type="dxa"/>
          </w:tcPr>
          <w:p w:rsidR="00A72E43" w:rsidRPr="00F92390" w:rsidRDefault="00A72E43" w:rsidP="00A76F4A">
            <w:pPr>
              <w:ind w:right="12"/>
              <w:rPr>
                <w:rFonts w:eastAsia="Times New Roman"/>
                <w:b/>
                <w:sz w:val="20"/>
                <w:szCs w:val="20"/>
                <w:lang w:val="fr-CA" w:eastAsia="en-US"/>
              </w:rPr>
            </w:pPr>
          </w:p>
        </w:tc>
        <w:tc>
          <w:tcPr>
            <w:tcW w:w="348" w:type="dxa"/>
          </w:tcPr>
          <w:p w:rsidR="00A72E43" w:rsidRPr="00F92390" w:rsidRDefault="00A72E43" w:rsidP="00A76F4A">
            <w:pPr>
              <w:ind w:right="12"/>
              <w:rPr>
                <w:rFonts w:eastAsia="Times New Roman"/>
                <w:b/>
                <w:sz w:val="20"/>
                <w:szCs w:val="20"/>
                <w:lang w:val="fr-CA" w:eastAsia="en-US"/>
              </w:rPr>
            </w:pPr>
          </w:p>
        </w:tc>
        <w:tc>
          <w:tcPr>
            <w:tcW w:w="406" w:type="dxa"/>
          </w:tcPr>
          <w:p w:rsidR="00A72E43" w:rsidRPr="00F92390" w:rsidRDefault="00A72E43" w:rsidP="00A76F4A">
            <w:pPr>
              <w:ind w:right="12"/>
              <w:rPr>
                <w:rFonts w:eastAsia="Times New Roman"/>
                <w:b/>
                <w:sz w:val="20"/>
                <w:szCs w:val="20"/>
                <w:lang w:val="fr-CA" w:eastAsia="en-US"/>
              </w:rPr>
            </w:pPr>
          </w:p>
        </w:tc>
        <w:tc>
          <w:tcPr>
            <w:tcW w:w="406" w:type="dxa"/>
          </w:tcPr>
          <w:p w:rsidR="00A72E43" w:rsidRPr="00F92390" w:rsidRDefault="00A72E43" w:rsidP="00A76F4A">
            <w:pPr>
              <w:ind w:right="12"/>
              <w:rPr>
                <w:rFonts w:eastAsia="Times New Roman"/>
                <w:b/>
                <w:sz w:val="20"/>
                <w:szCs w:val="20"/>
                <w:lang w:val="fr-CA" w:eastAsia="en-US"/>
              </w:rPr>
            </w:pPr>
          </w:p>
        </w:tc>
        <w:tc>
          <w:tcPr>
            <w:tcW w:w="406" w:type="dxa"/>
          </w:tcPr>
          <w:p w:rsidR="00A72E43" w:rsidRPr="00F92390" w:rsidRDefault="00A72E43" w:rsidP="00A76F4A">
            <w:pPr>
              <w:ind w:right="12"/>
              <w:rPr>
                <w:rFonts w:eastAsia="Times New Roman"/>
                <w:b/>
                <w:sz w:val="20"/>
                <w:szCs w:val="20"/>
                <w:lang w:val="fr-CA" w:eastAsia="en-US"/>
              </w:rPr>
            </w:pPr>
            <w:r w:rsidRPr="00F92390">
              <w:rPr>
                <w:rFonts w:eastAsia="Times New Roman"/>
                <w:b/>
                <w:sz w:val="20"/>
                <w:szCs w:val="20"/>
                <w:lang w:val="fr-CA" w:eastAsia="en-US"/>
              </w:rPr>
              <w:t>X</w:t>
            </w:r>
          </w:p>
        </w:tc>
      </w:tr>
    </w:tbl>
    <w:bookmarkEnd w:id="359"/>
    <w:bookmarkEnd w:id="360"/>
    <w:p w:rsidR="00F92390" w:rsidRDefault="00F92390" w:rsidP="00F92390">
      <w:pPr>
        <w:rPr>
          <w:rFonts w:eastAsia="Calibri" w:cs="Calibri"/>
          <w:caps/>
          <w:lang w:eastAsia="en-US"/>
        </w:rPr>
      </w:pPr>
      <w:r>
        <w:rPr>
          <w:rFonts w:eastAsia="Calibri" w:cs="Calibri"/>
          <w:caps/>
          <w:lang w:eastAsia="en-US"/>
        </w:rPr>
        <w:tab/>
      </w:r>
    </w:p>
    <w:p w:rsidR="00F92390" w:rsidRPr="00A05698" w:rsidRDefault="00F92390" w:rsidP="00F92390">
      <w:pPr>
        <w:rPr>
          <w:rFonts w:eastAsia="Times New Roman"/>
          <w:lang w:val="fr-BE" w:eastAsia="fr-BE"/>
        </w:rPr>
      </w:pPr>
      <w:r w:rsidRPr="00A05698">
        <w:rPr>
          <w:rFonts w:eastAsia="Times New Roman"/>
          <w:iCs/>
          <w:lang w:val="fr-BE" w:eastAsia="fr-BE"/>
        </w:rPr>
        <w:t xml:space="preserve">Le tableau suivant indique le </w:t>
      </w:r>
      <w:r w:rsidRPr="00A05698">
        <w:rPr>
          <w:rFonts w:eastAsia="Times New Roman"/>
          <w:lang w:val="fr-BE" w:eastAsia="fr-BE"/>
        </w:rPr>
        <w:t>dispositif de suivi des composantes environnementales et sociales.</w:t>
      </w:r>
    </w:p>
    <w:p w:rsidR="00F92390" w:rsidRPr="00F92390" w:rsidRDefault="00F92390" w:rsidP="00F92390">
      <w:pPr>
        <w:tabs>
          <w:tab w:val="left" w:pos="3655"/>
        </w:tabs>
        <w:ind w:right="12"/>
        <w:contextualSpacing/>
        <w:jc w:val="both"/>
        <w:rPr>
          <w:rFonts w:eastAsia="Calibri" w:cs="Calibri"/>
          <w:caps/>
          <w:lang w:val="fr-BE" w:eastAsia="en-US"/>
        </w:rPr>
      </w:pPr>
    </w:p>
    <w:p w:rsidR="00F92390" w:rsidRPr="00F92390" w:rsidRDefault="00F92390" w:rsidP="00F92390">
      <w:pPr>
        <w:tabs>
          <w:tab w:val="left" w:pos="3655"/>
        </w:tabs>
        <w:rPr>
          <w:rFonts w:eastAsia="Calibri" w:cs="Calibri"/>
          <w:lang w:eastAsia="en-US"/>
        </w:rPr>
        <w:sectPr w:rsidR="00F92390" w:rsidRPr="00F92390" w:rsidSect="00D47C37">
          <w:headerReference w:type="default" r:id="rId56"/>
          <w:footerReference w:type="default" r:id="rId57"/>
          <w:pgSz w:w="11906" w:h="16838"/>
          <w:pgMar w:top="1411" w:right="1411" w:bottom="1411" w:left="1411" w:header="317" w:footer="706" w:gutter="0"/>
          <w:cols w:space="708"/>
          <w:docGrid w:linePitch="360"/>
        </w:sectPr>
      </w:pPr>
      <w:r>
        <w:rPr>
          <w:rFonts w:eastAsia="Calibri" w:cs="Calibri"/>
          <w:lang w:eastAsia="en-US"/>
        </w:rPr>
        <w:tab/>
      </w:r>
    </w:p>
    <w:p w:rsidR="00F92390" w:rsidRPr="00A05698" w:rsidRDefault="00F92390" w:rsidP="00F92390">
      <w:pPr>
        <w:pStyle w:val="Primeiroavanodecorpodetexto2"/>
        <w:spacing w:after="0" w:line="240" w:lineRule="auto"/>
        <w:jc w:val="center"/>
        <w:rPr>
          <w:rFonts w:ascii="Times New Roman" w:hAnsi="Times New Roman"/>
          <w:b/>
        </w:rPr>
      </w:pPr>
      <w:bookmarkStart w:id="361" w:name="_Toc55460646"/>
      <w:bookmarkStart w:id="362" w:name="_Toc69919042"/>
      <w:r w:rsidRPr="00A05698">
        <w:rPr>
          <w:rFonts w:ascii="Times New Roman" w:hAnsi="Times New Roman"/>
          <w:b/>
        </w:rPr>
        <w:lastRenderedPageBreak/>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Pr>
          <w:rFonts w:ascii="Times New Roman" w:hAnsi="Times New Roman"/>
          <w:b/>
          <w:noProof/>
        </w:rPr>
        <w:t>23</w:t>
      </w:r>
      <w:r w:rsidRPr="00A05698">
        <w:rPr>
          <w:rFonts w:ascii="Times New Roman" w:hAnsi="Times New Roman"/>
          <w:b/>
        </w:rPr>
        <w:fldChar w:fldCharType="end"/>
      </w:r>
      <w:r w:rsidRPr="00A05698">
        <w:rPr>
          <w:rFonts w:ascii="Times New Roman" w:hAnsi="Times New Roman"/>
          <w:b/>
        </w:rPr>
        <w:t>. Indicateurs de suivi "externe"</w:t>
      </w:r>
      <w:bookmarkEnd w:id="361"/>
      <w:bookmarkEnd w:id="362"/>
    </w:p>
    <w:tbl>
      <w:tblPr>
        <w:tblW w:w="5312"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57" w:type="dxa"/>
          <w:right w:w="57" w:type="dxa"/>
        </w:tblCellMar>
        <w:tblLook w:val="04A0" w:firstRow="1" w:lastRow="0" w:firstColumn="1" w:lastColumn="0" w:noHBand="0" w:noVBand="1"/>
      </w:tblPr>
      <w:tblGrid>
        <w:gridCol w:w="1432"/>
        <w:gridCol w:w="1144"/>
        <w:gridCol w:w="5570"/>
        <w:gridCol w:w="2288"/>
        <w:gridCol w:w="1573"/>
        <w:gridCol w:w="1431"/>
        <w:gridCol w:w="1574"/>
      </w:tblGrid>
      <w:tr w:rsidR="00F92390" w:rsidRPr="00CD66A1" w:rsidTr="00F92390">
        <w:trPr>
          <w:tblHeader/>
          <w:jc w:val="center"/>
        </w:trPr>
        <w:tc>
          <w:tcPr>
            <w:tcW w:w="1420" w:type="dxa"/>
            <w:tcBorders>
              <w:top w:val="single" w:sz="4" w:space="0" w:color="5B9BD5" w:themeColor="accent1"/>
            </w:tcBorders>
            <w:shd w:val="clear" w:color="auto" w:fill="E2EFD9" w:themeFill="accent6" w:themeFillTint="33"/>
            <w:vAlign w:val="center"/>
          </w:tcPr>
          <w:p w:rsidR="00F92390" w:rsidRPr="00CD66A1" w:rsidRDefault="00F92390" w:rsidP="00BA5F73">
            <w:pPr>
              <w:ind w:right="57"/>
              <w:jc w:val="center"/>
              <w:rPr>
                <w:b/>
                <w:sz w:val="20"/>
                <w:szCs w:val="20"/>
              </w:rPr>
            </w:pPr>
            <w:r w:rsidRPr="00CD66A1">
              <w:rPr>
                <w:b/>
                <w:sz w:val="20"/>
                <w:szCs w:val="20"/>
              </w:rPr>
              <w:t>Composantes</w:t>
            </w:r>
          </w:p>
        </w:tc>
        <w:tc>
          <w:tcPr>
            <w:tcW w:w="1134" w:type="dxa"/>
            <w:tcBorders>
              <w:top w:val="single" w:sz="4" w:space="0" w:color="5B9BD5" w:themeColor="accent1"/>
            </w:tcBorders>
            <w:shd w:val="clear" w:color="auto" w:fill="E2EFD9" w:themeFill="accent6" w:themeFillTint="33"/>
            <w:vAlign w:val="center"/>
          </w:tcPr>
          <w:p w:rsidR="00F92390" w:rsidRPr="00CD66A1" w:rsidRDefault="00F92390" w:rsidP="00BA5F73">
            <w:pPr>
              <w:ind w:right="57"/>
              <w:jc w:val="center"/>
              <w:rPr>
                <w:b/>
                <w:sz w:val="20"/>
                <w:szCs w:val="20"/>
              </w:rPr>
            </w:pPr>
            <w:r w:rsidRPr="00CD66A1">
              <w:rPr>
                <w:b/>
                <w:sz w:val="20"/>
                <w:szCs w:val="20"/>
              </w:rPr>
              <w:t>Aspects</w:t>
            </w:r>
          </w:p>
        </w:tc>
        <w:tc>
          <w:tcPr>
            <w:tcW w:w="5521" w:type="dxa"/>
            <w:tcBorders>
              <w:top w:val="single" w:sz="4" w:space="0" w:color="5B9BD5" w:themeColor="accent1"/>
            </w:tcBorders>
            <w:shd w:val="clear" w:color="auto" w:fill="E2EFD9" w:themeFill="accent6" w:themeFillTint="33"/>
            <w:vAlign w:val="center"/>
          </w:tcPr>
          <w:p w:rsidR="00F92390" w:rsidRPr="00CD66A1" w:rsidRDefault="00F92390" w:rsidP="00BA5F73">
            <w:pPr>
              <w:ind w:right="57"/>
              <w:jc w:val="center"/>
              <w:rPr>
                <w:b/>
                <w:sz w:val="20"/>
                <w:szCs w:val="20"/>
              </w:rPr>
            </w:pPr>
            <w:r w:rsidRPr="00CD66A1">
              <w:rPr>
                <w:b/>
                <w:sz w:val="20"/>
                <w:szCs w:val="20"/>
              </w:rPr>
              <w:t>Méthodes de suivi</w:t>
            </w:r>
          </w:p>
        </w:tc>
        <w:tc>
          <w:tcPr>
            <w:tcW w:w="2268" w:type="dxa"/>
            <w:tcBorders>
              <w:top w:val="single" w:sz="4" w:space="0" w:color="5B9BD5" w:themeColor="accent1"/>
            </w:tcBorders>
            <w:shd w:val="clear" w:color="auto" w:fill="E2EFD9" w:themeFill="accent6" w:themeFillTint="33"/>
            <w:vAlign w:val="center"/>
          </w:tcPr>
          <w:p w:rsidR="00F92390" w:rsidRPr="00CD66A1" w:rsidRDefault="00F92390" w:rsidP="00BA5F73">
            <w:pPr>
              <w:ind w:right="57"/>
              <w:jc w:val="center"/>
              <w:rPr>
                <w:b/>
                <w:sz w:val="20"/>
                <w:szCs w:val="20"/>
              </w:rPr>
            </w:pPr>
            <w:r w:rsidRPr="00CD66A1">
              <w:rPr>
                <w:b/>
                <w:sz w:val="20"/>
                <w:szCs w:val="20"/>
              </w:rPr>
              <w:t>Moyens de contrôle</w:t>
            </w:r>
          </w:p>
        </w:tc>
        <w:tc>
          <w:tcPr>
            <w:tcW w:w="1559" w:type="dxa"/>
            <w:tcBorders>
              <w:top w:val="single" w:sz="4" w:space="0" w:color="5B9BD5" w:themeColor="accent1"/>
            </w:tcBorders>
            <w:shd w:val="clear" w:color="auto" w:fill="E2EFD9" w:themeFill="accent6" w:themeFillTint="33"/>
            <w:vAlign w:val="center"/>
          </w:tcPr>
          <w:p w:rsidR="00F92390" w:rsidRPr="00CD66A1" w:rsidRDefault="00F92390" w:rsidP="00BA5F73">
            <w:pPr>
              <w:ind w:right="57"/>
              <w:jc w:val="center"/>
              <w:rPr>
                <w:b/>
                <w:sz w:val="20"/>
                <w:szCs w:val="20"/>
              </w:rPr>
            </w:pPr>
            <w:r w:rsidRPr="00CD66A1">
              <w:rPr>
                <w:b/>
                <w:sz w:val="20"/>
                <w:szCs w:val="20"/>
              </w:rPr>
              <w:t>Responsable de suivi</w:t>
            </w:r>
          </w:p>
        </w:tc>
        <w:tc>
          <w:tcPr>
            <w:tcW w:w="1418" w:type="dxa"/>
            <w:tcBorders>
              <w:top w:val="single" w:sz="4" w:space="0" w:color="5B9BD5" w:themeColor="accent1"/>
            </w:tcBorders>
            <w:shd w:val="clear" w:color="auto" w:fill="E2EFD9" w:themeFill="accent6" w:themeFillTint="33"/>
            <w:vAlign w:val="center"/>
          </w:tcPr>
          <w:p w:rsidR="00F92390" w:rsidRPr="00CD66A1" w:rsidRDefault="00F92390" w:rsidP="00BA5F73">
            <w:pPr>
              <w:ind w:right="57"/>
              <w:jc w:val="center"/>
              <w:rPr>
                <w:b/>
                <w:sz w:val="20"/>
                <w:szCs w:val="20"/>
              </w:rPr>
            </w:pPr>
            <w:r w:rsidRPr="00CD66A1">
              <w:rPr>
                <w:b/>
                <w:sz w:val="20"/>
                <w:szCs w:val="20"/>
              </w:rPr>
              <w:t>Périodicité</w:t>
            </w:r>
          </w:p>
        </w:tc>
        <w:tc>
          <w:tcPr>
            <w:tcW w:w="1560" w:type="dxa"/>
            <w:tcBorders>
              <w:top w:val="single" w:sz="4" w:space="0" w:color="5B9BD5" w:themeColor="accent1"/>
            </w:tcBorders>
            <w:shd w:val="clear" w:color="auto" w:fill="E2EFD9" w:themeFill="accent6" w:themeFillTint="33"/>
            <w:vAlign w:val="center"/>
          </w:tcPr>
          <w:p w:rsidR="00F92390" w:rsidRPr="00CD66A1" w:rsidRDefault="00F92390" w:rsidP="00BA5F73">
            <w:pPr>
              <w:ind w:right="57"/>
              <w:jc w:val="center"/>
              <w:rPr>
                <w:b/>
                <w:sz w:val="20"/>
                <w:szCs w:val="20"/>
              </w:rPr>
            </w:pPr>
            <w:r w:rsidRPr="00CD66A1">
              <w:rPr>
                <w:b/>
                <w:sz w:val="20"/>
                <w:szCs w:val="20"/>
              </w:rPr>
              <w:t>Objectif visé</w:t>
            </w:r>
          </w:p>
        </w:tc>
      </w:tr>
      <w:tr w:rsidR="00F92390" w:rsidRPr="00CD66A1" w:rsidTr="00F92390">
        <w:trPr>
          <w:jc w:val="center"/>
        </w:trPr>
        <w:tc>
          <w:tcPr>
            <w:tcW w:w="1420" w:type="dxa"/>
            <w:shd w:val="clear" w:color="auto" w:fill="FFFFFF" w:themeFill="background1"/>
            <w:vAlign w:val="center"/>
          </w:tcPr>
          <w:p w:rsidR="00F92390" w:rsidRPr="00CD66A1" w:rsidRDefault="00F92390" w:rsidP="00BA5F73">
            <w:pPr>
              <w:ind w:right="57"/>
              <w:jc w:val="center"/>
              <w:rPr>
                <w:b/>
                <w:sz w:val="20"/>
                <w:szCs w:val="20"/>
              </w:rPr>
            </w:pPr>
            <w:r w:rsidRPr="00CD66A1">
              <w:rPr>
                <w:b/>
                <w:sz w:val="20"/>
                <w:szCs w:val="20"/>
              </w:rPr>
              <w:t>Air</w:t>
            </w:r>
          </w:p>
        </w:tc>
        <w:tc>
          <w:tcPr>
            <w:tcW w:w="1134" w:type="dxa"/>
            <w:vAlign w:val="center"/>
          </w:tcPr>
          <w:p w:rsidR="00F92390" w:rsidRPr="00CD66A1" w:rsidRDefault="00F92390" w:rsidP="00BA5F73">
            <w:pPr>
              <w:ind w:right="57"/>
              <w:jc w:val="center"/>
              <w:rPr>
                <w:b/>
                <w:sz w:val="20"/>
                <w:szCs w:val="20"/>
              </w:rPr>
            </w:pPr>
            <w:r w:rsidRPr="00CD66A1">
              <w:rPr>
                <w:b/>
                <w:sz w:val="20"/>
                <w:szCs w:val="20"/>
              </w:rPr>
              <w:t>Qualité de l’air</w:t>
            </w:r>
          </w:p>
        </w:tc>
        <w:tc>
          <w:tcPr>
            <w:tcW w:w="5521" w:type="dxa"/>
            <w:vAlign w:val="center"/>
          </w:tcPr>
          <w:p w:rsidR="00F92390" w:rsidRPr="00CD66A1" w:rsidRDefault="00F92390" w:rsidP="00BA5F73">
            <w:pPr>
              <w:numPr>
                <w:ilvl w:val="0"/>
                <w:numId w:val="81"/>
              </w:numPr>
              <w:ind w:left="0" w:right="57"/>
              <w:jc w:val="both"/>
              <w:rPr>
                <w:sz w:val="20"/>
                <w:szCs w:val="20"/>
              </w:rPr>
            </w:pPr>
            <w:r w:rsidRPr="00CD66A1">
              <w:rPr>
                <w:sz w:val="20"/>
                <w:szCs w:val="20"/>
              </w:rPr>
              <w:t>Campagne de mesure des concentrations de gaz à effet de serre (CO</w:t>
            </w:r>
            <w:r w:rsidRPr="00CD66A1">
              <w:rPr>
                <w:sz w:val="20"/>
                <w:szCs w:val="20"/>
                <w:vertAlign w:val="subscript"/>
              </w:rPr>
              <w:t>2</w:t>
            </w:r>
            <w:r w:rsidRPr="00CD66A1">
              <w:rPr>
                <w:sz w:val="20"/>
                <w:szCs w:val="20"/>
              </w:rPr>
              <w:t>), de particules en suspension (poussières) et d’autres polluants atmosphériques (CO</w:t>
            </w:r>
            <w:r w:rsidRPr="00CD66A1">
              <w:rPr>
                <w:sz w:val="20"/>
                <w:szCs w:val="20"/>
                <w:vertAlign w:val="subscript"/>
              </w:rPr>
              <w:t>,</w:t>
            </w:r>
            <w:r w:rsidRPr="00CD66A1">
              <w:rPr>
                <w:sz w:val="20"/>
                <w:szCs w:val="20"/>
              </w:rPr>
              <w:t xml:space="preserve"> NO</w:t>
            </w:r>
            <w:r w:rsidRPr="00CD66A1">
              <w:rPr>
                <w:sz w:val="20"/>
                <w:szCs w:val="20"/>
                <w:vertAlign w:val="subscript"/>
              </w:rPr>
              <w:t>X</w:t>
            </w:r>
            <w:r w:rsidRPr="00CD66A1">
              <w:rPr>
                <w:sz w:val="20"/>
                <w:szCs w:val="20"/>
              </w:rPr>
              <w:t>, O</w:t>
            </w:r>
            <w:r w:rsidRPr="00CD66A1">
              <w:rPr>
                <w:sz w:val="20"/>
                <w:szCs w:val="20"/>
                <w:vertAlign w:val="subscript"/>
              </w:rPr>
              <w:t>3</w:t>
            </w:r>
            <w:r w:rsidRPr="00CD66A1">
              <w:rPr>
                <w:sz w:val="20"/>
                <w:szCs w:val="20"/>
              </w:rPr>
              <w:t xml:space="preserve">, CH4 </w:t>
            </w:r>
          </w:p>
          <w:p w:rsidR="00F92390" w:rsidRPr="00CD66A1" w:rsidRDefault="00F92390" w:rsidP="00BA5F73">
            <w:pPr>
              <w:numPr>
                <w:ilvl w:val="0"/>
                <w:numId w:val="81"/>
              </w:numPr>
              <w:ind w:left="0" w:right="57"/>
              <w:jc w:val="both"/>
              <w:rPr>
                <w:sz w:val="20"/>
                <w:szCs w:val="20"/>
              </w:rPr>
            </w:pPr>
            <w:r w:rsidRPr="00CD66A1">
              <w:rPr>
                <w:sz w:val="20"/>
                <w:szCs w:val="20"/>
              </w:rPr>
              <w:t>Renseigner les fiches d’entretien des engins de chantier et de maintenance</w:t>
            </w:r>
          </w:p>
        </w:tc>
        <w:tc>
          <w:tcPr>
            <w:tcW w:w="2268" w:type="dxa"/>
            <w:vAlign w:val="center"/>
          </w:tcPr>
          <w:p w:rsidR="00F92390" w:rsidRPr="00CD66A1" w:rsidRDefault="00F92390" w:rsidP="00BA5F73">
            <w:pPr>
              <w:ind w:right="57"/>
              <w:rPr>
                <w:sz w:val="20"/>
                <w:szCs w:val="20"/>
              </w:rPr>
            </w:pPr>
            <w:r w:rsidRPr="00CD66A1">
              <w:rPr>
                <w:sz w:val="20"/>
                <w:szCs w:val="20"/>
              </w:rPr>
              <w:t>Observations et consultation ;</w:t>
            </w:r>
          </w:p>
          <w:p w:rsidR="00F92390" w:rsidRPr="00CD66A1" w:rsidRDefault="00F92390" w:rsidP="00BA5F73">
            <w:pPr>
              <w:ind w:right="57"/>
              <w:rPr>
                <w:sz w:val="20"/>
                <w:szCs w:val="20"/>
              </w:rPr>
            </w:pPr>
            <w:r w:rsidRPr="00CD66A1">
              <w:rPr>
                <w:sz w:val="20"/>
                <w:szCs w:val="20"/>
              </w:rPr>
              <w:t>Rapports de mesurage ;</w:t>
            </w:r>
          </w:p>
          <w:p w:rsidR="00F92390" w:rsidRPr="00CD66A1" w:rsidRDefault="00F92390" w:rsidP="00BA5F73">
            <w:pPr>
              <w:ind w:right="57"/>
              <w:rPr>
                <w:sz w:val="20"/>
                <w:szCs w:val="20"/>
              </w:rPr>
            </w:pPr>
            <w:r w:rsidRPr="00CD66A1">
              <w:rPr>
                <w:sz w:val="20"/>
                <w:szCs w:val="20"/>
              </w:rPr>
              <w:t>Fiche d’entretien véhicules</w:t>
            </w:r>
          </w:p>
        </w:tc>
        <w:tc>
          <w:tcPr>
            <w:tcW w:w="1559" w:type="dxa"/>
            <w:vAlign w:val="center"/>
          </w:tcPr>
          <w:p w:rsidR="00F92390" w:rsidRPr="00CD66A1" w:rsidRDefault="00F92390" w:rsidP="00BA5F73">
            <w:pPr>
              <w:ind w:right="57"/>
              <w:jc w:val="center"/>
              <w:rPr>
                <w:b/>
                <w:sz w:val="20"/>
                <w:szCs w:val="20"/>
              </w:rPr>
            </w:pPr>
            <w:r w:rsidRPr="00CD66A1">
              <w:rPr>
                <w:b/>
                <w:sz w:val="20"/>
                <w:szCs w:val="20"/>
              </w:rPr>
              <w:t>Spécialiste environnement de la MC</w:t>
            </w:r>
          </w:p>
          <w:p w:rsidR="00F92390" w:rsidRPr="00CD66A1" w:rsidRDefault="00F92390" w:rsidP="00BA5F73">
            <w:pPr>
              <w:ind w:right="57"/>
              <w:jc w:val="center"/>
              <w:rPr>
                <w:b/>
                <w:sz w:val="20"/>
                <w:szCs w:val="20"/>
              </w:rPr>
            </w:pPr>
          </w:p>
          <w:p w:rsidR="00F92390" w:rsidRPr="00CD66A1" w:rsidRDefault="00F92390" w:rsidP="00BA5F73">
            <w:pPr>
              <w:ind w:right="57"/>
              <w:jc w:val="center"/>
              <w:rPr>
                <w:b/>
                <w:sz w:val="20"/>
                <w:szCs w:val="20"/>
              </w:rPr>
            </w:pPr>
            <w:r w:rsidRPr="00CD66A1">
              <w:rPr>
                <w:b/>
                <w:sz w:val="20"/>
                <w:szCs w:val="20"/>
              </w:rPr>
              <w:t>Promoteur</w:t>
            </w:r>
          </w:p>
        </w:tc>
        <w:tc>
          <w:tcPr>
            <w:tcW w:w="1418" w:type="dxa"/>
            <w:vAlign w:val="center"/>
          </w:tcPr>
          <w:p w:rsidR="00F92390" w:rsidRPr="00CD66A1" w:rsidRDefault="00F92390" w:rsidP="00BA5F73">
            <w:pPr>
              <w:ind w:right="57"/>
              <w:rPr>
                <w:b/>
                <w:sz w:val="20"/>
                <w:szCs w:val="20"/>
              </w:rPr>
            </w:pPr>
            <w:r w:rsidRPr="00CD66A1">
              <w:rPr>
                <w:b/>
                <w:sz w:val="20"/>
                <w:szCs w:val="20"/>
              </w:rPr>
              <w:t>Trimestrielle</w:t>
            </w:r>
          </w:p>
        </w:tc>
        <w:tc>
          <w:tcPr>
            <w:tcW w:w="1560" w:type="dxa"/>
            <w:vAlign w:val="center"/>
          </w:tcPr>
          <w:p w:rsidR="00F92390" w:rsidRPr="00CD66A1" w:rsidRDefault="00F92390" w:rsidP="00BA5F73">
            <w:pPr>
              <w:ind w:right="57"/>
              <w:rPr>
                <w:b/>
                <w:sz w:val="20"/>
                <w:szCs w:val="20"/>
              </w:rPr>
            </w:pPr>
            <w:r w:rsidRPr="00CD66A1">
              <w:rPr>
                <w:b/>
                <w:sz w:val="20"/>
                <w:szCs w:val="20"/>
              </w:rPr>
              <w:t>Respect de la réglementation</w:t>
            </w:r>
          </w:p>
        </w:tc>
      </w:tr>
      <w:tr w:rsidR="00F92390" w:rsidRPr="00CD66A1" w:rsidTr="00F92390">
        <w:trPr>
          <w:jc w:val="center"/>
        </w:trPr>
        <w:tc>
          <w:tcPr>
            <w:tcW w:w="1420" w:type="dxa"/>
            <w:shd w:val="clear" w:color="auto" w:fill="FFFFFF" w:themeFill="background1"/>
            <w:vAlign w:val="center"/>
          </w:tcPr>
          <w:p w:rsidR="00F92390" w:rsidRPr="00CD66A1" w:rsidRDefault="00F92390" w:rsidP="00BA5F73">
            <w:pPr>
              <w:ind w:right="57"/>
              <w:jc w:val="center"/>
              <w:rPr>
                <w:b/>
                <w:sz w:val="20"/>
                <w:szCs w:val="20"/>
              </w:rPr>
            </w:pPr>
            <w:r w:rsidRPr="00CD66A1">
              <w:rPr>
                <w:b/>
                <w:sz w:val="20"/>
                <w:szCs w:val="20"/>
              </w:rPr>
              <w:t>Sols</w:t>
            </w:r>
          </w:p>
        </w:tc>
        <w:tc>
          <w:tcPr>
            <w:tcW w:w="1134" w:type="dxa"/>
            <w:vAlign w:val="center"/>
          </w:tcPr>
          <w:p w:rsidR="00F92390" w:rsidRPr="00CD66A1" w:rsidRDefault="00F92390" w:rsidP="00BA5F73">
            <w:pPr>
              <w:ind w:right="57"/>
              <w:jc w:val="center"/>
              <w:rPr>
                <w:b/>
                <w:sz w:val="20"/>
                <w:szCs w:val="20"/>
              </w:rPr>
            </w:pPr>
            <w:r w:rsidRPr="00CD66A1">
              <w:rPr>
                <w:b/>
                <w:sz w:val="20"/>
                <w:szCs w:val="20"/>
              </w:rPr>
              <w:t>Qualité des sols</w:t>
            </w:r>
          </w:p>
        </w:tc>
        <w:tc>
          <w:tcPr>
            <w:tcW w:w="5521" w:type="dxa"/>
            <w:vAlign w:val="center"/>
          </w:tcPr>
          <w:p w:rsidR="00F92390" w:rsidRPr="00CD66A1" w:rsidRDefault="00F92390" w:rsidP="00BA5F73">
            <w:pPr>
              <w:numPr>
                <w:ilvl w:val="0"/>
                <w:numId w:val="80"/>
              </w:numPr>
              <w:ind w:left="0" w:right="57"/>
              <w:jc w:val="both"/>
              <w:rPr>
                <w:sz w:val="20"/>
                <w:szCs w:val="20"/>
              </w:rPr>
            </w:pPr>
            <w:r w:rsidRPr="00CD66A1">
              <w:rPr>
                <w:sz w:val="20"/>
                <w:szCs w:val="20"/>
              </w:rPr>
              <w:t>Analyse de la composition des sols pour en ressortir les teneurs en hydrocarbures, huiles et produits dangereux</w:t>
            </w:r>
          </w:p>
          <w:p w:rsidR="00F92390" w:rsidRPr="00CD66A1" w:rsidRDefault="00F92390" w:rsidP="00BA5F73">
            <w:pPr>
              <w:numPr>
                <w:ilvl w:val="0"/>
                <w:numId w:val="80"/>
              </w:numPr>
              <w:ind w:left="0" w:right="57"/>
              <w:jc w:val="both"/>
              <w:rPr>
                <w:sz w:val="20"/>
                <w:szCs w:val="20"/>
              </w:rPr>
            </w:pPr>
            <w:r w:rsidRPr="00CD66A1">
              <w:rPr>
                <w:sz w:val="20"/>
                <w:szCs w:val="20"/>
              </w:rPr>
              <w:t>Mesure de la superficie contaminée ;</w:t>
            </w:r>
          </w:p>
          <w:p w:rsidR="00F92390" w:rsidRPr="001A20B8" w:rsidRDefault="00F92390" w:rsidP="00BA5F73">
            <w:pPr>
              <w:numPr>
                <w:ilvl w:val="0"/>
                <w:numId w:val="80"/>
              </w:numPr>
              <w:ind w:left="0" w:right="57"/>
              <w:jc w:val="both"/>
              <w:rPr>
                <w:sz w:val="20"/>
                <w:szCs w:val="20"/>
                <w:lang w:val="fr-BE"/>
              </w:rPr>
            </w:pPr>
            <w:r w:rsidRPr="00CD66A1">
              <w:rPr>
                <w:sz w:val="20"/>
                <w:szCs w:val="20"/>
              </w:rPr>
              <w:t>Mesure de la superficie remise en état et ré-végétalisée ;</w:t>
            </w:r>
          </w:p>
          <w:p w:rsidR="00F92390" w:rsidRDefault="00F92390" w:rsidP="00BA5F73">
            <w:pPr>
              <w:autoSpaceDE w:val="0"/>
              <w:autoSpaceDN w:val="0"/>
              <w:adjustRightInd w:val="0"/>
              <w:rPr>
                <w:sz w:val="20"/>
                <w:szCs w:val="20"/>
                <w:lang w:val="en-US" w:eastAsia="en-US"/>
              </w:rPr>
            </w:pPr>
            <w:r>
              <w:rPr>
                <w:sz w:val="20"/>
                <w:szCs w:val="20"/>
                <w:lang w:val="en-US" w:eastAsia="en-US"/>
              </w:rPr>
              <w:t>Erosion/ revilement</w:t>
            </w:r>
          </w:p>
          <w:p w:rsidR="00F92390" w:rsidRDefault="00F92390" w:rsidP="00BA5F73">
            <w:pPr>
              <w:autoSpaceDE w:val="0"/>
              <w:autoSpaceDN w:val="0"/>
              <w:adjustRightInd w:val="0"/>
              <w:rPr>
                <w:sz w:val="20"/>
                <w:szCs w:val="20"/>
                <w:lang w:val="en-US" w:eastAsia="en-US"/>
              </w:rPr>
            </w:pPr>
            <w:r>
              <w:rPr>
                <w:sz w:val="20"/>
                <w:szCs w:val="20"/>
                <w:lang w:val="en-US" w:eastAsia="en-US"/>
              </w:rPr>
              <w:t>Pollution/degradation</w:t>
            </w:r>
          </w:p>
          <w:p w:rsidR="00F92390" w:rsidRPr="00BC431D" w:rsidRDefault="00F92390" w:rsidP="00BA5F73">
            <w:pPr>
              <w:numPr>
                <w:ilvl w:val="0"/>
                <w:numId w:val="80"/>
              </w:numPr>
              <w:ind w:left="0" w:right="57"/>
              <w:jc w:val="both"/>
              <w:rPr>
                <w:sz w:val="20"/>
                <w:lang w:val="fr-BE"/>
              </w:rPr>
            </w:pPr>
            <w:r>
              <w:rPr>
                <w:sz w:val="20"/>
                <w:szCs w:val="20"/>
                <w:lang w:val="en-US" w:eastAsia="en-US"/>
              </w:rPr>
              <w:t>Composition en éléments minéraux</w:t>
            </w:r>
          </w:p>
          <w:p w:rsidR="00F92390" w:rsidRPr="00CD66A1" w:rsidRDefault="00F92390" w:rsidP="00BA5F73">
            <w:pPr>
              <w:numPr>
                <w:ilvl w:val="0"/>
                <w:numId w:val="80"/>
              </w:numPr>
              <w:ind w:left="0" w:right="57"/>
              <w:jc w:val="both"/>
              <w:rPr>
                <w:sz w:val="20"/>
                <w:szCs w:val="20"/>
              </w:rPr>
            </w:pPr>
            <w:r w:rsidRPr="00CD66A1">
              <w:rPr>
                <w:sz w:val="20"/>
                <w:szCs w:val="20"/>
              </w:rPr>
              <w:t xml:space="preserve">Sensibilité à l'érosion éolienne et hydrique (superficie affectée) </w:t>
            </w:r>
          </w:p>
          <w:p w:rsidR="00F92390" w:rsidRPr="00CD66A1" w:rsidRDefault="00F92390" w:rsidP="00BA5F73">
            <w:pPr>
              <w:numPr>
                <w:ilvl w:val="0"/>
                <w:numId w:val="80"/>
              </w:numPr>
              <w:ind w:left="0" w:right="57"/>
              <w:jc w:val="both"/>
              <w:rPr>
                <w:sz w:val="20"/>
                <w:szCs w:val="20"/>
              </w:rPr>
            </w:pPr>
            <w:r w:rsidRPr="00CD66A1">
              <w:rPr>
                <w:sz w:val="20"/>
                <w:szCs w:val="20"/>
              </w:rPr>
              <w:t xml:space="preserve">Taux de dégradation (salinisation, alcalinisation, érosion ...) </w:t>
            </w:r>
          </w:p>
          <w:p w:rsidR="00F92390" w:rsidRPr="00CD66A1" w:rsidRDefault="00F92390" w:rsidP="00BA5F73">
            <w:pPr>
              <w:numPr>
                <w:ilvl w:val="0"/>
                <w:numId w:val="80"/>
              </w:numPr>
              <w:ind w:left="0" w:right="57"/>
              <w:jc w:val="both"/>
              <w:rPr>
                <w:sz w:val="20"/>
                <w:szCs w:val="20"/>
              </w:rPr>
            </w:pPr>
            <w:r w:rsidRPr="00CD66A1">
              <w:rPr>
                <w:sz w:val="20"/>
                <w:szCs w:val="20"/>
              </w:rPr>
              <w:t xml:space="preserve">Rendements des principales cultures </w:t>
            </w:r>
          </w:p>
          <w:p w:rsidR="00F92390" w:rsidRPr="00CD66A1" w:rsidRDefault="00F92390" w:rsidP="00BA5F73">
            <w:pPr>
              <w:numPr>
                <w:ilvl w:val="0"/>
                <w:numId w:val="80"/>
              </w:numPr>
              <w:ind w:left="0" w:right="57"/>
              <w:jc w:val="both"/>
              <w:rPr>
                <w:sz w:val="20"/>
                <w:szCs w:val="20"/>
              </w:rPr>
            </w:pPr>
            <w:r w:rsidRPr="00CD66A1">
              <w:rPr>
                <w:sz w:val="20"/>
                <w:szCs w:val="20"/>
              </w:rPr>
              <w:t xml:space="preserve">Existence de jachère et durée </w:t>
            </w:r>
          </w:p>
          <w:p w:rsidR="00F92390" w:rsidRPr="00CD66A1" w:rsidRDefault="00F92390" w:rsidP="00BA5F73">
            <w:pPr>
              <w:numPr>
                <w:ilvl w:val="0"/>
                <w:numId w:val="80"/>
              </w:numPr>
              <w:ind w:left="0" w:right="57"/>
              <w:jc w:val="both"/>
              <w:rPr>
                <w:sz w:val="20"/>
                <w:szCs w:val="20"/>
              </w:rPr>
            </w:pPr>
            <w:r w:rsidRPr="00CD66A1">
              <w:rPr>
                <w:sz w:val="20"/>
                <w:szCs w:val="20"/>
              </w:rPr>
              <w:t xml:space="preserve">Type de culture </w:t>
            </w:r>
          </w:p>
          <w:p w:rsidR="00F92390" w:rsidRPr="00CD66A1" w:rsidRDefault="00F92390" w:rsidP="00BA5F73">
            <w:pPr>
              <w:numPr>
                <w:ilvl w:val="0"/>
                <w:numId w:val="80"/>
              </w:numPr>
              <w:ind w:left="0" w:right="57"/>
              <w:jc w:val="both"/>
              <w:rPr>
                <w:sz w:val="20"/>
                <w:szCs w:val="20"/>
              </w:rPr>
            </w:pPr>
            <w:r w:rsidRPr="00CD66A1">
              <w:rPr>
                <w:sz w:val="20"/>
                <w:szCs w:val="20"/>
              </w:rPr>
              <w:t xml:space="preserve">Pollution/dégradation </w:t>
            </w:r>
          </w:p>
          <w:p w:rsidR="00F92390" w:rsidRPr="00CD66A1" w:rsidRDefault="00F92390" w:rsidP="00BA5F73">
            <w:pPr>
              <w:numPr>
                <w:ilvl w:val="0"/>
                <w:numId w:val="80"/>
              </w:numPr>
              <w:ind w:left="0" w:right="57"/>
              <w:jc w:val="both"/>
              <w:rPr>
                <w:sz w:val="20"/>
                <w:szCs w:val="20"/>
              </w:rPr>
            </w:pPr>
            <w:r w:rsidRPr="00CD66A1">
              <w:rPr>
                <w:sz w:val="20"/>
                <w:szCs w:val="20"/>
              </w:rPr>
              <w:t xml:space="preserve">Composition en éléments minéraux </w:t>
            </w:r>
          </w:p>
          <w:p w:rsidR="00F92390" w:rsidRPr="00CD66A1" w:rsidRDefault="00F92390" w:rsidP="00BA5F73">
            <w:pPr>
              <w:numPr>
                <w:ilvl w:val="0"/>
                <w:numId w:val="80"/>
              </w:numPr>
              <w:ind w:left="0" w:right="57"/>
              <w:jc w:val="both"/>
              <w:rPr>
                <w:sz w:val="20"/>
                <w:szCs w:val="20"/>
              </w:rPr>
            </w:pPr>
            <w:r w:rsidRPr="00CD66A1">
              <w:rPr>
                <w:sz w:val="20"/>
                <w:szCs w:val="20"/>
              </w:rPr>
              <w:t xml:space="preserve">Superficies aménagées </w:t>
            </w:r>
            <w:r w:rsidRPr="00CD66A1">
              <w:rPr>
                <w:rFonts w:ascii="MS Mincho" w:eastAsia="MS Mincho" w:hAnsi="MS Mincho" w:cs="MS Mincho"/>
                <w:sz w:val="20"/>
                <w:szCs w:val="20"/>
              </w:rPr>
              <w:t> </w:t>
            </w:r>
          </w:p>
          <w:p w:rsidR="00F92390" w:rsidRPr="00CD66A1" w:rsidRDefault="00F92390" w:rsidP="00BA5F73">
            <w:pPr>
              <w:numPr>
                <w:ilvl w:val="0"/>
                <w:numId w:val="80"/>
              </w:numPr>
              <w:ind w:left="0" w:right="57"/>
              <w:jc w:val="both"/>
              <w:rPr>
                <w:sz w:val="20"/>
                <w:szCs w:val="20"/>
              </w:rPr>
            </w:pPr>
            <w:r w:rsidRPr="00CD66A1">
              <w:rPr>
                <w:sz w:val="20"/>
                <w:szCs w:val="20"/>
              </w:rPr>
              <w:t xml:space="preserve">Superficies abandonnées </w:t>
            </w:r>
            <w:r w:rsidRPr="00CD66A1">
              <w:rPr>
                <w:rFonts w:ascii="MS Mincho" w:eastAsia="MS Mincho" w:hAnsi="MS Mincho" w:cs="MS Mincho"/>
                <w:sz w:val="20"/>
                <w:szCs w:val="20"/>
              </w:rPr>
              <w:t> </w:t>
            </w:r>
          </w:p>
        </w:tc>
        <w:tc>
          <w:tcPr>
            <w:tcW w:w="2268" w:type="dxa"/>
            <w:vAlign w:val="center"/>
          </w:tcPr>
          <w:p w:rsidR="00F92390" w:rsidRPr="00CD66A1" w:rsidRDefault="00F92390" w:rsidP="00BA5F73">
            <w:pPr>
              <w:ind w:right="57"/>
              <w:rPr>
                <w:sz w:val="20"/>
                <w:szCs w:val="20"/>
              </w:rPr>
            </w:pPr>
            <w:r w:rsidRPr="00CD66A1">
              <w:rPr>
                <w:sz w:val="20"/>
                <w:szCs w:val="20"/>
              </w:rPr>
              <w:t>Fiches d’analyse ;</w:t>
            </w:r>
          </w:p>
          <w:p w:rsidR="00F92390" w:rsidRPr="00CD66A1" w:rsidRDefault="00F92390" w:rsidP="00BA5F73">
            <w:pPr>
              <w:ind w:right="57"/>
              <w:rPr>
                <w:sz w:val="20"/>
                <w:szCs w:val="20"/>
              </w:rPr>
            </w:pPr>
            <w:r w:rsidRPr="00CD66A1">
              <w:rPr>
                <w:sz w:val="20"/>
                <w:szCs w:val="20"/>
              </w:rPr>
              <w:t>Rapports de mesures</w:t>
            </w:r>
          </w:p>
          <w:p w:rsidR="00F92390" w:rsidRPr="00CD66A1" w:rsidRDefault="00F92390" w:rsidP="00BA5F73">
            <w:pPr>
              <w:ind w:right="57"/>
              <w:rPr>
                <w:sz w:val="20"/>
                <w:szCs w:val="20"/>
              </w:rPr>
            </w:pPr>
            <w:r w:rsidRPr="00CD66A1">
              <w:rPr>
                <w:sz w:val="20"/>
                <w:szCs w:val="20"/>
              </w:rPr>
              <w:t>Observation (Pas de présence d’affaissement ou d’érosion au niveau du site ;</w:t>
            </w:r>
          </w:p>
          <w:p w:rsidR="00F92390" w:rsidRPr="00CD66A1" w:rsidRDefault="00F92390" w:rsidP="00BA5F73">
            <w:pPr>
              <w:ind w:right="57"/>
              <w:rPr>
                <w:sz w:val="20"/>
                <w:szCs w:val="20"/>
              </w:rPr>
            </w:pPr>
            <w:r w:rsidRPr="00CD66A1">
              <w:rPr>
                <w:sz w:val="20"/>
                <w:szCs w:val="20"/>
              </w:rPr>
              <w:t>Présence d’une demi-douzaine de futs pour la collecte des déchets, Quantité d’hydrocarbure stocké, etc.…)</w:t>
            </w:r>
          </w:p>
        </w:tc>
        <w:tc>
          <w:tcPr>
            <w:tcW w:w="1559" w:type="dxa"/>
            <w:vAlign w:val="center"/>
          </w:tcPr>
          <w:p w:rsidR="00F92390" w:rsidRPr="00CD66A1" w:rsidRDefault="00F92390" w:rsidP="00BA5F73">
            <w:pPr>
              <w:ind w:right="57"/>
              <w:jc w:val="center"/>
              <w:rPr>
                <w:b/>
                <w:sz w:val="20"/>
                <w:szCs w:val="20"/>
              </w:rPr>
            </w:pPr>
            <w:r w:rsidRPr="00CD66A1">
              <w:rPr>
                <w:b/>
                <w:sz w:val="20"/>
                <w:szCs w:val="20"/>
              </w:rPr>
              <w:t>Spécialiste environnement de la MC</w:t>
            </w:r>
          </w:p>
          <w:p w:rsidR="00F92390" w:rsidRPr="00CD66A1" w:rsidRDefault="00F92390" w:rsidP="00BA5F73">
            <w:pPr>
              <w:ind w:right="57"/>
              <w:jc w:val="center"/>
              <w:rPr>
                <w:b/>
                <w:sz w:val="20"/>
                <w:szCs w:val="20"/>
              </w:rPr>
            </w:pPr>
          </w:p>
          <w:p w:rsidR="00F92390" w:rsidRPr="00CD66A1" w:rsidRDefault="00F92390" w:rsidP="00BA5F73">
            <w:pPr>
              <w:ind w:right="57"/>
              <w:jc w:val="center"/>
              <w:rPr>
                <w:b/>
                <w:sz w:val="20"/>
                <w:szCs w:val="20"/>
              </w:rPr>
            </w:pPr>
            <w:r w:rsidRPr="00CD66A1">
              <w:rPr>
                <w:b/>
                <w:sz w:val="20"/>
                <w:szCs w:val="20"/>
              </w:rPr>
              <w:t>Promoteur</w:t>
            </w:r>
          </w:p>
        </w:tc>
        <w:tc>
          <w:tcPr>
            <w:tcW w:w="1418" w:type="dxa"/>
            <w:vAlign w:val="center"/>
          </w:tcPr>
          <w:p w:rsidR="00F92390" w:rsidRPr="00CD66A1" w:rsidRDefault="00F92390" w:rsidP="00BA5F73">
            <w:pPr>
              <w:ind w:right="57"/>
              <w:jc w:val="center"/>
              <w:rPr>
                <w:b/>
                <w:sz w:val="20"/>
                <w:szCs w:val="20"/>
              </w:rPr>
            </w:pPr>
            <w:r w:rsidRPr="00CD66A1">
              <w:rPr>
                <w:b/>
                <w:sz w:val="20"/>
                <w:szCs w:val="20"/>
              </w:rPr>
              <w:t>Annuelle</w:t>
            </w:r>
          </w:p>
        </w:tc>
        <w:tc>
          <w:tcPr>
            <w:tcW w:w="1560" w:type="dxa"/>
            <w:vAlign w:val="center"/>
          </w:tcPr>
          <w:p w:rsidR="00F92390" w:rsidRPr="00CD66A1" w:rsidRDefault="00F92390" w:rsidP="00BA5F73">
            <w:pPr>
              <w:ind w:right="57"/>
              <w:jc w:val="center"/>
              <w:rPr>
                <w:b/>
                <w:sz w:val="20"/>
                <w:szCs w:val="20"/>
              </w:rPr>
            </w:pPr>
            <w:r w:rsidRPr="00CD66A1">
              <w:rPr>
                <w:b/>
                <w:sz w:val="20"/>
                <w:szCs w:val="20"/>
              </w:rPr>
              <w:t>Conservation des sols</w:t>
            </w:r>
          </w:p>
        </w:tc>
      </w:tr>
      <w:tr w:rsidR="00F92390" w:rsidRPr="00CD66A1" w:rsidTr="00F92390">
        <w:trPr>
          <w:trHeight w:val="70"/>
          <w:jc w:val="center"/>
        </w:trPr>
        <w:tc>
          <w:tcPr>
            <w:tcW w:w="1420" w:type="dxa"/>
            <w:shd w:val="clear" w:color="auto" w:fill="FFFFFF" w:themeFill="background1"/>
            <w:vAlign w:val="center"/>
          </w:tcPr>
          <w:p w:rsidR="00F92390" w:rsidRPr="00CD66A1" w:rsidRDefault="00F92390" w:rsidP="00BA5F73">
            <w:pPr>
              <w:ind w:right="57"/>
              <w:jc w:val="center"/>
              <w:rPr>
                <w:b/>
                <w:sz w:val="20"/>
                <w:szCs w:val="20"/>
              </w:rPr>
            </w:pPr>
            <w:r w:rsidRPr="00CD66A1">
              <w:rPr>
                <w:b/>
                <w:sz w:val="20"/>
                <w:szCs w:val="20"/>
              </w:rPr>
              <w:t>Eaux</w:t>
            </w:r>
          </w:p>
        </w:tc>
        <w:tc>
          <w:tcPr>
            <w:tcW w:w="1134" w:type="dxa"/>
            <w:vAlign w:val="center"/>
          </w:tcPr>
          <w:p w:rsidR="00F92390" w:rsidRPr="00CD66A1" w:rsidRDefault="00F92390" w:rsidP="00BA5F73">
            <w:pPr>
              <w:ind w:right="57"/>
              <w:jc w:val="center"/>
              <w:rPr>
                <w:b/>
                <w:sz w:val="20"/>
                <w:szCs w:val="20"/>
              </w:rPr>
            </w:pPr>
            <w:r w:rsidRPr="00CD66A1">
              <w:rPr>
                <w:b/>
                <w:sz w:val="20"/>
                <w:szCs w:val="20"/>
              </w:rPr>
              <w:t>Qualité de l’eau</w:t>
            </w:r>
          </w:p>
        </w:tc>
        <w:tc>
          <w:tcPr>
            <w:tcW w:w="5521" w:type="dxa"/>
          </w:tcPr>
          <w:p w:rsidR="00F92390" w:rsidRPr="00CD66A1" w:rsidRDefault="00F92390" w:rsidP="00BA5F73">
            <w:pPr>
              <w:numPr>
                <w:ilvl w:val="0"/>
                <w:numId w:val="83"/>
              </w:numPr>
              <w:ind w:left="0" w:right="57"/>
              <w:jc w:val="both"/>
              <w:rPr>
                <w:sz w:val="20"/>
                <w:szCs w:val="20"/>
              </w:rPr>
            </w:pPr>
            <w:r w:rsidRPr="00CD66A1">
              <w:rPr>
                <w:sz w:val="20"/>
                <w:szCs w:val="20"/>
              </w:rPr>
              <w:t xml:space="preserve">Analyse physico-chimique et bactériologique de l'eau (pH, DBO, DCO métaux lourds, germes, pesticides, nitrates, ...) </w:t>
            </w:r>
            <w:r w:rsidRPr="00CD66A1">
              <w:rPr>
                <w:rFonts w:ascii="MS Mincho" w:eastAsia="MS Mincho" w:hAnsi="MS Mincho" w:cs="MS Mincho"/>
                <w:sz w:val="20"/>
                <w:szCs w:val="20"/>
              </w:rPr>
              <w:t> </w:t>
            </w:r>
            <w:r w:rsidRPr="00CD66A1">
              <w:rPr>
                <w:sz w:val="20"/>
                <w:szCs w:val="20"/>
              </w:rPr>
              <w:t xml:space="preserve"> -Pollution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   -Eutrophisation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   -Sédimentation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   -Régime hydrologique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   -Etat des inondations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   -Suivi des nappes </w:t>
            </w:r>
            <w:r w:rsidRPr="00CD66A1">
              <w:rPr>
                <w:rFonts w:ascii="MS Mincho" w:eastAsia="MS Mincho" w:hAnsi="MS Mincho" w:cs="MS Mincho"/>
                <w:sz w:val="20"/>
                <w:szCs w:val="20"/>
              </w:rPr>
              <w:t> </w:t>
            </w:r>
          </w:p>
          <w:p w:rsidR="00F92390" w:rsidRPr="00CD66A1" w:rsidRDefault="00F92390" w:rsidP="00BA5F73">
            <w:pPr>
              <w:ind w:right="57"/>
              <w:jc w:val="both"/>
              <w:rPr>
                <w:sz w:val="20"/>
                <w:szCs w:val="20"/>
              </w:rPr>
            </w:pPr>
            <w:r w:rsidRPr="00CD66A1">
              <w:rPr>
                <w:sz w:val="20"/>
                <w:szCs w:val="20"/>
              </w:rPr>
              <w:lastRenderedPageBreak/>
              <w:t xml:space="preserve">   -Suivi de la végétation aquatique (typha ; etc.) </w:t>
            </w:r>
            <w:r w:rsidRPr="00CD66A1">
              <w:rPr>
                <w:rFonts w:ascii="MS Mincho" w:eastAsia="MS Mincho" w:hAnsi="MS Mincho" w:cs="MS Mincho"/>
                <w:sz w:val="20"/>
                <w:szCs w:val="20"/>
              </w:rPr>
              <w:t> </w:t>
            </w:r>
          </w:p>
        </w:tc>
        <w:tc>
          <w:tcPr>
            <w:tcW w:w="2268" w:type="dxa"/>
            <w:vAlign w:val="center"/>
          </w:tcPr>
          <w:p w:rsidR="00F92390" w:rsidRPr="00CD66A1" w:rsidRDefault="00F92390" w:rsidP="00BA5F73">
            <w:pPr>
              <w:ind w:right="57"/>
              <w:jc w:val="center"/>
              <w:rPr>
                <w:sz w:val="20"/>
                <w:szCs w:val="20"/>
              </w:rPr>
            </w:pPr>
            <w:r w:rsidRPr="00CD66A1">
              <w:rPr>
                <w:sz w:val="20"/>
                <w:szCs w:val="20"/>
              </w:rPr>
              <w:lastRenderedPageBreak/>
              <w:t>Observations</w:t>
            </w:r>
          </w:p>
          <w:p w:rsidR="00F92390" w:rsidRPr="00CD66A1" w:rsidRDefault="00F92390" w:rsidP="00BA5F73">
            <w:pPr>
              <w:ind w:right="57"/>
              <w:jc w:val="center"/>
              <w:rPr>
                <w:sz w:val="20"/>
                <w:szCs w:val="20"/>
              </w:rPr>
            </w:pPr>
          </w:p>
          <w:p w:rsidR="00F92390" w:rsidRPr="00CD66A1" w:rsidRDefault="00F92390" w:rsidP="00BA5F73">
            <w:pPr>
              <w:ind w:right="57"/>
              <w:jc w:val="center"/>
              <w:rPr>
                <w:sz w:val="20"/>
                <w:szCs w:val="20"/>
              </w:rPr>
            </w:pPr>
            <w:r w:rsidRPr="00CD66A1">
              <w:rPr>
                <w:sz w:val="20"/>
                <w:szCs w:val="20"/>
              </w:rPr>
              <w:t>Fiches d’analyse ;</w:t>
            </w:r>
          </w:p>
          <w:p w:rsidR="00F92390" w:rsidRPr="00CD66A1" w:rsidRDefault="00F92390" w:rsidP="00BA5F73">
            <w:pPr>
              <w:ind w:right="57"/>
              <w:jc w:val="center"/>
              <w:rPr>
                <w:sz w:val="20"/>
                <w:szCs w:val="20"/>
              </w:rPr>
            </w:pPr>
          </w:p>
          <w:p w:rsidR="00F92390" w:rsidRPr="00CD66A1" w:rsidRDefault="00F92390" w:rsidP="00BA5F73">
            <w:pPr>
              <w:ind w:right="57"/>
              <w:jc w:val="center"/>
              <w:rPr>
                <w:sz w:val="20"/>
                <w:szCs w:val="20"/>
              </w:rPr>
            </w:pPr>
            <w:r w:rsidRPr="00CD66A1">
              <w:rPr>
                <w:sz w:val="20"/>
                <w:szCs w:val="20"/>
              </w:rPr>
              <w:t>Fiches de dénombrements ;</w:t>
            </w:r>
          </w:p>
          <w:p w:rsidR="00F92390" w:rsidRPr="00CD66A1" w:rsidRDefault="00F92390" w:rsidP="00BA5F73">
            <w:pPr>
              <w:ind w:right="57"/>
              <w:jc w:val="center"/>
              <w:rPr>
                <w:sz w:val="20"/>
                <w:szCs w:val="20"/>
              </w:rPr>
            </w:pPr>
          </w:p>
          <w:p w:rsidR="00F92390" w:rsidRPr="00CD66A1" w:rsidRDefault="00F92390" w:rsidP="00BA5F73">
            <w:pPr>
              <w:ind w:right="57"/>
              <w:jc w:val="center"/>
              <w:rPr>
                <w:sz w:val="20"/>
                <w:szCs w:val="20"/>
              </w:rPr>
            </w:pPr>
            <w:r w:rsidRPr="00CD66A1">
              <w:rPr>
                <w:sz w:val="20"/>
                <w:szCs w:val="20"/>
              </w:rPr>
              <w:t>Rapports de mesurage</w:t>
            </w:r>
          </w:p>
        </w:tc>
        <w:tc>
          <w:tcPr>
            <w:tcW w:w="1559" w:type="dxa"/>
            <w:vAlign w:val="center"/>
          </w:tcPr>
          <w:p w:rsidR="00F92390" w:rsidRPr="00CD66A1" w:rsidRDefault="00F92390" w:rsidP="00BA5F73">
            <w:pPr>
              <w:ind w:right="57"/>
              <w:jc w:val="center"/>
              <w:rPr>
                <w:b/>
                <w:sz w:val="20"/>
                <w:szCs w:val="20"/>
              </w:rPr>
            </w:pPr>
            <w:r w:rsidRPr="00CD66A1">
              <w:rPr>
                <w:b/>
                <w:sz w:val="20"/>
                <w:szCs w:val="20"/>
              </w:rPr>
              <w:t>Entreprise avec la validation du spécialiste environnement de la MC</w:t>
            </w:r>
          </w:p>
          <w:p w:rsidR="00F92390" w:rsidRPr="00CD66A1" w:rsidRDefault="00F92390" w:rsidP="00BA5F73">
            <w:pPr>
              <w:ind w:right="57"/>
              <w:jc w:val="center"/>
              <w:rPr>
                <w:b/>
                <w:sz w:val="20"/>
                <w:szCs w:val="20"/>
              </w:rPr>
            </w:pPr>
          </w:p>
          <w:p w:rsidR="00F92390" w:rsidRPr="00CD66A1" w:rsidRDefault="00F92390" w:rsidP="00BA5F73">
            <w:pPr>
              <w:ind w:right="57"/>
              <w:jc w:val="center"/>
              <w:rPr>
                <w:b/>
                <w:sz w:val="20"/>
                <w:szCs w:val="20"/>
              </w:rPr>
            </w:pPr>
            <w:r w:rsidRPr="00CD66A1">
              <w:rPr>
                <w:b/>
                <w:sz w:val="20"/>
                <w:szCs w:val="20"/>
              </w:rPr>
              <w:t xml:space="preserve">Mission de contrôle </w:t>
            </w:r>
          </w:p>
          <w:p w:rsidR="00F92390" w:rsidRPr="00CD66A1" w:rsidRDefault="00F92390" w:rsidP="00BA5F73">
            <w:pPr>
              <w:ind w:right="57"/>
              <w:jc w:val="center"/>
              <w:rPr>
                <w:b/>
                <w:sz w:val="20"/>
                <w:szCs w:val="20"/>
              </w:rPr>
            </w:pPr>
          </w:p>
          <w:p w:rsidR="00F92390" w:rsidRPr="00CD66A1" w:rsidRDefault="00F92390" w:rsidP="00BA5F73">
            <w:pPr>
              <w:ind w:right="57"/>
              <w:jc w:val="center"/>
              <w:rPr>
                <w:b/>
                <w:sz w:val="20"/>
                <w:szCs w:val="20"/>
              </w:rPr>
            </w:pPr>
            <w:r w:rsidRPr="00CD66A1">
              <w:rPr>
                <w:b/>
                <w:sz w:val="20"/>
                <w:szCs w:val="20"/>
              </w:rPr>
              <w:t>Promoteur</w:t>
            </w:r>
          </w:p>
        </w:tc>
        <w:tc>
          <w:tcPr>
            <w:tcW w:w="1418" w:type="dxa"/>
            <w:vAlign w:val="center"/>
          </w:tcPr>
          <w:p w:rsidR="00F92390" w:rsidRPr="00CD66A1" w:rsidRDefault="00F92390" w:rsidP="00BA5F73">
            <w:pPr>
              <w:ind w:right="57"/>
              <w:jc w:val="center"/>
              <w:rPr>
                <w:b/>
                <w:sz w:val="20"/>
                <w:szCs w:val="20"/>
              </w:rPr>
            </w:pPr>
            <w:r w:rsidRPr="00CD66A1">
              <w:rPr>
                <w:b/>
                <w:sz w:val="20"/>
                <w:szCs w:val="20"/>
              </w:rPr>
              <w:t>Mensuelle</w:t>
            </w:r>
          </w:p>
        </w:tc>
        <w:tc>
          <w:tcPr>
            <w:tcW w:w="1560" w:type="dxa"/>
            <w:vAlign w:val="center"/>
          </w:tcPr>
          <w:p w:rsidR="00F92390" w:rsidRPr="00CD66A1" w:rsidRDefault="00F92390" w:rsidP="00BA5F73">
            <w:pPr>
              <w:ind w:right="57"/>
              <w:jc w:val="center"/>
              <w:rPr>
                <w:b/>
                <w:sz w:val="20"/>
                <w:szCs w:val="20"/>
              </w:rPr>
            </w:pPr>
            <w:r w:rsidRPr="00CD66A1">
              <w:rPr>
                <w:b/>
                <w:sz w:val="20"/>
                <w:szCs w:val="20"/>
              </w:rPr>
              <w:t>Respect de la réglementation</w:t>
            </w:r>
          </w:p>
        </w:tc>
      </w:tr>
      <w:tr w:rsidR="00F92390" w:rsidRPr="00CD66A1" w:rsidTr="00F92390">
        <w:trPr>
          <w:jc w:val="center"/>
        </w:trPr>
        <w:tc>
          <w:tcPr>
            <w:tcW w:w="1420" w:type="dxa"/>
            <w:vMerge w:val="restart"/>
            <w:shd w:val="clear" w:color="auto" w:fill="FFFFFF" w:themeFill="background1"/>
            <w:vAlign w:val="center"/>
          </w:tcPr>
          <w:p w:rsidR="00F92390" w:rsidRPr="00CD66A1" w:rsidRDefault="00F92390" w:rsidP="00BA5F73">
            <w:pPr>
              <w:ind w:right="57"/>
              <w:jc w:val="center"/>
              <w:rPr>
                <w:b/>
                <w:sz w:val="20"/>
                <w:szCs w:val="20"/>
              </w:rPr>
            </w:pPr>
            <w:r>
              <w:rPr>
                <w:b/>
                <w:sz w:val="20"/>
                <w:szCs w:val="20"/>
              </w:rPr>
              <w:lastRenderedPageBreak/>
              <w:t>Vegetation</w:t>
            </w:r>
          </w:p>
        </w:tc>
        <w:tc>
          <w:tcPr>
            <w:tcW w:w="1134" w:type="dxa"/>
            <w:vAlign w:val="center"/>
          </w:tcPr>
          <w:p w:rsidR="00F92390" w:rsidRPr="00CD66A1" w:rsidRDefault="00F92390" w:rsidP="00BA5F73">
            <w:pPr>
              <w:ind w:right="57"/>
              <w:jc w:val="center"/>
              <w:rPr>
                <w:b/>
                <w:sz w:val="20"/>
                <w:szCs w:val="20"/>
              </w:rPr>
            </w:pPr>
            <w:r w:rsidRPr="00CD66A1">
              <w:rPr>
                <w:b/>
                <w:sz w:val="20"/>
                <w:szCs w:val="20"/>
              </w:rPr>
              <w:t>Intensification des culture</w:t>
            </w:r>
          </w:p>
        </w:tc>
        <w:tc>
          <w:tcPr>
            <w:tcW w:w="5521" w:type="dxa"/>
            <w:vAlign w:val="center"/>
          </w:tcPr>
          <w:p w:rsidR="00F92390" w:rsidRPr="00CD66A1" w:rsidRDefault="00F92390" w:rsidP="00BA5F73">
            <w:pPr>
              <w:numPr>
                <w:ilvl w:val="0"/>
                <w:numId w:val="83"/>
              </w:numPr>
              <w:ind w:left="0" w:right="57"/>
              <w:jc w:val="both"/>
              <w:rPr>
                <w:sz w:val="20"/>
                <w:szCs w:val="20"/>
              </w:rPr>
            </w:pPr>
            <w:r w:rsidRPr="00CD66A1">
              <w:rPr>
                <w:sz w:val="20"/>
                <w:szCs w:val="20"/>
              </w:rPr>
              <w:t xml:space="preserve">Superficies cultivées et production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Pratiques culturales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Adoption des techniques de production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Taux de transformation produits agricoles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Volume d'intrants consommés (pesticides, </w:t>
            </w:r>
            <w:r w:rsidRPr="00CD66A1">
              <w:rPr>
                <w:rFonts w:ascii="MS Mincho" w:eastAsia="MS Mincho" w:hAnsi="MS Mincho" w:cs="MS Mincho"/>
                <w:sz w:val="20"/>
                <w:szCs w:val="20"/>
              </w:rPr>
              <w:t> </w:t>
            </w:r>
            <w:r w:rsidRPr="00CD66A1">
              <w:rPr>
                <w:sz w:val="20"/>
                <w:szCs w:val="20"/>
              </w:rPr>
              <w:t xml:space="preserve">herbicides, engrais)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Taux d'adoption des méthodes de lutte intégrée Consommation de fumure organique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Superficies en culture biologique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Gestion des déchets (liquides, solides) issus </w:t>
            </w:r>
            <w:r w:rsidRPr="00CD66A1">
              <w:rPr>
                <w:rFonts w:ascii="MS Mincho" w:eastAsia="MS Mincho" w:hAnsi="MS Mincho" w:cs="MS Mincho"/>
                <w:sz w:val="20"/>
                <w:szCs w:val="20"/>
              </w:rPr>
              <w:t> </w:t>
            </w:r>
            <w:r w:rsidRPr="00CD66A1">
              <w:rPr>
                <w:sz w:val="20"/>
                <w:szCs w:val="20"/>
              </w:rPr>
              <w:t xml:space="preserve">activités transformation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Taux de valorisation des sous-produits des </w:t>
            </w:r>
            <w:r w:rsidRPr="00CD66A1">
              <w:rPr>
                <w:rFonts w:ascii="MS Mincho" w:eastAsia="MS Mincho" w:hAnsi="MS Mincho" w:cs="MS Mincho"/>
                <w:sz w:val="20"/>
                <w:szCs w:val="20"/>
              </w:rPr>
              <w:t> </w:t>
            </w:r>
            <w:r w:rsidRPr="00CD66A1">
              <w:rPr>
                <w:sz w:val="20"/>
                <w:szCs w:val="20"/>
              </w:rPr>
              <w:t xml:space="preserve">industries de transformation. </w:t>
            </w:r>
            <w:r w:rsidRPr="00CD66A1">
              <w:rPr>
                <w:rFonts w:ascii="MS Mincho" w:eastAsia="MS Mincho" w:hAnsi="MS Mincho" w:cs="MS Mincho"/>
                <w:sz w:val="20"/>
                <w:szCs w:val="20"/>
              </w:rPr>
              <w:t> </w:t>
            </w:r>
          </w:p>
        </w:tc>
        <w:tc>
          <w:tcPr>
            <w:tcW w:w="2268" w:type="dxa"/>
            <w:vAlign w:val="center"/>
          </w:tcPr>
          <w:p w:rsidR="00F92390" w:rsidRPr="00CD66A1" w:rsidRDefault="00F92390" w:rsidP="00BA5F73">
            <w:pPr>
              <w:ind w:right="57"/>
              <w:jc w:val="center"/>
              <w:rPr>
                <w:sz w:val="20"/>
                <w:szCs w:val="20"/>
              </w:rPr>
            </w:pPr>
            <w:r w:rsidRPr="00CD66A1">
              <w:rPr>
                <w:sz w:val="20"/>
                <w:szCs w:val="20"/>
              </w:rPr>
              <w:t>Rapports de mesurage</w:t>
            </w:r>
          </w:p>
        </w:tc>
        <w:tc>
          <w:tcPr>
            <w:tcW w:w="1559" w:type="dxa"/>
            <w:vMerge w:val="restart"/>
            <w:vAlign w:val="center"/>
          </w:tcPr>
          <w:p w:rsidR="00F92390" w:rsidRPr="00CD66A1" w:rsidRDefault="00F92390" w:rsidP="00BA5F73">
            <w:pPr>
              <w:ind w:right="57"/>
              <w:jc w:val="center"/>
              <w:rPr>
                <w:b/>
                <w:sz w:val="20"/>
                <w:szCs w:val="20"/>
              </w:rPr>
            </w:pPr>
            <w:r w:rsidRPr="00CD66A1">
              <w:rPr>
                <w:b/>
                <w:sz w:val="20"/>
                <w:szCs w:val="20"/>
              </w:rPr>
              <w:t xml:space="preserve">Responsable environnement de l’entreprise, </w:t>
            </w:r>
          </w:p>
          <w:p w:rsidR="00F92390" w:rsidRPr="00CD66A1" w:rsidRDefault="00F92390" w:rsidP="00BA5F73">
            <w:pPr>
              <w:ind w:right="57"/>
              <w:jc w:val="center"/>
              <w:rPr>
                <w:b/>
                <w:sz w:val="20"/>
                <w:szCs w:val="20"/>
              </w:rPr>
            </w:pPr>
            <w:r w:rsidRPr="00CD66A1">
              <w:rPr>
                <w:b/>
                <w:sz w:val="20"/>
                <w:szCs w:val="20"/>
              </w:rPr>
              <w:t>Mission de contrôle,</w:t>
            </w:r>
          </w:p>
          <w:p w:rsidR="00F92390" w:rsidRPr="00CD66A1" w:rsidRDefault="00F92390" w:rsidP="00BA5F73">
            <w:pPr>
              <w:ind w:right="57"/>
              <w:rPr>
                <w:b/>
                <w:sz w:val="20"/>
                <w:szCs w:val="20"/>
              </w:rPr>
            </w:pPr>
            <w:r w:rsidRPr="00CD66A1">
              <w:rPr>
                <w:b/>
                <w:sz w:val="20"/>
                <w:szCs w:val="20"/>
              </w:rPr>
              <w:t>Service des Eaux et foret, Mairies</w:t>
            </w:r>
          </w:p>
        </w:tc>
        <w:tc>
          <w:tcPr>
            <w:tcW w:w="1418" w:type="dxa"/>
            <w:vAlign w:val="center"/>
          </w:tcPr>
          <w:p w:rsidR="00F92390" w:rsidRPr="00CD66A1" w:rsidRDefault="00F92390" w:rsidP="00BA5F73">
            <w:pPr>
              <w:ind w:right="57"/>
              <w:rPr>
                <w:b/>
                <w:sz w:val="20"/>
                <w:szCs w:val="20"/>
              </w:rPr>
            </w:pPr>
            <w:r w:rsidRPr="00CD66A1">
              <w:rPr>
                <w:b/>
                <w:sz w:val="20"/>
                <w:szCs w:val="20"/>
              </w:rPr>
              <w:t>Trimestrielle</w:t>
            </w:r>
            <w:r w:rsidRPr="00CD66A1" w:rsidDel="00D65763">
              <w:rPr>
                <w:b/>
                <w:sz w:val="20"/>
                <w:szCs w:val="20"/>
              </w:rPr>
              <w:t xml:space="preserve"> </w:t>
            </w:r>
          </w:p>
        </w:tc>
        <w:tc>
          <w:tcPr>
            <w:tcW w:w="1560" w:type="dxa"/>
            <w:vAlign w:val="center"/>
          </w:tcPr>
          <w:p w:rsidR="00F92390" w:rsidRPr="00CD66A1" w:rsidRDefault="00F92390" w:rsidP="00BA5F73">
            <w:pPr>
              <w:ind w:right="57"/>
              <w:jc w:val="center"/>
              <w:rPr>
                <w:b/>
                <w:sz w:val="20"/>
                <w:szCs w:val="20"/>
              </w:rPr>
            </w:pPr>
            <w:r w:rsidRPr="00CD66A1">
              <w:rPr>
                <w:b/>
                <w:sz w:val="20"/>
                <w:szCs w:val="20"/>
              </w:rPr>
              <w:t>Cadre de vie de la population</w:t>
            </w:r>
          </w:p>
        </w:tc>
      </w:tr>
      <w:tr w:rsidR="00F92390" w:rsidRPr="00CD66A1" w:rsidTr="00F92390">
        <w:trPr>
          <w:jc w:val="center"/>
        </w:trPr>
        <w:tc>
          <w:tcPr>
            <w:tcW w:w="1420" w:type="dxa"/>
            <w:vMerge/>
            <w:shd w:val="clear" w:color="auto" w:fill="FFFFFF" w:themeFill="background1"/>
            <w:vAlign w:val="center"/>
          </w:tcPr>
          <w:p w:rsidR="00F92390" w:rsidRPr="00CD66A1" w:rsidRDefault="00F92390" w:rsidP="00BA5F73">
            <w:pPr>
              <w:ind w:right="57"/>
              <w:jc w:val="center"/>
              <w:rPr>
                <w:b/>
                <w:sz w:val="20"/>
                <w:szCs w:val="20"/>
              </w:rPr>
            </w:pPr>
          </w:p>
        </w:tc>
        <w:tc>
          <w:tcPr>
            <w:tcW w:w="1134" w:type="dxa"/>
            <w:vAlign w:val="center"/>
          </w:tcPr>
          <w:p w:rsidR="00F92390" w:rsidRPr="00CD66A1" w:rsidRDefault="00F92390" w:rsidP="00BA5F73">
            <w:pPr>
              <w:ind w:right="57"/>
              <w:jc w:val="center"/>
              <w:rPr>
                <w:b/>
                <w:sz w:val="20"/>
                <w:szCs w:val="20"/>
              </w:rPr>
            </w:pPr>
            <w:r w:rsidRPr="00CD66A1">
              <w:rPr>
                <w:b/>
                <w:sz w:val="20"/>
                <w:szCs w:val="20"/>
              </w:rPr>
              <w:t>Etat de la flore et</w:t>
            </w:r>
          </w:p>
          <w:p w:rsidR="00F92390" w:rsidRPr="00CD66A1" w:rsidRDefault="00F92390" w:rsidP="00BA5F73">
            <w:pPr>
              <w:ind w:right="57"/>
              <w:jc w:val="center"/>
              <w:rPr>
                <w:b/>
                <w:sz w:val="20"/>
                <w:szCs w:val="20"/>
              </w:rPr>
            </w:pPr>
            <w:r w:rsidRPr="00CD66A1">
              <w:rPr>
                <w:b/>
                <w:sz w:val="20"/>
                <w:szCs w:val="20"/>
              </w:rPr>
              <w:t>Diversité floristique</w:t>
            </w:r>
          </w:p>
        </w:tc>
        <w:tc>
          <w:tcPr>
            <w:tcW w:w="5521" w:type="dxa"/>
          </w:tcPr>
          <w:p w:rsidR="00F92390" w:rsidRPr="00CD66A1" w:rsidRDefault="00F92390" w:rsidP="00BA5F73">
            <w:pPr>
              <w:numPr>
                <w:ilvl w:val="0"/>
                <w:numId w:val="83"/>
              </w:numPr>
              <w:ind w:left="0" w:right="57"/>
              <w:jc w:val="both"/>
              <w:rPr>
                <w:sz w:val="20"/>
                <w:szCs w:val="20"/>
              </w:rPr>
            </w:pPr>
            <w:r w:rsidRPr="00CD66A1">
              <w:rPr>
                <w:sz w:val="20"/>
                <w:szCs w:val="20"/>
              </w:rPr>
              <w:t>Faire le rapport du nombre d’arbres abattus et le nombre d’arbres plantés</w:t>
            </w:r>
          </w:p>
          <w:p w:rsidR="00F92390" w:rsidRPr="00CD66A1" w:rsidRDefault="00F92390" w:rsidP="00BA5F73">
            <w:pPr>
              <w:numPr>
                <w:ilvl w:val="0"/>
                <w:numId w:val="83"/>
              </w:numPr>
              <w:ind w:left="0" w:right="57"/>
              <w:jc w:val="both"/>
              <w:rPr>
                <w:sz w:val="20"/>
                <w:szCs w:val="20"/>
              </w:rPr>
            </w:pPr>
            <w:r w:rsidRPr="00CD66A1">
              <w:rPr>
                <w:sz w:val="20"/>
                <w:szCs w:val="20"/>
              </w:rPr>
              <w:t>Renseigner la composition spécifique végétale et les différentes espèces protégées</w:t>
            </w:r>
          </w:p>
          <w:p w:rsidR="00F92390" w:rsidRPr="00CD66A1" w:rsidRDefault="00F92390" w:rsidP="00BA5F73">
            <w:pPr>
              <w:numPr>
                <w:ilvl w:val="0"/>
                <w:numId w:val="83"/>
              </w:numPr>
              <w:ind w:left="0" w:right="57"/>
              <w:jc w:val="both"/>
              <w:rPr>
                <w:sz w:val="20"/>
                <w:szCs w:val="20"/>
              </w:rPr>
            </w:pPr>
            <w:r w:rsidRPr="00CD66A1">
              <w:rPr>
                <w:sz w:val="20"/>
                <w:szCs w:val="20"/>
              </w:rPr>
              <w:t>Mesure du taux de réussite du reboisement ;</w:t>
            </w:r>
          </w:p>
          <w:p w:rsidR="00F92390" w:rsidRPr="00CD66A1" w:rsidRDefault="00F92390" w:rsidP="00BA5F73">
            <w:pPr>
              <w:numPr>
                <w:ilvl w:val="0"/>
                <w:numId w:val="83"/>
              </w:numPr>
              <w:ind w:left="0" w:right="57"/>
              <w:jc w:val="both"/>
              <w:rPr>
                <w:sz w:val="20"/>
                <w:szCs w:val="20"/>
              </w:rPr>
            </w:pPr>
            <w:r w:rsidRPr="00CD66A1">
              <w:rPr>
                <w:sz w:val="20"/>
                <w:szCs w:val="20"/>
              </w:rPr>
              <w:t xml:space="preserve">Actions de reforestation et mise en défens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Déforestation (taux et conversion forêts pour </w:t>
            </w:r>
            <w:r w:rsidRPr="00CD66A1">
              <w:rPr>
                <w:rFonts w:ascii="MS Mincho" w:eastAsia="MS Mincho" w:hAnsi="MS Mincho" w:cs="MS Mincho"/>
                <w:sz w:val="20"/>
                <w:szCs w:val="20"/>
              </w:rPr>
              <w:t> </w:t>
            </w:r>
            <w:r w:rsidRPr="00CD66A1">
              <w:rPr>
                <w:sz w:val="20"/>
                <w:szCs w:val="20"/>
              </w:rPr>
              <w:t xml:space="preserve">autres usages) </w:t>
            </w:r>
            <w:r w:rsidRPr="00CD66A1">
              <w:rPr>
                <w:rFonts w:ascii="MS Mincho" w:eastAsia="MS Mincho" w:hAnsi="MS Mincho" w:cs="MS Mincho"/>
                <w:sz w:val="20"/>
                <w:szCs w:val="20"/>
              </w:rPr>
              <w:t> </w:t>
            </w:r>
          </w:p>
          <w:p w:rsidR="00F92390" w:rsidRPr="00CD66A1" w:rsidRDefault="00F92390" w:rsidP="00BA5F73">
            <w:pPr>
              <w:numPr>
                <w:ilvl w:val="0"/>
                <w:numId w:val="83"/>
              </w:numPr>
              <w:ind w:left="0" w:right="57"/>
              <w:jc w:val="both"/>
              <w:rPr>
                <w:sz w:val="20"/>
                <w:szCs w:val="20"/>
              </w:rPr>
            </w:pPr>
            <w:r w:rsidRPr="00CD66A1">
              <w:rPr>
                <w:sz w:val="20"/>
                <w:szCs w:val="20"/>
              </w:rPr>
              <w:t xml:space="preserve">Altération des habitats et conversion des terres </w:t>
            </w:r>
            <w:r w:rsidRPr="00CD66A1">
              <w:rPr>
                <w:rFonts w:ascii="MS Mincho" w:eastAsia="MS Mincho" w:hAnsi="MS Mincho" w:cs="MS Mincho"/>
                <w:sz w:val="20"/>
                <w:szCs w:val="20"/>
              </w:rPr>
              <w:t> </w:t>
            </w:r>
            <w:r w:rsidRPr="00CD66A1">
              <w:rPr>
                <w:sz w:val="20"/>
                <w:szCs w:val="20"/>
              </w:rPr>
              <w:t xml:space="preserve">pour autres usages </w:t>
            </w:r>
            <w:r w:rsidRPr="00CD66A1">
              <w:rPr>
                <w:rFonts w:ascii="MS Mincho" w:eastAsia="MS Mincho" w:hAnsi="MS Mincho" w:cs="MS Mincho"/>
                <w:sz w:val="20"/>
                <w:szCs w:val="20"/>
              </w:rPr>
              <w:t> </w:t>
            </w:r>
          </w:p>
        </w:tc>
        <w:tc>
          <w:tcPr>
            <w:tcW w:w="2268" w:type="dxa"/>
            <w:vAlign w:val="center"/>
          </w:tcPr>
          <w:p w:rsidR="00F92390" w:rsidRPr="00CD66A1" w:rsidRDefault="00F92390" w:rsidP="00BA5F73">
            <w:pPr>
              <w:ind w:right="57"/>
              <w:jc w:val="center"/>
              <w:rPr>
                <w:sz w:val="20"/>
                <w:szCs w:val="20"/>
              </w:rPr>
            </w:pPr>
            <w:r w:rsidRPr="00CD66A1">
              <w:rPr>
                <w:sz w:val="20"/>
                <w:szCs w:val="20"/>
              </w:rPr>
              <w:t>Fiches d’observation ;</w:t>
            </w:r>
          </w:p>
          <w:p w:rsidR="00F92390" w:rsidRPr="00CD66A1" w:rsidRDefault="00F92390" w:rsidP="00BA5F73">
            <w:pPr>
              <w:ind w:right="57"/>
              <w:jc w:val="center"/>
              <w:rPr>
                <w:sz w:val="20"/>
                <w:szCs w:val="20"/>
              </w:rPr>
            </w:pPr>
            <w:r w:rsidRPr="00CD66A1">
              <w:rPr>
                <w:sz w:val="20"/>
                <w:szCs w:val="20"/>
              </w:rPr>
              <w:t>Fiches d’inventaire des espèces</w:t>
            </w:r>
          </w:p>
        </w:tc>
        <w:tc>
          <w:tcPr>
            <w:tcW w:w="1559" w:type="dxa"/>
            <w:vMerge/>
            <w:vAlign w:val="center"/>
          </w:tcPr>
          <w:p w:rsidR="00F92390" w:rsidRPr="00CD66A1" w:rsidRDefault="00F92390" w:rsidP="00BA5F73">
            <w:pPr>
              <w:ind w:right="57"/>
              <w:rPr>
                <w:b/>
                <w:sz w:val="20"/>
                <w:szCs w:val="20"/>
              </w:rPr>
            </w:pPr>
          </w:p>
        </w:tc>
        <w:tc>
          <w:tcPr>
            <w:tcW w:w="1418" w:type="dxa"/>
            <w:vAlign w:val="center"/>
          </w:tcPr>
          <w:p w:rsidR="00F92390" w:rsidRPr="00CD66A1" w:rsidRDefault="00F92390" w:rsidP="00BA5F73">
            <w:pPr>
              <w:ind w:right="57"/>
              <w:jc w:val="center"/>
              <w:rPr>
                <w:b/>
                <w:sz w:val="20"/>
                <w:szCs w:val="20"/>
              </w:rPr>
            </w:pPr>
            <w:r w:rsidRPr="00CD66A1">
              <w:rPr>
                <w:b/>
                <w:sz w:val="20"/>
                <w:szCs w:val="20"/>
              </w:rPr>
              <w:t>Trimestrielle</w:t>
            </w:r>
          </w:p>
        </w:tc>
        <w:tc>
          <w:tcPr>
            <w:tcW w:w="1560" w:type="dxa"/>
            <w:vAlign w:val="center"/>
          </w:tcPr>
          <w:p w:rsidR="00F92390" w:rsidRPr="00CD66A1" w:rsidRDefault="00F92390" w:rsidP="00BA5F73">
            <w:pPr>
              <w:ind w:right="57"/>
              <w:jc w:val="center"/>
              <w:rPr>
                <w:b/>
                <w:sz w:val="20"/>
                <w:szCs w:val="20"/>
              </w:rPr>
            </w:pPr>
            <w:r w:rsidRPr="00CD66A1">
              <w:rPr>
                <w:b/>
                <w:sz w:val="20"/>
                <w:szCs w:val="20"/>
              </w:rPr>
              <w:t>Conservation de la flore</w:t>
            </w:r>
          </w:p>
        </w:tc>
      </w:tr>
      <w:tr w:rsidR="00F92390" w:rsidRPr="00CD66A1" w:rsidTr="00F92390">
        <w:trPr>
          <w:jc w:val="center"/>
        </w:trPr>
        <w:tc>
          <w:tcPr>
            <w:tcW w:w="1420" w:type="dxa"/>
            <w:shd w:val="clear" w:color="auto" w:fill="FFFFFF" w:themeFill="background1"/>
            <w:vAlign w:val="center"/>
          </w:tcPr>
          <w:p w:rsidR="00F92390" w:rsidRPr="00CD66A1" w:rsidRDefault="00F92390" w:rsidP="00BA5F73">
            <w:pPr>
              <w:ind w:right="57"/>
              <w:jc w:val="center"/>
              <w:rPr>
                <w:b/>
                <w:sz w:val="20"/>
                <w:szCs w:val="20"/>
              </w:rPr>
            </w:pPr>
          </w:p>
          <w:p w:rsidR="00F92390" w:rsidRPr="00CD66A1" w:rsidRDefault="00F92390" w:rsidP="00BA5F73">
            <w:pPr>
              <w:ind w:right="57"/>
              <w:jc w:val="center"/>
              <w:rPr>
                <w:b/>
                <w:sz w:val="20"/>
                <w:szCs w:val="20"/>
              </w:rPr>
            </w:pPr>
            <w:r w:rsidRPr="00CD66A1">
              <w:rPr>
                <w:b/>
                <w:sz w:val="20"/>
                <w:szCs w:val="20"/>
              </w:rPr>
              <w:t>Faune</w:t>
            </w:r>
          </w:p>
        </w:tc>
        <w:tc>
          <w:tcPr>
            <w:tcW w:w="1134" w:type="dxa"/>
            <w:vAlign w:val="center"/>
          </w:tcPr>
          <w:p w:rsidR="00F92390" w:rsidRPr="00CD66A1" w:rsidRDefault="00F92390" w:rsidP="00BA5F73">
            <w:pPr>
              <w:ind w:right="57"/>
              <w:jc w:val="center"/>
              <w:rPr>
                <w:b/>
                <w:sz w:val="20"/>
                <w:szCs w:val="20"/>
              </w:rPr>
            </w:pPr>
            <w:r w:rsidRPr="00CD66A1">
              <w:rPr>
                <w:b/>
                <w:sz w:val="20"/>
                <w:szCs w:val="20"/>
              </w:rPr>
              <w:t>Etat des habitats faunique</w:t>
            </w:r>
          </w:p>
        </w:tc>
        <w:tc>
          <w:tcPr>
            <w:tcW w:w="5521" w:type="dxa"/>
            <w:vAlign w:val="center"/>
          </w:tcPr>
          <w:p w:rsidR="00F92390" w:rsidRPr="00CD66A1" w:rsidRDefault="00F92390" w:rsidP="00BA5F73">
            <w:pPr>
              <w:numPr>
                <w:ilvl w:val="0"/>
                <w:numId w:val="82"/>
              </w:numPr>
              <w:ind w:left="0" w:right="57"/>
              <w:jc w:val="both"/>
              <w:rPr>
                <w:sz w:val="20"/>
                <w:szCs w:val="20"/>
              </w:rPr>
            </w:pPr>
            <w:r w:rsidRPr="00CD66A1">
              <w:rPr>
                <w:sz w:val="20"/>
                <w:szCs w:val="20"/>
              </w:rPr>
              <w:t>Inventaire du Nombre d’habitats fauniques protégés ou restaurés</w:t>
            </w:r>
            <w:bookmarkStart w:id="363" w:name="_Toc20572775"/>
            <w:bookmarkEnd w:id="363"/>
          </w:p>
          <w:p w:rsidR="00F92390" w:rsidRPr="00CD66A1" w:rsidRDefault="00F92390" w:rsidP="00BA5F73">
            <w:pPr>
              <w:ind w:right="57"/>
              <w:jc w:val="both"/>
              <w:rPr>
                <w:sz w:val="20"/>
                <w:szCs w:val="20"/>
              </w:rPr>
            </w:pPr>
            <w:r w:rsidRPr="00CD66A1">
              <w:rPr>
                <w:sz w:val="20"/>
                <w:szCs w:val="20"/>
              </w:rPr>
              <w:t xml:space="preserve">Abondance faunique (p.ex. oiseaux ; présence / </w:t>
            </w:r>
            <w:r w:rsidRPr="00CD66A1">
              <w:rPr>
                <w:rFonts w:ascii="MS Mincho" w:eastAsia="MS Mincho" w:hAnsi="MS Mincho" w:cs="MS Mincho"/>
                <w:sz w:val="20"/>
                <w:szCs w:val="20"/>
              </w:rPr>
              <w:t> </w:t>
            </w:r>
            <w:r w:rsidRPr="00CD66A1">
              <w:rPr>
                <w:sz w:val="20"/>
                <w:szCs w:val="20"/>
              </w:rPr>
              <w:t xml:space="preserve">absence autres espèces) </w:t>
            </w:r>
            <w:r w:rsidRPr="00CD66A1">
              <w:rPr>
                <w:rFonts w:ascii="MS Mincho" w:eastAsia="MS Mincho" w:hAnsi="MS Mincho" w:cs="MS Mincho"/>
                <w:sz w:val="20"/>
                <w:szCs w:val="20"/>
              </w:rPr>
              <w:t> </w:t>
            </w:r>
          </w:p>
          <w:p w:rsidR="00F92390" w:rsidRPr="00CD66A1" w:rsidRDefault="00F92390" w:rsidP="00BA5F73">
            <w:pPr>
              <w:numPr>
                <w:ilvl w:val="0"/>
                <w:numId w:val="82"/>
              </w:numPr>
              <w:ind w:left="0" w:right="57"/>
              <w:jc w:val="both"/>
              <w:rPr>
                <w:sz w:val="20"/>
                <w:szCs w:val="20"/>
              </w:rPr>
            </w:pPr>
          </w:p>
        </w:tc>
        <w:tc>
          <w:tcPr>
            <w:tcW w:w="2268" w:type="dxa"/>
            <w:vAlign w:val="center"/>
          </w:tcPr>
          <w:p w:rsidR="00F92390" w:rsidRPr="00CD66A1" w:rsidRDefault="00F92390" w:rsidP="00BA5F73">
            <w:pPr>
              <w:ind w:right="57"/>
              <w:jc w:val="center"/>
              <w:rPr>
                <w:sz w:val="20"/>
                <w:szCs w:val="20"/>
              </w:rPr>
            </w:pPr>
            <w:r w:rsidRPr="00CD66A1">
              <w:rPr>
                <w:sz w:val="20"/>
                <w:szCs w:val="20"/>
              </w:rPr>
              <w:lastRenderedPageBreak/>
              <w:t>Rapport d’inventaire service eaux et forêts</w:t>
            </w:r>
          </w:p>
        </w:tc>
        <w:tc>
          <w:tcPr>
            <w:tcW w:w="1559" w:type="dxa"/>
            <w:vAlign w:val="center"/>
          </w:tcPr>
          <w:p w:rsidR="00F92390" w:rsidRPr="00CD66A1" w:rsidRDefault="00F92390" w:rsidP="00BA5F73">
            <w:pPr>
              <w:ind w:right="57"/>
              <w:jc w:val="center"/>
              <w:rPr>
                <w:b/>
                <w:sz w:val="20"/>
                <w:szCs w:val="20"/>
              </w:rPr>
            </w:pPr>
            <w:r w:rsidRPr="00CD66A1">
              <w:rPr>
                <w:b/>
                <w:sz w:val="20"/>
                <w:szCs w:val="20"/>
              </w:rPr>
              <w:t xml:space="preserve">Responsable environnement de l’entreprise, </w:t>
            </w:r>
          </w:p>
          <w:p w:rsidR="00F92390" w:rsidRPr="00CD66A1" w:rsidRDefault="00F92390" w:rsidP="00BA5F73">
            <w:pPr>
              <w:ind w:right="57"/>
              <w:jc w:val="center"/>
              <w:rPr>
                <w:b/>
                <w:sz w:val="20"/>
                <w:szCs w:val="20"/>
              </w:rPr>
            </w:pPr>
            <w:r w:rsidRPr="00CD66A1">
              <w:rPr>
                <w:b/>
                <w:sz w:val="20"/>
                <w:szCs w:val="20"/>
              </w:rPr>
              <w:t>Mission de contrôle,</w:t>
            </w:r>
          </w:p>
          <w:p w:rsidR="00F92390" w:rsidRPr="00CD66A1" w:rsidRDefault="00F92390" w:rsidP="00BA5F73">
            <w:pPr>
              <w:ind w:right="57"/>
              <w:jc w:val="center"/>
              <w:rPr>
                <w:b/>
                <w:sz w:val="20"/>
                <w:szCs w:val="20"/>
              </w:rPr>
            </w:pPr>
            <w:r w:rsidRPr="00CD66A1">
              <w:rPr>
                <w:b/>
                <w:sz w:val="20"/>
                <w:szCs w:val="20"/>
              </w:rPr>
              <w:lastRenderedPageBreak/>
              <w:t>IREF, Mairie</w:t>
            </w:r>
          </w:p>
        </w:tc>
        <w:tc>
          <w:tcPr>
            <w:tcW w:w="1418" w:type="dxa"/>
            <w:vAlign w:val="center"/>
          </w:tcPr>
          <w:p w:rsidR="00F92390" w:rsidRPr="00CD66A1" w:rsidRDefault="00F92390" w:rsidP="00BA5F73">
            <w:pPr>
              <w:ind w:right="57"/>
              <w:jc w:val="center"/>
              <w:rPr>
                <w:b/>
                <w:sz w:val="20"/>
                <w:szCs w:val="20"/>
              </w:rPr>
            </w:pPr>
            <w:r w:rsidRPr="00CD66A1">
              <w:rPr>
                <w:b/>
                <w:sz w:val="20"/>
                <w:szCs w:val="20"/>
              </w:rPr>
              <w:lastRenderedPageBreak/>
              <w:t>Trimestrielle</w:t>
            </w:r>
          </w:p>
        </w:tc>
        <w:tc>
          <w:tcPr>
            <w:tcW w:w="1560" w:type="dxa"/>
            <w:vAlign w:val="center"/>
          </w:tcPr>
          <w:p w:rsidR="00F92390" w:rsidRPr="00CD66A1" w:rsidRDefault="00F92390" w:rsidP="00BA5F73">
            <w:pPr>
              <w:ind w:right="57"/>
              <w:jc w:val="center"/>
              <w:rPr>
                <w:b/>
                <w:sz w:val="20"/>
                <w:szCs w:val="20"/>
              </w:rPr>
            </w:pPr>
            <w:r w:rsidRPr="00CD66A1">
              <w:rPr>
                <w:b/>
                <w:sz w:val="20"/>
                <w:szCs w:val="20"/>
              </w:rPr>
              <w:t>Conservation de la faune et des habitats fauniques</w:t>
            </w:r>
          </w:p>
        </w:tc>
      </w:tr>
      <w:tr w:rsidR="00F92390" w:rsidRPr="00CD66A1" w:rsidTr="00F92390">
        <w:trPr>
          <w:jc w:val="center"/>
        </w:trPr>
        <w:tc>
          <w:tcPr>
            <w:tcW w:w="1420" w:type="dxa"/>
            <w:shd w:val="clear" w:color="auto" w:fill="FFFFFF" w:themeFill="background1"/>
            <w:vAlign w:val="center"/>
          </w:tcPr>
          <w:p w:rsidR="00F92390" w:rsidRPr="00CD66A1" w:rsidRDefault="00F92390" w:rsidP="00BA5F73">
            <w:pPr>
              <w:ind w:right="57"/>
              <w:jc w:val="center"/>
              <w:rPr>
                <w:b/>
                <w:sz w:val="20"/>
                <w:szCs w:val="20"/>
              </w:rPr>
            </w:pPr>
            <w:r w:rsidRPr="00CD66A1">
              <w:rPr>
                <w:b/>
                <w:sz w:val="20"/>
                <w:szCs w:val="20"/>
              </w:rPr>
              <w:lastRenderedPageBreak/>
              <w:t>Bruit</w:t>
            </w:r>
          </w:p>
        </w:tc>
        <w:tc>
          <w:tcPr>
            <w:tcW w:w="1134" w:type="dxa"/>
            <w:vAlign w:val="center"/>
          </w:tcPr>
          <w:p w:rsidR="00F92390" w:rsidRPr="00CD66A1" w:rsidRDefault="00F92390" w:rsidP="00BA5F73">
            <w:pPr>
              <w:ind w:right="57"/>
              <w:jc w:val="center"/>
              <w:rPr>
                <w:b/>
                <w:sz w:val="20"/>
                <w:szCs w:val="20"/>
              </w:rPr>
            </w:pPr>
            <w:r w:rsidRPr="00CD66A1">
              <w:rPr>
                <w:b/>
                <w:sz w:val="20"/>
                <w:szCs w:val="20"/>
              </w:rPr>
              <w:t>Ambiance sonore</w:t>
            </w:r>
          </w:p>
        </w:tc>
        <w:tc>
          <w:tcPr>
            <w:tcW w:w="5521" w:type="dxa"/>
            <w:vAlign w:val="center"/>
          </w:tcPr>
          <w:p w:rsidR="00F92390" w:rsidRPr="00CD66A1" w:rsidRDefault="00F92390" w:rsidP="00BA5F73">
            <w:pPr>
              <w:numPr>
                <w:ilvl w:val="0"/>
                <w:numId w:val="81"/>
              </w:numPr>
              <w:ind w:left="0" w:right="57"/>
              <w:jc w:val="both"/>
              <w:rPr>
                <w:sz w:val="20"/>
                <w:szCs w:val="20"/>
              </w:rPr>
            </w:pPr>
            <w:r w:rsidRPr="00CD66A1">
              <w:rPr>
                <w:sz w:val="20"/>
                <w:szCs w:val="20"/>
              </w:rPr>
              <w:t xml:space="preserve">Mesure des niveaux sonores </w:t>
            </w:r>
          </w:p>
        </w:tc>
        <w:tc>
          <w:tcPr>
            <w:tcW w:w="2268" w:type="dxa"/>
            <w:vAlign w:val="center"/>
          </w:tcPr>
          <w:p w:rsidR="00F92390" w:rsidRPr="00CD66A1" w:rsidRDefault="00F92390" w:rsidP="00BA5F73">
            <w:pPr>
              <w:ind w:right="57"/>
              <w:jc w:val="center"/>
              <w:rPr>
                <w:sz w:val="20"/>
                <w:szCs w:val="20"/>
              </w:rPr>
            </w:pPr>
            <w:r w:rsidRPr="00CD66A1">
              <w:rPr>
                <w:sz w:val="20"/>
                <w:szCs w:val="20"/>
              </w:rPr>
              <w:t>Rapport de mesure du bruit</w:t>
            </w:r>
          </w:p>
        </w:tc>
        <w:tc>
          <w:tcPr>
            <w:tcW w:w="1559" w:type="dxa"/>
            <w:vAlign w:val="center"/>
          </w:tcPr>
          <w:p w:rsidR="00F92390" w:rsidRPr="00CD66A1" w:rsidRDefault="00F92390" w:rsidP="00BA5F73">
            <w:pPr>
              <w:ind w:right="57"/>
              <w:jc w:val="center"/>
              <w:rPr>
                <w:b/>
                <w:sz w:val="20"/>
                <w:szCs w:val="20"/>
              </w:rPr>
            </w:pPr>
            <w:r w:rsidRPr="00CD66A1">
              <w:rPr>
                <w:b/>
                <w:sz w:val="20"/>
                <w:szCs w:val="20"/>
              </w:rPr>
              <w:t xml:space="preserve">Environnementaliste de l’Entreprise Mission de contrôle </w:t>
            </w:r>
          </w:p>
        </w:tc>
        <w:tc>
          <w:tcPr>
            <w:tcW w:w="1418" w:type="dxa"/>
            <w:vAlign w:val="center"/>
          </w:tcPr>
          <w:p w:rsidR="00F92390" w:rsidRPr="00CD66A1" w:rsidRDefault="00F92390" w:rsidP="00BA5F73">
            <w:pPr>
              <w:ind w:right="57"/>
              <w:jc w:val="center"/>
              <w:rPr>
                <w:b/>
                <w:sz w:val="20"/>
                <w:szCs w:val="20"/>
              </w:rPr>
            </w:pPr>
            <w:r w:rsidRPr="00CD66A1">
              <w:rPr>
                <w:b/>
                <w:sz w:val="20"/>
                <w:szCs w:val="20"/>
              </w:rPr>
              <w:t>Trimestrielle</w:t>
            </w:r>
          </w:p>
        </w:tc>
        <w:tc>
          <w:tcPr>
            <w:tcW w:w="1560" w:type="dxa"/>
            <w:vAlign w:val="center"/>
          </w:tcPr>
          <w:p w:rsidR="00F92390" w:rsidRPr="00CD66A1" w:rsidRDefault="00F92390" w:rsidP="00BA5F73">
            <w:pPr>
              <w:ind w:right="57"/>
              <w:jc w:val="center"/>
              <w:rPr>
                <w:b/>
                <w:sz w:val="20"/>
                <w:szCs w:val="20"/>
              </w:rPr>
            </w:pPr>
            <w:r w:rsidRPr="00CD66A1">
              <w:rPr>
                <w:b/>
                <w:sz w:val="20"/>
                <w:szCs w:val="20"/>
              </w:rPr>
              <w:t>Respect de la réglementation</w:t>
            </w:r>
          </w:p>
        </w:tc>
      </w:tr>
      <w:tr w:rsidR="00F92390" w:rsidRPr="00CD66A1" w:rsidTr="00F92390">
        <w:trPr>
          <w:jc w:val="center"/>
        </w:trPr>
        <w:tc>
          <w:tcPr>
            <w:tcW w:w="1420" w:type="dxa"/>
            <w:shd w:val="clear" w:color="auto" w:fill="FFFFFF" w:themeFill="background1"/>
            <w:vAlign w:val="center"/>
          </w:tcPr>
          <w:p w:rsidR="00F92390" w:rsidRPr="00CD66A1" w:rsidRDefault="00F92390" w:rsidP="00BA5F73">
            <w:pPr>
              <w:ind w:right="57"/>
              <w:jc w:val="center"/>
              <w:rPr>
                <w:b/>
                <w:sz w:val="20"/>
                <w:szCs w:val="20"/>
              </w:rPr>
            </w:pPr>
            <w:r w:rsidRPr="00CD66A1">
              <w:rPr>
                <w:b/>
                <w:bCs/>
                <w:sz w:val="20"/>
                <w:szCs w:val="20"/>
              </w:rPr>
              <w:t>Humain</w:t>
            </w:r>
          </w:p>
        </w:tc>
        <w:tc>
          <w:tcPr>
            <w:tcW w:w="1134" w:type="dxa"/>
            <w:vAlign w:val="center"/>
          </w:tcPr>
          <w:p w:rsidR="00F92390" w:rsidRPr="00CD66A1" w:rsidRDefault="00F92390" w:rsidP="00BA5F73">
            <w:pPr>
              <w:ind w:right="57"/>
              <w:jc w:val="center"/>
              <w:rPr>
                <w:b/>
                <w:sz w:val="20"/>
                <w:szCs w:val="20"/>
              </w:rPr>
            </w:pPr>
            <w:r w:rsidRPr="00CD66A1">
              <w:rPr>
                <w:b/>
                <w:bCs/>
                <w:sz w:val="20"/>
                <w:szCs w:val="20"/>
              </w:rPr>
              <w:t>Paysage</w:t>
            </w:r>
          </w:p>
        </w:tc>
        <w:tc>
          <w:tcPr>
            <w:tcW w:w="5521" w:type="dxa"/>
            <w:vAlign w:val="center"/>
          </w:tcPr>
          <w:p w:rsidR="00F92390" w:rsidRPr="00CD66A1" w:rsidRDefault="00F92390" w:rsidP="00BA5F73">
            <w:pPr>
              <w:numPr>
                <w:ilvl w:val="0"/>
                <w:numId w:val="81"/>
              </w:numPr>
              <w:ind w:left="0" w:right="57"/>
              <w:jc w:val="both"/>
              <w:rPr>
                <w:sz w:val="20"/>
                <w:szCs w:val="20"/>
              </w:rPr>
            </w:pPr>
            <w:r w:rsidRPr="00CD66A1">
              <w:rPr>
                <w:sz w:val="20"/>
                <w:szCs w:val="20"/>
              </w:rPr>
              <w:t>Adopter une configuration intégrant son environnement</w:t>
            </w:r>
          </w:p>
        </w:tc>
        <w:tc>
          <w:tcPr>
            <w:tcW w:w="2268" w:type="dxa"/>
            <w:vAlign w:val="center"/>
          </w:tcPr>
          <w:p w:rsidR="00F92390" w:rsidRPr="00CD66A1" w:rsidRDefault="00F92390" w:rsidP="00BA5F73">
            <w:pPr>
              <w:ind w:right="57"/>
              <w:jc w:val="center"/>
              <w:rPr>
                <w:sz w:val="20"/>
                <w:szCs w:val="20"/>
              </w:rPr>
            </w:pPr>
            <w:r w:rsidRPr="00CD66A1">
              <w:rPr>
                <w:sz w:val="20"/>
                <w:szCs w:val="20"/>
              </w:rPr>
              <w:t>L’aspect du paysage correspondant au milieu</w:t>
            </w:r>
          </w:p>
        </w:tc>
        <w:tc>
          <w:tcPr>
            <w:tcW w:w="1559" w:type="dxa"/>
            <w:vAlign w:val="center"/>
          </w:tcPr>
          <w:p w:rsidR="00F92390" w:rsidRPr="00CD66A1" w:rsidRDefault="00F92390" w:rsidP="00BA5F73">
            <w:pPr>
              <w:ind w:right="57"/>
              <w:jc w:val="center"/>
              <w:rPr>
                <w:b/>
                <w:sz w:val="20"/>
                <w:szCs w:val="20"/>
              </w:rPr>
            </w:pPr>
            <w:r w:rsidRPr="00CD66A1">
              <w:rPr>
                <w:b/>
                <w:sz w:val="20"/>
                <w:szCs w:val="20"/>
              </w:rPr>
              <w:t xml:space="preserve">Environnementaliste de l’Entreprise Mission de contrôle </w:t>
            </w:r>
          </w:p>
        </w:tc>
        <w:tc>
          <w:tcPr>
            <w:tcW w:w="1418" w:type="dxa"/>
            <w:vAlign w:val="center"/>
          </w:tcPr>
          <w:p w:rsidR="00F92390" w:rsidRPr="00CD66A1" w:rsidRDefault="00F92390" w:rsidP="00BA5F73">
            <w:pPr>
              <w:ind w:right="57"/>
              <w:jc w:val="center"/>
              <w:rPr>
                <w:b/>
                <w:sz w:val="20"/>
                <w:szCs w:val="20"/>
              </w:rPr>
            </w:pPr>
            <w:r w:rsidRPr="00CD66A1">
              <w:rPr>
                <w:b/>
                <w:sz w:val="20"/>
                <w:szCs w:val="20"/>
              </w:rPr>
              <w:t>Avant le début des travaux</w:t>
            </w:r>
          </w:p>
        </w:tc>
        <w:tc>
          <w:tcPr>
            <w:tcW w:w="1560" w:type="dxa"/>
            <w:vAlign w:val="center"/>
          </w:tcPr>
          <w:p w:rsidR="00F92390" w:rsidRPr="00CD66A1" w:rsidRDefault="00F92390" w:rsidP="00BA5F73">
            <w:pPr>
              <w:ind w:right="57"/>
              <w:jc w:val="center"/>
              <w:rPr>
                <w:b/>
                <w:sz w:val="20"/>
                <w:szCs w:val="20"/>
              </w:rPr>
            </w:pPr>
            <w:r w:rsidRPr="00CD66A1">
              <w:rPr>
                <w:b/>
                <w:sz w:val="20"/>
                <w:szCs w:val="20"/>
              </w:rPr>
              <w:t>Cadre de vie de la population</w:t>
            </w:r>
          </w:p>
        </w:tc>
      </w:tr>
      <w:tr w:rsidR="00F92390" w:rsidRPr="00CD66A1" w:rsidTr="00F92390">
        <w:trPr>
          <w:jc w:val="center"/>
        </w:trPr>
        <w:tc>
          <w:tcPr>
            <w:tcW w:w="1420" w:type="dxa"/>
            <w:shd w:val="clear" w:color="auto" w:fill="FFFFFF" w:themeFill="background1"/>
            <w:vAlign w:val="center"/>
          </w:tcPr>
          <w:p w:rsidR="00F92390" w:rsidRPr="00CD66A1" w:rsidRDefault="00F92390" w:rsidP="00BA5F73">
            <w:pPr>
              <w:ind w:right="57"/>
              <w:rPr>
                <w:b/>
                <w:sz w:val="20"/>
                <w:szCs w:val="20"/>
              </w:rPr>
            </w:pPr>
            <w:r w:rsidRPr="00CD66A1">
              <w:rPr>
                <w:b/>
                <w:sz w:val="20"/>
                <w:szCs w:val="20"/>
              </w:rPr>
              <w:t>Hygiène et sécurité</w:t>
            </w:r>
          </w:p>
        </w:tc>
        <w:tc>
          <w:tcPr>
            <w:tcW w:w="1134" w:type="dxa"/>
            <w:vAlign w:val="center"/>
          </w:tcPr>
          <w:p w:rsidR="00F92390" w:rsidRPr="00CD66A1" w:rsidRDefault="00F92390" w:rsidP="00BA5F73">
            <w:pPr>
              <w:ind w:right="57"/>
              <w:rPr>
                <w:b/>
                <w:sz w:val="20"/>
                <w:szCs w:val="20"/>
              </w:rPr>
            </w:pPr>
            <w:r w:rsidRPr="00CD66A1">
              <w:rPr>
                <w:b/>
                <w:sz w:val="20"/>
                <w:szCs w:val="20"/>
              </w:rPr>
              <w:t>Cadre de vie et conditions sécuritaires</w:t>
            </w:r>
          </w:p>
        </w:tc>
        <w:tc>
          <w:tcPr>
            <w:tcW w:w="5521" w:type="dxa"/>
            <w:vAlign w:val="center"/>
          </w:tcPr>
          <w:p w:rsidR="00F92390" w:rsidRPr="00CD66A1" w:rsidRDefault="00F92390" w:rsidP="00BA5F73">
            <w:pPr>
              <w:numPr>
                <w:ilvl w:val="0"/>
                <w:numId w:val="81"/>
              </w:numPr>
              <w:ind w:left="0" w:right="57"/>
              <w:jc w:val="both"/>
              <w:rPr>
                <w:sz w:val="20"/>
                <w:szCs w:val="20"/>
              </w:rPr>
            </w:pPr>
            <w:r w:rsidRPr="00CD66A1">
              <w:rPr>
                <w:sz w:val="20"/>
                <w:szCs w:val="20"/>
              </w:rPr>
              <w:t>Comptage d’EPI disponibles ;</w:t>
            </w:r>
          </w:p>
          <w:p w:rsidR="00F92390" w:rsidRPr="00CD66A1" w:rsidRDefault="00F92390" w:rsidP="00BA5F73">
            <w:pPr>
              <w:numPr>
                <w:ilvl w:val="0"/>
                <w:numId w:val="81"/>
              </w:numPr>
              <w:ind w:left="0" w:right="57"/>
              <w:jc w:val="both"/>
              <w:rPr>
                <w:sz w:val="20"/>
                <w:szCs w:val="20"/>
              </w:rPr>
            </w:pPr>
            <w:r w:rsidRPr="00CD66A1">
              <w:rPr>
                <w:sz w:val="20"/>
                <w:szCs w:val="20"/>
              </w:rPr>
              <w:t>Nombre d’affichage des consignes de sécurité ;</w:t>
            </w:r>
          </w:p>
          <w:p w:rsidR="00F92390" w:rsidRPr="00CD66A1" w:rsidRDefault="00F92390" w:rsidP="00BA5F73">
            <w:pPr>
              <w:numPr>
                <w:ilvl w:val="0"/>
                <w:numId w:val="81"/>
              </w:numPr>
              <w:ind w:left="0" w:right="57"/>
              <w:jc w:val="both"/>
              <w:rPr>
                <w:sz w:val="20"/>
                <w:szCs w:val="20"/>
              </w:rPr>
            </w:pPr>
            <w:r w:rsidRPr="00CD66A1">
              <w:rPr>
                <w:sz w:val="20"/>
                <w:szCs w:val="20"/>
              </w:rPr>
              <w:t>Dénombrer les extincteurs ;</w:t>
            </w:r>
          </w:p>
          <w:p w:rsidR="00F92390" w:rsidRPr="00CD66A1" w:rsidRDefault="00F92390" w:rsidP="00BA5F73">
            <w:pPr>
              <w:numPr>
                <w:ilvl w:val="0"/>
                <w:numId w:val="81"/>
              </w:numPr>
              <w:ind w:left="0" w:right="57"/>
              <w:jc w:val="both"/>
              <w:rPr>
                <w:sz w:val="20"/>
                <w:szCs w:val="20"/>
              </w:rPr>
            </w:pPr>
            <w:r w:rsidRPr="00CD66A1">
              <w:rPr>
                <w:sz w:val="20"/>
                <w:szCs w:val="20"/>
              </w:rPr>
              <w:t>Dénombrer les campagnes de formation et de sensibilisation</w:t>
            </w:r>
          </w:p>
          <w:p w:rsidR="00F92390" w:rsidRPr="00CD66A1" w:rsidRDefault="00F92390" w:rsidP="00BA5F73">
            <w:pPr>
              <w:numPr>
                <w:ilvl w:val="0"/>
                <w:numId w:val="81"/>
              </w:numPr>
              <w:ind w:left="0" w:right="57"/>
              <w:jc w:val="both"/>
              <w:rPr>
                <w:sz w:val="20"/>
                <w:szCs w:val="20"/>
              </w:rPr>
            </w:pPr>
            <w:r w:rsidRPr="00CD66A1">
              <w:rPr>
                <w:sz w:val="20"/>
                <w:szCs w:val="20"/>
              </w:rPr>
              <w:t>Dénombrer les cas d’incidents (incendie, accident avec impact sur l’homme ou l’environnement)</w:t>
            </w:r>
          </w:p>
          <w:p w:rsidR="00F92390" w:rsidRPr="00CD66A1" w:rsidRDefault="00F92390" w:rsidP="00BA5F73">
            <w:pPr>
              <w:numPr>
                <w:ilvl w:val="0"/>
                <w:numId w:val="81"/>
              </w:numPr>
              <w:ind w:left="0" w:right="57"/>
              <w:jc w:val="both"/>
              <w:rPr>
                <w:sz w:val="20"/>
                <w:szCs w:val="20"/>
              </w:rPr>
            </w:pPr>
            <w:r w:rsidRPr="00CD66A1">
              <w:rPr>
                <w:sz w:val="20"/>
                <w:szCs w:val="20"/>
              </w:rPr>
              <w:t>Fréquence de ramassage des déchets ;</w:t>
            </w:r>
          </w:p>
          <w:p w:rsidR="00F92390" w:rsidRPr="00CD66A1" w:rsidRDefault="00F92390" w:rsidP="00BA5F73">
            <w:pPr>
              <w:pStyle w:val="PargrafodaLista"/>
              <w:numPr>
                <w:ilvl w:val="0"/>
                <w:numId w:val="81"/>
              </w:numPr>
              <w:spacing w:after="0" w:line="240" w:lineRule="auto"/>
              <w:ind w:left="0" w:right="57"/>
              <w:contextualSpacing w:val="0"/>
              <w:jc w:val="both"/>
              <w:rPr>
                <w:rFonts w:ascii="Times New Roman" w:eastAsiaTheme="minorHAnsi" w:hAnsi="Times New Roman"/>
              </w:rPr>
            </w:pPr>
            <w:r w:rsidRPr="00CD66A1">
              <w:rPr>
                <w:rFonts w:ascii="Times New Roman" w:eastAsiaTheme="minorHAnsi" w:hAnsi="Times New Roman"/>
              </w:rPr>
              <w:t>Fréquence de nettoyage des sanitaires</w:t>
            </w:r>
          </w:p>
          <w:p w:rsidR="00F92390" w:rsidRPr="00CD66A1" w:rsidRDefault="00F92390" w:rsidP="00BA5F73">
            <w:pPr>
              <w:pStyle w:val="PargrafodaLista"/>
              <w:numPr>
                <w:ilvl w:val="0"/>
                <w:numId w:val="81"/>
              </w:numPr>
              <w:spacing w:after="0" w:line="240" w:lineRule="auto"/>
              <w:ind w:left="0" w:right="57"/>
              <w:contextualSpacing w:val="0"/>
              <w:jc w:val="both"/>
              <w:rPr>
                <w:rFonts w:ascii="Times New Roman" w:eastAsiaTheme="minorHAnsi" w:hAnsi="Times New Roman"/>
              </w:rPr>
            </w:pPr>
            <w:r w:rsidRPr="00CD66A1">
              <w:rPr>
                <w:rFonts w:ascii="Times New Roman" w:eastAsiaTheme="minorHAnsi" w:hAnsi="Times New Roman"/>
              </w:rPr>
              <w:t>Dénombrer les personnes formées aux gestes de premier secours.</w:t>
            </w:r>
          </w:p>
        </w:tc>
        <w:tc>
          <w:tcPr>
            <w:tcW w:w="2268" w:type="dxa"/>
            <w:vAlign w:val="center"/>
          </w:tcPr>
          <w:p w:rsidR="00F92390" w:rsidRPr="00CD66A1" w:rsidRDefault="00F92390" w:rsidP="00BA5F73">
            <w:pPr>
              <w:ind w:right="57"/>
              <w:jc w:val="center"/>
              <w:rPr>
                <w:sz w:val="20"/>
                <w:szCs w:val="20"/>
              </w:rPr>
            </w:pPr>
          </w:p>
          <w:p w:rsidR="00F92390" w:rsidRPr="00CD66A1" w:rsidRDefault="00F92390" w:rsidP="00BA5F73">
            <w:pPr>
              <w:ind w:right="57"/>
              <w:jc w:val="center"/>
              <w:rPr>
                <w:sz w:val="20"/>
                <w:szCs w:val="20"/>
              </w:rPr>
            </w:pPr>
          </w:p>
          <w:p w:rsidR="00F92390" w:rsidRPr="00CD66A1" w:rsidRDefault="00F92390" w:rsidP="00BA5F73">
            <w:pPr>
              <w:ind w:right="57"/>
              <w:jc w:val="center"/>
              <w:rPr>
                <w:sz w:val="20"/>
                <w:szCs w:val="20"/>
              </w:rPr>
            </w:pPr>
          </w:p>
          <w:p w:rsidR="00F92390" w:rsidRPr="00CD66A1" w:rsidRDefault="00F92390" w:rsidP="00BA5F73">
            <w:pPr>
              <w:ind w:right="57"/>
              <w:jc w:val="center"/>
              <w:rPr>
                <w:sz w:val="20"/>
                <w:szCs w:val="20"/>
              </w:rPr>
            </w:pPr>
            <w:r w:rsidRPr="00CD66A1">
              <w:rPr>
                <w:sz w:val="20"/>
                <w:szCs w:val="20"/>
              </w:rPr>
              <w:t>Observation</w:t>
            </w:r>
          </w:p>
          <w:p w:rsidR="00F92390" w:rsidRPr="00CD66A1" w:rsidRDefault="00F92390" w:rsidP="00BA5F73">
            <w:pPr>
              <w:ind w:right="57"/>
              <w:jc w:val="center"/>
              <w:rPr>
                <w:sz w:val="20"/>
                <w:szCs w:val="20"/>
              </w:rPr>
            </w:pPr>
            <w:r w:rsidRPr="00CD66A1">
              <w:rPr>
                <w:sz w:val="20"/>
                <w:szCs w:val="20"/>
              </w:rPr>
              <w:t>Fiches d’inventaire ;</w:t>
            </w:r>
          </w:p>
          <w:p w:rsidR="00F92390" w:rsidRPr="00CD66A1" w:rsidRDefault="00F92390" w:rsidP="00BA5F73">
            <w:pPr>
              <w:ind w:right="57"/>
              <w:jc w:val="center"/>
              <w:rPr>
                <w:sz w:val="20"/>
                <w:szCs w:val="20"/>
              </w:rPr>
            </w:pPr>
            <w:r w:rsidRPr="00CD66A1">
              <w:rPr>
                <w:sz w:val="20"/>
                <w:szCs w:val="20"/>
              </w:rPr>
              <w:t>PV de formation ;</w:t>
            </w:r>
          </w:p>
          <w:p w:rsidR="00F92390" w:rsidRPr="00CD66A1" w:rsidRDefault="00F92390" w:rsidP="00BA5F73">
            <w:pPr>
              <w:ind w:right="57"/>
              <w:jc w:val="center"/>
              <w:rPr>
                <w:sz w:val="20"/>
                <w:szCs w:val="20"/>
              </w:rPr>
            </w:pPr>
            <w:r w:rsidRPr="00CD66A1">
              <w:rPr>
                <w:sz w:val="20"/>
                <w:szCs w:val="20"/>
              </w:rPr>
              <w:t>Rapports d’incidents</w:t>
            </w:r>
          </w:p>
        </w:tc>
        <w:tc>
          <w:tcPr>
            <w:tcW w:w="1559" w:type="dxa"/>
            <w:vAlign w:val="center"/>
          </w:tcPr>
          <w:p w:rsidR="00F92390" w:rsidRPr="00CD66A1" w:rsidRDefault="00F92390" w:rsidP="00BA5F73">
            <w:pPr>
              <w:ind w:right="57"/>
              <w:jc w:val="center"/>
              <w:rPr>
                <w:b/>
                <w:sz w:val="20"/>
                <w:szCs w:val="20"/>
              </w:rPr>
            </w:pPr>
            <w:r w:rsidRPr="00CD66A1">
              <w:rPr>
                <w:b/>
                <w:sz w:val="20"/>
                <w:szCs w:val="20"/>
              </w:rPr>
              <w:t>Environnementaliste de l’Entreprise</w:t>
            </w:r>
          </w:p>
          <w:p w:rsidR="00F92390" w:rsidRPr="00CD66A1" w:rsidRDefault="00F92390" w:rsidP="00BA5F73">
            <w:pPr>
              <w:ind w:right="57"/>
              <w:jc w:val="center"/>
              <w:rPr>
                <w:b/>
                <w:sz w:val="20"/>
                <w:szCs w:val="20"/>
              </w:rPr>
            </w:pPr>
            <w:r w:rsidRPr="00CD66A1">
              <w:rPr>
                <w:b/>
                <w:sz w:val="20"/>
                <w:szCs w:val="20"/>
              </w:rPr>
              <w:t>Mission de contrôle (hygiène, santé, etc.)</w:t>
            </w:r>
          </w:p>
        </w:tc>
        <w:tc>
          <w:tcPr>
            <w:tcW w:w="1418" w:type="dxa"/>
            <w:vAlign w:val="center"/>
          </w:tcPr>
          <w:p w:rsidR="00F92390" w:rsidRPr="00CD66A1" w:rsidRDefault="00F92390" w:rsidP="00BA5F73">
            <w:pPr>
              <w:ind w:right="57"/>
              <w:rPr>
                <w:b/>
                <w:sz w:val="20"/>
                <w:szCs w:val="20"/>
              </w:rPr>
            </w:pPr>
          </w:p>
          <w:p w:rsidR="00F92390" w:rsidRPr="00CD66A1" w:rsidRDefault="00F92390" w:rsidP="00BA5F73">
            <w:pPr>
              <w:ind w:right="57"/>
              <w:rPr>
                <w:b/>
                <w:sz w:val="20"/>
                <w:szCs w:val="20"/>
              </w:rPr>
            </w:pPr>
            <w:r w:rsidRPr="00CD66A1">
              <w:rPr>
                <w:b/>
                <w:sz w:val="20"/>
                <w:szCs w:val="20"/>
              </w:rPr>
              <w:t>Mensuelle</w:t>
            </w:r>
          </w:p>
        </w:tc>
        <w:tc>
          <w:tcPr>
            <w:tcW w:w="1560" w:type="dxa"/>
            <w:vAlign w:val="center"/>
          </w:tcPr>
          <w:p w:rsidR="00F92390" w:rsidRPr="00CD66A1" w:rsidRDefault="00F92390" w:rsidP="00BA5F73">
            <w:pPr>
              <w:ind w:right="57"/>
              <w:rPr>
                <w:b/>
                <w:sz w:val="20"/>
                <w:szCs w:val="20"/>
              </w:rPr>
            </w:pPr>
          </w:p>
          <w:p w:rsidR="00F92390" w:rsidRPr="00CD66A1" w:rsidRDefault="00F92390" w:rsidP="00BA5F73">
            <w:pPr>
              <w:ind w:right="57"/>
              <w:rPr>
                <w:b/>
                <w:sz w:val="20"/>
                <w:szCs w:val="20"/>
              </w:rPr>
            </w:pPr>
            <w:r w:rsidRPr="00CD66A1">
              <w:rPr>
                <w:b/>
                <w:sz w:val="20"/>
                <w:szCs w:val="20"/>
              </w:rPr>
              <w:t>Préservation de la salubrité et des conditions sécuritaires</w:t>
            </w:r>
          </w:p>
        </w:tc>
      </w:tr>
      <w:tr w:rsidR="00F92390" w:rsidRPr="00CD66A1" w:rsidTr="00F92390">
        <w:trPr>
          <w:jc w:val="center"/>
        </w:trPr>
        <w:tc>
          <w:tcPr>
            <w:tcW w:w="1420" w:type="dxa"/>
            <w:vMerge w:val="restart"/>
            <w:shd w:val="clear" w:color="auto" w:fill="FFFFFF" w:themeFill="background1"/>
            <w:vAlign w:val="center"/>
          </w:tcPr>
          <w:p w:rsidR="00F92390" w:rsidRPr="00CD66A1" w:rsidRDefault="00F92390" w:rsidP="00BA5F73">
            <w:pPr>
              <w:ind w:right="57"/>
              <w:rPr>
                <w:b/>
                <w:sz w:val="20"/>
                <w:szCs w:val="20"/>
              </w:rPr>
            </w:pPr>
            <w:r w:rsidRPr="00CD66A1">
              <w:rPr>
                <w:b/>
                <w:sz w:val="20"/>
                <w:szCs w:val="20"/>
              </w:rPr>
              <w:t>Milieu humain</w:t>
            </w:r>
          </w:p>
        </w:tc>
        <w:tc>
          <w:tcPr>
            <w:tcW w:w="1134" w:type="dxa"/>
            <w:vAlign w:val="center"/>
          </w:tcPr>
          <w:p w:rsidR="00F92390" w:rsidRPr="00CD66A1" w:rsidRDefault="00F92390" w:rsidP="00BA5F73">
            <w:pPr>
              <w:ind w:right="57"/>
              <w:rPr>
                <w:b/>
                <w:sz w:val="20"/>
                <w:szCs w:val="20"/>
              </w:rPr>
            </w:pPr>
            <w:r w:rsidRPr="00CD66A1">
              <w:rPr>
                <w:b/>
                <w:sz w:val="20"/>
                <w:szCs w:val="20"/>
              </w:rPr>
              <w:t>Paiement des impenses</w:t>
            </w:r>
          </w:p>
        </w:tc>
        <w:tc>
          <w:tcPr>
            <w:tcW w:w="5521" w:type="dxa"/>
            <w:vAlign w:val="center"/>
          </w:tcPr>
          <w:p w:rsidR="00F92390" w:rsidRPr="00CD66A1" w:rsidRDefault="00F92390" w:rsidP="00BA5F73">
            <w:pPr>
              <w:pStyle w:val="PargrafodaLista"/>
              <w:numPr>
                <w:ilvl w:val="0"/>
                <w:numId w:val="84"/>
              </w:numPr>
              <w:spacing w:after="0" w:line="240" w:lineRule="auto"/>
              <w:ind w:left="0" w:right="57"/>
              <w:contextualSpacing w:val="0"/>
              <w:jc w:val="both"/>
              <w:rPr>
                <w:rFonts w:ascii="Times New Roman" w:eastAsiaTheme="minorHAnsi" w:hAnsi="Times New Roman"/>
              </w:rPr>
            </w:pPr>
            <w:r w:rsidRPr="00CD66A1">
              <w:rPr>
                <w:rFonts w:ascii="Times New Roman" w:eastAsiaTheme="minorHAnsi" w:hAnsi="Times New Roman"/>
              </w:rPr>
              <w:t>Inventaire des PAPs identifiées et payées</w:t>
            </w:r>
          </w:p>
          <w:p w:rsidR="00F92390" w:rsidRPr="00CD66A1" w:rsidRDefault="00F92390" w:rsidP="00BA5F73">
            <w:pPr>
              <w:pStyle w:val="PargrafodaLista"/>
              <w:numPr>
                <w:ilvl w:val="0"/>
                <w:numId w:val="84"/>
              </w:numPr>
              <w:spacing w:after="0" w:line="240" w:lineRule="auto"/>
              <w:ind w:left="0" w:right="57"/>
              <w:contextualSpacing w:val="0"/>
              <w:jc w:val="both"/>
              <w:rPr>
                <w:rFonts w:ascii="Times New Roman" w:eastAsiaTheme="minorHAnsi" w:hAnsi="Times New Roman"/>
              </w:rPr>
            </w:pPr>
            <w:r w:rsidRPr="00CD66A1">
              <w:rPr>
                <w:rFonts w:ascii="Times New Roman" w:eastAsiaTheme="minorHAnsi" w:hAnsi="Times New Roman"/>
              </w:rPr>
              <w:t>Inventaire des contentieux</w:t>
            </w:r>
          </w:p>
        </w:tc>
        <w:tc>
          <w:tcPr>
            <w:tcW w:w="2268" w:type="dxa"/>
            <w:vAlign w:val="center"/>
          </w:tcPr>
          <w:p w:rsidR="00F92390" w:rsidRPr="00CD66A1" w:rsidRDefault="00F92390" w:rsidP="00BA5F73">
            <w:pPr>
              <w:ind w:right="57"/>
              <w:rPr>
                <w:sz w:val="20"/>
                <w:szCs w:val="20"/>
              </w:rPr>
            </w:pPr>
            <w:r w:rsidRPr="00CD66A1">
              <w:rPr>
                <w:sz w:val="20"/>
                <w:szCs w:val="20"/>
              </w:rPr>
              <w:t>Rapport d’activités</w:t>
            </w:r>
          </w:p>
          <w:p w:rsidR="00F92390" w:rsidRPr="00CD66A1" w:rsidRDefault="00F92390" w:rsidP="00BA5F73">
            <w:pPr>
              <w:ind w:right="57"/>
              <w:rPr>
                <w:sz w:val="20"/>
                <w:szCs w:val="20"/>
              </w:rPr>
            </w:pPr>
            <w:r w:rsidRPr="00CD66A1">
              <w:rPr>
                <w:sz w:val="20"/>
                <w:szCs w:val="20"/>
              </w:rPr>
              <w:t>Par observation direct des PV signés par les différentes parties</w:t>
            </w:r>
          </w:p>
        </w:tc>
        <w:tc>
          <w:tcPr>
            <w:tcW w:w="1559" w:type="dxa"/>
            <w:vAlign w:val="center"/>
          </w:tcPr>
          <w:p w:rsidR="00F92390" w:rsidRPr="00CD66A1" w:rsidRDefault="00F92390" w:rsidP="00BA5F73">
            <w:pPr>
              <w:ind w:right="57"/>
              <w:rPr>
                <w:b/>
                <w:sz w:val="20"/>
                <w:szCs w:val="20"/>
              </w:rPr>
            </w:pPr>
            <w:r w:rsidRPr="00CD66A1">
              <w:rPr>
                <w:b/>
                <w:sz w:val="20"/>
                <w:szCs w:val="20"/>
              </w:rPr>
              <w:t>Promoteur</w:t>
            </w:r>
          </w:p>
        </w:tc>
        <w:tc>
          <w:tcPr>
            <w:tcW w:w="1418" w:type="dxa"/>
            <w:vAlign w:val="center"/>
          </w:tcPr>
          <w:p w:rsidR="00F92390" w:rsidRPr="00CD66A1" w:rsidRDefault="00F92390" w:rsidP="00BA5F73">
            <w:pPr>
              <w:ind w:right="57"/>
              <w:rPr>
                <w:b/>
                <w:sz w:val="20"/>
                <w:szCs w:val="20"/>
              </w:rPr>
            </w:pPr>
            <w:bookmarkStart w:id="364" w:name="_Toc34007077"/>
            <w:bookmarkStart w:id="365" w:name="_Toc34007279"/>
            <w:bookmarkStart w:id="366" w:name="_Toc42617954"/>
            <w:r w:rsidRPr="00CD66A1">
              <w:rPr>
                <w:b/>
                <w:sz w:val="20"/>
                <w:szCs w:val="20"/>
              </w:rPr>
              <w:t>Avant le début des travaux</w:t>
            </w:r>
            <w:bookmarkEnd w:id="364"/>
            <w:bookmarkEnd w:id="365"/>
            <w:bookmarkEnd w:id="366"/>
          </w:p>
        </w:tc>
        <w:tc>
          <w:tcPr>
            <w:tcW w:w="1560" w:type="dxa"/>
            <w:vAlign w:val="center"/>
          </w:tcPr>
          <w:p w:rsidR="00F92390" w:rsidRPr="00CD66A1" w:rsidRDefault="00F92390" w:rsidP="00BA5F73">
            <w:pPr>
              <w:ind w:right="57"/>
              <w:rPr>
                <w:b/>
                <w:sz w:val="20"/>
                <w:szCs w:val="20"/>
              </w:rPr>
            </w:pPr>
            <w:r w:rsidRPr="00CD66A1">
              <w:rPr>
                <w:b/>
                <w:sz w:val="20"/>
                <w:szCs w:val="20"/>
              </w:rPr>
              <w:t>Respect de la législation</w:t>
            </w:r>
          </w:p>
        </w:tc>
      </w:tr>
      <w:tr w:rsidR="00F92390" w:rsidRPr="00CD66A1" w:rsidTr="00F92390">
        <w:trPr>
          <w:trHeight w:val="78"/>
          <w:jc w:val="center"/>
        </w:trPr>
        <w:tc>
          <w:tcPr>
            <w:tcW w:w="1420" w:type="dxa"/>
            <w:vMerge/>
            <w:shd w:val="clear" w:color="auto" w:fill="FFFFFF" w:themeFill="background1"/>
          </w:tcPr>
          <w:p w:rsidR="00F92390" w:rsidRPr="00CD66A1" w:rsidRDefault="00F92390" w:rsidP="00BA5F73">
            <w:pPr>
              <w:ind w:right="57"/>
              <w:rPr>
                <w:b/>
                <w:sz w:val="20"/>
                <w:szCs w:val="20"/>
              </w:rPr>
            </w:pPr>
          </w:p>
        </w:tc>
        <w:tc>
          <w:tcPr>
            <w:tcW w:w="1134" w:type="dxa"/>
            <w:vAlign w:val="center"/>
          </w:tcPr>
          <w:p w:rsidR="00F92390" w:rsidRPr="00CD66A1" w:rsidRDefault="00F92390" w:rsidP="00BA5F73">
            <w:pPr>
              <w:ind w:right="57"/>
              <w:rPr>
                <w:b/>
                <w:sz w:val="20"/>
                <w:szCs w:val="20"/>
              </w:rPr>
            </w:pPr>
            <w:r w:rsidRPr="00CD66A1">
              <w:rPr>
                <w:b/>
                <w:sz w:val="20"/>
                <w:szCs w:val="20"/>
              </w:rPr>
              <w:t>Santé</w:t>
            </w:r>
          </w:p>
        </w:tc>
        <w:tc>
          <w:tcPr>
            <w:tcW w:w="5521" w:type="dxa"/>
          </w:tcPr>
          <w:p w:rsidR="00F92390" w:rsidRPr="00CD66A1" w:rsidRDefault="00F92390" w:rsidP="00BA5F73">
            <w:pPr>
              <w:ind w:right="57"/>
              <w:rPr>
                <w:sz w:val="20"/>
                <w:szCs w:val="20"/>
              </w:rPr>
            </w:pPr>
            <w:r w:rsidRPr="00CD66A1">
              <w:rPr>
                <w:sz w:val="20"/>
                <w:szCs w:val="20"/>
              </w:rPr>
              <w:t>Dénombrer les maladies imputables au projet et leur taux de prévalence chez le personnel et les populations riveraines ;</w:t>
            </w:r>
          </w:p>
          <w:p w:rsidR="00F92390" w:rsidRPr="00CD66A1" w:rsidRDefault="00F92390" w:rsidP="00BA5F73">
            <w:pPr>
              <w:ind w:right="57"/>
              <w:rPr>
                <w:sz w:val="20"/>
                <w:szCs w:val="20"/>
              </w:rPr>
            </w:pPr>
            <w:r w:rsidRPr="00CD66A1">
              <w:rPr>
                <w:sz w:val="20"/>
                <w:szCs w:val="20"/>
              </w:rPr>
              <w:t>Dénombrer les campagnes de sensibilisation sur les IST/VIH-SIDA</w:t>
            </w:r>
          </w:p>
          <w:p w:rsidR="00F92390" w:rsidRPr="00CD66A1" w:rsidRDefault="00F92390" w:rsidP="00BA5F73">
            <w:pPr>
              <w:ind w:right="57"/>
              <w:rPr>
                <w:sz w:val="20"/>
                <w:szCs w:val="20"/>
              </w:rPr>
            </w:pPr>
            <w:r w:rsidRPr="00CD66A1">
              <w:rPr>
                <w:sz w:val="20"/>
                <w:szCs w:val="20"/>
              </w:rPr>
              <w:t>Dénombrer les campagnes de sensibilisation sur la COVID 19</w:t>
            </w:r>
          </w:p>
          <w:p w:rsidR="00F92390" w:rsidRPr="00CD66A1" w:rsidRDefault="00F92390" w:rsidP="00BA5F73">
            <w:pPr>
              <w:ind w:right="57"/>
              <w:rPr>
                <w:sz w:val="20"/>
                <w:szCs w:val="20"/>
              </w:rPr>
            </w:pPr>
            <w:r w:rsidRPr="00CD66A1">
              <w:rPr>
                <w:sz w:val="20"/>
                <w:szCs w:val="20"/>
              </w:rPr>
              <w:t>Dénombrer les cas d</w:t>
            </w:r>
            <w:r>
              <w:rPr>
                <w:sz w:val="20"/>
                <w:szCs w:val="20"/>
              </w:rPr>
              <w:t>’</w:t>
            </w:r>
            <w:r w:rsidRPr="00CD66A1">
              <w:rPr>
                <w:sz w:val="20"/>
                <w:szCs w:val="20"/>
              </w:rPr>
              <w:t>EAS / HS</w:t>
            </w:r>
          </w:p>
        </w:tc>
        <w:tc>
          <w:tcPr>
            <w:tcW w:w="2268" w:type="dxa"/>
          </w:tcPr>
          <w:p w:rsidR="00F92390" w:rsidRPr="00CD66A1" w:rsidRDefault="00F92390" w:rsidP="00BA5F73">
            <w:pPr>
              <w:ind w:right="57"/>
              <w:rPr>
                <w:sz w:val="20"/>
                <w:szCs w:val="20"/>
              </w:rPr>
            </w:pPr>
            <w:r w:rsidRPr="00CD66A1">
              <w:rPr>
                <w:sz w:val="20"/>
                <w:szCs w:val="20"/>
              </w:rPr>
              <w:t>Registres de santé ;</w:t>
            </w:r>
          </w:p>
          <w:p w:rsidR="00F92390" w:rsidRPr="00CD66A1" w:rsidRDefault="00F92390" w:rsidP="00BA5F73">
            <w:pPr>
              <w:ind w:right="57"/>
              <w:rPr>
                <w:sz w:val="20"/>
                <w:szCs w:val="20"/>
              </w:rPr>
            </w:pPr>
            <w:r w:rsidRPr="00CD66A1">
              <w:rPr>
                <w:sz w:val="20"/>
                <w:szCs w:val="20"/>
              </w:rPr>
              <w:t>Nombre d’accident ou d’incident signalé ;</w:t>
            </w:r>
          </w:p>
          <w:p w:rsidR="00F92390" w:rsidRPr="00CD66A1" w:rsidRDefault="00F92390" w:rsidP="00BA5F73">
            <w:pPr>
              <w:ind w:right="57"/>
              <w:rPr>
                <w:sz w:val="20"/>
                <w:szCs w:val="20"/>
              </w:rPr>
            </w:pPr>
            <w:r w:rsidRPr="00CD66A1">
              <w:rPr>
                <w:sz w:val="20"/>
                <w:szCs w:val="20"/>
              </w:rPr>
              <w:t>Nombre de consultation pour maladie</w:t>
            </w:r>
          </w:p>
          <w:p w:rsidR="00F92390" w:rsidRPr="00CD66A1" w:rsidRDefault="00F92390" w:rsidP="00BA5F73">
            <w:pPr>
              <w:ind w:right="57"/>
              <w:rPr>
                <w:sz w:val="20"/>
                <w:szCs w:val="20"/>
              </w:rPr>
            </w:pPr>
            <w:r w:rsidRPr="00CD66A1">
              <w:rPr>
                <w:sz w:val="20"/>
                <w:szCs w:val="20"/>
              </w:rPr>
              <w:t>Nombre de sensibilisations effectuées</w:t>
            </w:r>
          </w:p>
          <w:p w:rsidR="00F92390" w:rsidRPr="00CD66A1" w:rsidRDefault="00F92390" w:rsidP="00BA5F73">
            <w:pPr>
              <w:ind w:right="57"/>
              <w:rPr>
                <w:sz w:val="20"/>
                <w:szCs w:val="20"/>
              </w:rPr>
            </w:pPr>
            <w:r w:rsidRPr="00CD66A1">
              <w:rPr>
                <w:sz w:val="20"/>
                <w:szCs w:val="20"/>
              </w:rPr>
              <w:t>Nombre de cas récences</w:t>
            </w:r>
          </w:p>
        </w:tc>
        <w:tc>
          <w:tcPr>
            <w:tcW w:w="1559" w:type="dxa"/>
          </w:tcPr>
          <w:p w:rsidR="00F92390" w:rsidRPr="00CD66A1" w:rsidRDefault="00F92390" w:rsidP="00BA5F73">
            <w:pPr>
              <w:ind w:right="57"/>
              <w:rPr>
                <w:b/>
                <w:sz w:val="20"/>
                <w:szCs w:val="20"/>
              </w:rPr>
            </w:pPr>
            <w:r w:rsidRPr="00CD66A1">
              <w:rPr>
                <w:b/>
                <w:sz w:val="20"/>
                <w:szCs w:val="20"/>
              </w:rPr>
              <w:t xml:space="preserve">Environnementaliste de l’Entreprise </w:t>
            </w:r>
          </w:p>
          <w:p w:rsidR="00F92390" w:rsidRPr="00CD66A1" w:rsidRDefault="00F92390" w:rsidP="00BA5F73">
            <w:pPr>
              <w:ind w:right="57"/>
              <w:rPr>
                <w:b/>
                <w:sz w:val="20"/>
                <w:szCs w:val="20"/>
              </w:rPr>
            </w:pPr>
            <w:r w:rsidRPr="00CD66A1">
              <w:rPr>
                <w:b/>
                <w:sz w:val="20"/>
                <w:szCs w:val="20"/>
              </w:rPr>
              <w:t>Mission de contrôle (AAAC, Santé, Hygiène)</w:t>
            </w:r>
          </w:p>
          <w:p w:rsidR="00F92390" w:rsidRPr="00CD66A1" w:rsidRDefault="00F92390" w:rsidP="00BA5F73">
            <w:pPr>
              <w:ind w:right="57"/>
              <w:rPr>
                <w:b/>
                <w:sz w:val="20"/>
                <w:szCs w:val="20"/>
              </w:rPr>
            </w:pPr>
          </w:p>
        </w:tc>
        <w:tc>
          <w:tcPr>
            <w:tcW w:w="1418" w:type="dxa"/>
            <w:vAlign w:val="center"/>
          </w:tcPr>
          <w:p w:rsidR="00F92390" w:rsidRPr="00CD66A1" w:rsidRDefault="00F92390" w:rsidP="00BA5F73">
            <w:pPr>
              <w:ind w:right="57"/>
              <w:rPr>
                <w:b/>
                <w:sz w:val="20"/>
                <w:szCs w:val="20"/>
              </w:rPr>
            </w:pPr>
            <w:r w:rsidRPr="00CD66A1">
              <w:rPr>
                <w:b/>
                <w:sz w:val="20"/>
                <w:szCs w:val="20"/>
              </w:rPr>
              <w:t>Semestrielle</w:t>
            </w:r>
          </w:p>
        </w:tc>
        <w:tc>
          <w:tcPr>
            <w:tcW w:w="1560" w:type="dxa"/>
            <w:vAlign w:val="center"/>
          </w:tcPr>
          <w:p w:rsidR="00F92390" w:rsidRPr="00CD66A1" w:rsidRDefault="00F92390" w:rsidP="00BA5F73">
            <w:pPr>
              <w:ind w:right="57"/>
              <w:rPr>
                <w:b/>
                <w:sz w:val="20"/>
                <w:szCs w:val="20"/>
              </w:rPr>
            </w:pPr>
            <w:r w:rsidRPr="00CD66A1">
              <w:rPr>
                <w:b/>
                <w:sz w:val="20"/>
                <w:szCs w:val="20"/>
              </w:rPr>
              <w:t>Préservation de la santé</w:t>
            </w:r>
          </w:p>
        </w:tc>
      </w:tr>
      <w:tr w:rsidR="00F92390" w:rsidRPr="00CD66A1" w:rsidTr="00F92390">
        <w:trPr>
          <w:trHeight w:val="86"/>
          <w:jc w:val="center"/>
        </w:trPr>
        <w:tc>
          <w:tcPr>
            <w:tcW w:w="1420" w:type="dxa"/>
            <w:vMerge/>
            <w:shd w:val="clear" w:color="auto" w:fill="FFFFFF" w:themeFill="background1"/>
          </w:tcPr>
          <w:p w:rsidR="00F92390" w:rsidRPr="00CD66A1" w:rsidRDefault="00F92390" w:rsidP="00BA5F73">
            <w:pPr>
              <w:ind w:right="57"/>
              <w:rPr>
                <w:b/>
                <w:sz w:val="20"/>
                <w:szCs w:val="20"/>
              </w:rPr>
            </w:pPr>
          </w:p>
        </w:tc>
        <w:tc>
          <w:tcPr>
            <w:tcW w:w="1134" w:type="dxa"/>
            <w:vAlign w:val="center"/>
          </w:tcPr>
          <w:p w:rsidR="00F92390" w:rsidRPr="00CD66A1" w:rsidRDefault="00F92390" w:rsidP="00BA5F73">
            <w:pPr>
              <w:ind w:right="57"/>
              <w:rPr>
                <w:b/>
                <w:sz w:val="20"/>
                <w:szCs w:val="20"/>
              </w:rPr>
            </w:pPr>
            <w:r w:rsidRPr="00CD66A1">
              <w:rPr>
                <w:b/>
                <w:sz w:val="20"/>
                <w:szCs w:val="20"/>
              </w:rPr>
              <w:t>Activités</w:t>
            </w:r>
            <w:r>
              <w:rPr>
                <w:rStyle w:val="Refdenotaderodap"/>
                <w:b/>
                <w:szCs w:val="20"/>
              </w:rPr>
              <w:footnoteReference w:id="3"/>
            </w:r>
            <w:r w:rsidRPr="00CD66A1">
              <w:rPr>
                <w:b/>
                <w:sz w:val="20"/>
                <w:szCs w:val="20"/>
              </w:rPr>
              <w:t>socio-économiques</w:t>
            </w:r>
          </w:p>
        </w:tc>
        <w:tc>
          <w:tcPr>
            <w:tcW w:w="5521" w:type="dxa"/>
          </w:tcPr>
          <w:p w:rsidR="00F92390" w:rsidRPr="00CD66A1" w:rsidRDefault="00F92390" w:rsidP="00BA5F73">
            <w:pPr>
              <w:ind w:right="57"/>
              <w:rPr>
                <w:sz w:val="20"/>
                <w:szCs w:val="20"/>
              </w:rPr>
            </w:pPr>
            <w:r w:rsidRPr="00CD66A1">
              <w:rPr>
                <w:sz w:val="20"/>
                <w:szCs w:val="20"/>
              </w:rPr>
              <w:t>Dénombrer les activités socioéconomiques induites par la présence du projet ;</w:t>
            </w:r>
          </w:p>
          <w:p w:rsidR="00F92390" w:rsidRDefault="00F92390" w:rsidP="00BA5F73">
            <w:pPr>
              <w:ind w:right="57"/>
              <w:rPr>
                <w:sz w:val="20"/>
                <w:szCs w:val="20"/>
              </w:rPr>
            </w:pPr>
            <w:r w:rsidRPr="00CD66A1">
              <w:rPr>
                <w:sz w:val="20"/>
                <w:szCs w:val="20"/>
              </w:rPr>
              <w:t>Dénombrer les personnes formées à des activités génératrices de revenus</w:t>
            </w:r>
          </w:p>
          <w:p w:rsidR="00F92390" w:rsidRPr="00CD66A1" w:rsidRDefault="00F92390" w:rsidP="00BA5F73">
            <w:pPr>
              <w:ind w:right="57"/>
              <w:rPr>
                <w:sz w:val="20"/>
                <w:szCs w:val="20"/>
              </w:rPr>
            </w:pPr>
            <w:r>
              <w:rPr>
                <w:sz w:val="20"/>
                <w:szCs w:val="20"/>
              </w:rPr>
              <w:t>Dénombrer les personnes sensibilisées en matière de risques d’EAS/HS</w:t>
            </w:r>
          </w:p>
          <w:p w:rsidR="00F92390" w:rsidRPr="00CD66A1" w:rsidRDefault="00F92390" w:rsidP="00BA5F73">
            <w:pPr>
              <w:ind w:right="57"/>
              <w:rPr>
                <w:sz w:val="20"/>
                <w:szCs w:val="20"/>
              </w:rPr>
            </w:pPr>
            <w:r w:rsidRPr="00CD66A1">
              <w:rPr>
                <w:sz w:val="20"/>
                <w:szCs w:val="20"/>
              </w:rPr>
              <w:t>Dénombrer les mesures d’accompagnement</w:t>
            </w:r>
          </w:p>
          <w:p w:rsidR="00F92390" w:rsidRPr="00CD66A1" w:rsidRDefault="00F92390" w:rsidP="00BA5F73">
            <w:pPr>
              <w:ind w:right="57"/>
              <w:rPr>
                <w:sz w:val="20"/>
                <w:szCs w:val="20"/>
              </w:rPr>
            </w:pPr>
            <w:r w:rsidRPr="00CD66A1">
              <w:rPr>
                <w:sz w:val="20"/>
                <w:szCs w:val="20"/>
              </w:rPr>
              <w:t xml:space="preserve">Combien de jeunes sont recrutés dans chaque secteur concerné par le projet </w:t>
            </w:r>
          </w:p>
        </w:tc>
        <w:tc>
          <w:tcPr>
            <w:tcW w:w="2268" w:type="dxa"/>
          </w:tcPr>
          <w:p w:rsidR="00F92390" w:rsidRPr="00CD66A1" w:rsidRDefault="00F92390" w:rsidP="00BA5F73">
            <w:pPr>
              <w:ind w:right="57"/>
              <w:rPr>
                <w:sz w:val="20"/>
                <w:szCs w:val="20"/>
              </w:rPr>
            </w:pPr>
          </w:p>
          <w:p w:rsidR="00F92390" w:rsidRPr="00CD66A1" w:rsidRDefault="00F92390" w:rsidP="00BA5F73">
            <w:pPr>
              <w:ind w:right="57"/>
              <w:rPr>
                <w:sz w:val="20"/>
                <w:szCs w:val="20"/>
              </w:rPr>
            </w:pPr>
            <w:r w:rsidRPr="00CD66A1">
              <w:rPr>
                <w:sz w:val="20"/>
                <w:szCs w:val="20"/>
              </w:rPr>
              <w:t xml:space="preserve">Enquêtes auprès des populations, </w:t>
            </w:r>
          </w:p>
          <w:p w:rsidR="00F92390" w:rsidRPr="00CD66A1" w:rsidRDefault="00F92390" w:rsidP="00BA5F73">
            <w:pPr>
              <w:ind w:right="57"/>
              <w:rPr>
                <w:sz w:val="20"/>
                <w:szCs w:val="20"/>
              </w:rPr>
            </w:pPr>
            <w:r w:rsidRPr="00CD66A1">
              <w:rPr>
                <w:sz w:val="20"/>
                <w:szCs w:val="20"/>
              </w:rPr>
              <w:t>Par identification des fiches de recrutement ;</w:t>
            </w:r>
          </w:p>
          <w:p w:rsidR="00F92390" w:rsidRPr="00CD66A1" w:rsidRDefault="00F92390" w:rsidP="00BA5F73">
            <w:pPr>
              <w:ind w:right="57"/>
              <w:rPr>
                <w:sz w:val="20"/>
                <w:szCs w:val="20"/>
              </w:rPr>
            </w:pPr>
            <w:r w:rsidRPr="00CD66A1">
              <w:rPr>
                <w:sz w:val="20"/>
                <w:szCs w:val="20"/>
              </w:rPr>
              <w:t>Fiche de paie</w:t>
            </w:r>
          </w:p>
          <w:p w:rsidR="00F92390" w:rsidRPr="00CD66A1" w:rsidRDefault="00F92390" w:rsidP="00BA5F73">
            <w:pPr>
              <w:ind w:right="57"/>
              <w:rPr>
                <w:sz w:val="20"/>
                <w:szCs w:val="20"/>
              </w:rPr>
            </w:pPr>
          </w:p>
        </w:tc>
        <w:tc>
          <w:tcPr>
            <w:tcW w:w="1559" w:type="dxa"/>
            <w:vAlign w:val="center"/>
          </w:tcPr>
          <w:p w:rsidR="00F92390" w:rsidRPr="00CD66A1" w:rsidRDefault="00F92390" w:rsidP="00BA5F73">
            <w:pPr>
              <w:ind w:right="57"/>
              <w:rPr>
                <w:b/>
                <w:sz w:val="20"/>
                <w:szCs w:val="20"/>
              </w:rPr>
            </w:pPr>
            <w:r w:rsidRPr="00CD66A1">
              <w:rPr>
                <w:b/>
                <w:sz w:val="20"/>
                <w:szCs w:val="20"/>
              </w:rPr>
              <w:t>Mission de contrôle (inspection du travail, AAAC), Mairie, Promoteur</w:t>
            </w:r>
          </w:p>
          <w:p w:rsidR="00F92390" w:rsidRPr="00CD66A1" w:rsidRDefault="00F92390" w:rsidP="00BA5F73">
            <w:pPr>
              <w:ind w:right="57"/>
              <w:rPr>
                <w:b/>
                <w:sz w:val="20"/>
                <w:szCs w:val="20"/>
              </w:rPr>
            </w:pPr>
          </w:p>
        </w:tc>
        <w:tc>
          <w:tcPr>
            <w:tcW w:w="1418" w:type="dxa"/>
            <w:vAlign w:val="center"/>
          </w:tcPr>
          <w:p w:rsidR="00F92390" w:rsidRPr="00CD66A1" w:rsidRDefault="00F92390" w:rsidP="00BA5F73">
            <w:pPr>
              <w:ind w:right="57"/>
              <w:rPr>
                <w:b/>
                <w:sz w:val="20"/>
                <w:szCs w:val="20"/>
              </w:rPr>
            </w:pPr>
            <w:r w:rsidRPr="00CD66A1">
              <w:rPr>
                <w:b/>
                <w:sz w:val="20"/>
                <w:szCs w:val="20"/>
              </w:rPr>
              <w:t>Trimestrielle</w:t>
            </w:r>
          </w:p>
        </w:tc>
        <w:tc>
          <w:tcPr>
            <w:tcW w:w="1560" w:type="dxa"/>
            <w:vAlign w:val="center"/>
          </w:tcPr>
          <w:p w:rsidR="00F92390" w:rsidRPr="00CD66A1" w:rsidRDefault="00F92390" w:rsidP="00BA5F73">
            <w:pPr>
              <w:ind w:right="57"/>
              <w:rPr>
                <w:b/>
                <w:sz w:val="20"/>
                <w:szCs w:val="20"/>
              </w:rPr>
            </w:pPr>
            <w:r w:rsidRPr="00CD66A1">
              <w:rPr>
                <w:b/>
                <w:sz w:val="20"/>
                <w:szCs w:val="20"/>
              </w:rPr>
              <w:t>Réduction de la pauvreté</w:t>
            </w:r>
          </w:p>
        </w:tc>
      </w:tr>
    </w:tbl>
    <w:p w:rsidR="007131E8" w:rsidRDefault="007131E8" w:rsidP="00A76F4A">
      <w:pPr>
        <w:ind w:right="12"/>
        <w:contextualSpacing/>
        <w:jc w:val="both"/>
        <w:rPr>
          <w:rFonts w:eastAsia="Calibri" w:cs="Calibri"/>
          <w:caps/>
          <w:lang w:eastAsia="en-US"/>
        </w:rPr>
      </w:pPr>
    </w:p>
    <w:p w:rsidR="00F92390" w:rsidRDefault="00F92390" w:rsidP="00A76F4A">
      <w:pPr>
        <w:ind w:right="12"/>
        <w:rPr>
          <w:vanish/>
        </w:rPr>
        <w:sectPr w:rsidR="00F92390" w:rsidSect="00F92390">
          <w:pgSz w:w="16838" w:h="11906" w:orient="landscape"/>
          <w:pgMar w:top="1411" w:right="1411" w:bottom="1411" w:left="1411" w:header="317" w:footer="706" w:gutter="0"/>
          <w:cols w:space="708"/>
          <w:docGrid w:linePitch="360"/>
        </w:sectPr>
      </w:pPr>
    </w:p>
    <w:p w:rsidR="00E547CB" w:rsidRPr="00393987" w:rsidRDefault="00E547CB" w:rsidP="00A76F4A">
      <w:pPr>
        <w:ind w:right="12"/>
        <w:rPr>
          <w:vanish/>
        </w:rPr>
      </w:pPr>
    </w:p>
    <w:p w:rsidR="00E547CB" w:rsidRPr="00D901AE" w:rsidRDefault="00E547CB" w:rsidP="00A76F4A">
      <w:pPr>
        <w:ind w:right="12"/>
      </w:pPr>
    </w:p>
    <w:p w:rsidR="00A10969" w:rsidRDefault="00A10969"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367" w:name="_Toc75432315"/>
      <w:r w:rsidRPr="00A05698">
        <w:rPr>
          <w:rFonts w:ascii="Times New Roman" w:hAnsi="Times New Roman"/>
          <w:b/>
          <w:bCs/>
          <w:sz w:val="24"/>
          <w:szCs w:val="24"/>
        </w:rPr>
        <w:t>DESCRIPTION DU RE</w:t>
      </w:r>
      <w:r w:rsidR="0060566C">
        <w:rPr>
          <w:rFonts w:ascii="Times New Roman" w:hAnsi="Times New Roman"/>
          <w:b/>
          <w:bCs/>
          <w:sz w:val="24"/>
          <w:szCs w:val="24"/>
        </w:rPr>
        <w:t xml:space="preserve">NFORCEMENT DES CAPACITES, DE LA </w:t>
      </w:r>
      <w:r w:rsidRPr="00A05698">
        <w:rPr>
          <w:rFonts w:ascii="Times New Roman" w:hAnsi="Times New Roman"/>
          <w:b/>
          <w:bCs/>
          <w:sz w:val="24"/>
          <w:szCs w:val="24"/>
        </w:rPr>
        <w:t xml:space="preserve">FORMATION </w:t>
      </w:r>
      <w:r w:rsidR="0091740E" w:rsidRPr="00A05698">
        <w:rPr>
          <w:rFonts w:ascii="Times New Roman" w:hAnsi="Times New Roman"/>
          <w:b/>
          <w:bCs/>
          <w:sz w:val="24"/>
          <w:szCs w:val="24"/>
        </w:rPr>
        <w:t>ET DE L</w:t>
      </w:r>
      <w:r w:rsidR="00A05714" w:rsidRPr="00A05698">
        <w:rPr>
          <w:rFonts w:ascii="Times New Roman" w:hAnsi="Times New Roman"/>
          <w:b/>
          <w:bCs/>
          <w:sz w:val="24"/>
          <w:szCs w:val="24"/>
        </w:rPr>
        <w:t>’</w:t>
      </w:r>
      <w:r w:rsidR="0091740E" w:rsidRPr="00A05698">
        <w:rPr>
          <w:rFonts w:ascii="Times New Roman" w:hAnsi="Times New Roman"/>
          <w:b/>
          <w:bCs/>
          <w:sz w:val="24"/>
          <w:szCs w:val="24"/>
        </w:rPr>
        <w:t>ASSISTANCE TECHNIQUE</w:t>
      </w:r>
      <w:bookmarkEnd w:id="367"/>
    </w:p>
    <w:p w:rsidR="00D3691B" w:rsidRPr="00A05698" w:rsidRDefault="00EE4FEF" w:rsidP="00A76F4A">
      <w:pPr>
        <w:pStyle w:val="PargrafodaLista"/>
        <w:numPr>
          <w:ilvl w:val="2"/>
          <w:numId w:val="283"/>
        </w:numPr>
        <w:spacing w:after="120" w:line="240" w:lineRule="auto"/>
        <w:ind w:left="1701" w:right="12"/>
        <w:outlineLvl w:val="1"/>
        <w:rPr>
          <w:rFonts w:ascii="Times New Roman" w:hAnsi="Times New Roman"/>
          <w:b/>
          <w:bCs/>
          <w:sz w:val="24"/>
          <w:szCs w:val="24"/>
        </w:rPr>
      </w:pPr>
      <w:bookmarkStart w:id="368" w:name="_Toc55460171"/>
      <w:bookmarkStart w:id="369" w:name="_Toc55465564"/>
      <w:bookmarkStart w:id="370" w:name="_Toc75432316"/>
      <w:r w:rsidRPr="00A05698">
        <w:rPr>
          <w:rFonts w:ascii="Times New Roman" w:hAnsi="Times New Roman"/>
          <w:b/>
          <w:bCs/>
          <w:sz w:val="24"/>
          <w:szCs w:val="24"/>
        </w:rPr>
        <w:t>Responsabilité de mise en œuvre de la sélection environnementale et sociale</w:t>
      </w:r>
      <w:bookmarkEnd w:id="368"/>
      <w:bookmarkEnd w:id="369"/>
      <w:bookmarkEnd w:id="370"/>
    </w:p>
    <w:p w:rsidR="008142E8" w:rsidRDefault="00D3691B" w:rsidP="00F92390">
      <w:pPr>
        <w:ind w:right="12"/>
        <w:jc w:val="both"/>
      </w:pPr>
      <w:r w:rsidRPr="004D1BD0">
        <w:t>Cette approche environnementale prend en compte la majorité des cas qui peuvent se produire et qui sont inclus dans le Cadre de Gestion Environnementale et Sociale ainsi que la plupart des parties prenantes qui ont ou peuvent intervenir à un moment donné du cycle de projet</w:t>
      </w:r>
      <w:r w:rsidR="00762774" w:rsidRPr="004D1BD0">
        <w:t xml:space="preserve"> </w:t>
      </w:r>
      <w:r w:rsidR="00A93E4A" w:rsidRPr="004D1BD0">
        <w:t>PUSA.</w:t>
      </w:r>
      <w:r w:rsidRPr="004D1BD0">
        <w:t xml:space="preserve"> Le tableau ci-dessus donne un récapitulatif des étapes et des responsabilités institutionnelles pour la sélection et la préparation, l’évaluation, l’approbation et la mise en œuvre des sous-projets.</w:t>
      </w:r>
    </w:p>
    <w:p w:rsidR="002F5899" w:rsidRPr="004D1BD0" w:rsidRDefault="002F5899" w:rsidP="00A76F4A">
      <w:pPr>
        <w:autoSpaceDE w:val="0"/>
        <w:autoSpaceDN w:val="0"/>
        <w:adjustRightInd w:val="0"/>
        <w:ind w:left="142" w:right="12"/>
        <w:jc w:val="both"/>
      </w:pPr>
    </w:p>
    <w:p w:rsidR="00D3691B" w:rsidRPr="00A05698" w:rsidRDefault="00956A5B" w:rsidP="00A76F4A">
      <w:pPr>
        <w:pStyle w:val="PargrafodaLista"/>
        <w:numPr>
          <w:ilvl w:val="2"/>
          <w:numId w:val="283"/>
        </w:numPr>
        <w:spacing w:after="120" w:line="240" w:lineRule="auto"/>
        <w:ind w:left="1843" w:right="12"/>
        <w:outlineLvl w:val="1"/>
        <w:rPr>
          <w:rFonts w:ascii="Times New Roman" w:hAnsi="Times New Roman"/>
          <w:b/>
          <w:bCs/>
          <w:sz w:val="24"/>
          <w:szCs w:val="24"/>
        </w:rPr>
      </w:pPr>
      <w:bookmarkStart w:id="371" w:name="_Toc55460172"/>
      <w:bookmarkStart w:id="372" w:name="_Toc55465565"/>
      <w:bookmarkStart w:id="373" w:name="_Toc75432317"/>
      <w:r w:rsidRPr="00A05698">
        <w:rPr>
          <w:rFonts w:ascii="Times New Roman" w:hAnsi="Times New Roman"/>
          <w:b/>
          <w:bCs/>
          <w:sz w:val="24"/>
          <w:szCs w:val="24"/>
        </w:rPr>
        <w:t>Recommandations pour la gestion environnementale et sociale du projet</w:t>
      </w:r>
      <w:bookmarkEnd w:id="371"/>
      <w:bookmarkEnd w:id="372"/>
      <w:bookmarkEnd w:id="373"/>
    </w:p>
    <w:p w:rsidR="00D3691B" w:rsidRPr="00A05698" w:rsidRDefault="00D3691B" w:rsidP="00A76F4A">
      <w:pPr>
        <w:pStyle w:val="Cabealho3"/>
        <w:keepLines/>
        <w:numPr>
          <w:ilvl w:val="2"/>
          <w:numId w:val="112"/>
        </w:numPr>
        <w:spacing w:before="120" w:after="120"/>
        <w:ind w:left="1134" w:right="12"/>
        <w:jc w:val="both"/>
        <w:rPr>
          <w:rFonts w:ascii="Times New Roman" w:hAnsi="Times New Roman"/>
          <w:sz w:val="24"/>
          <w:szCs w:val="24"/>
        </w:rPr>
      </w:pPr>
      <w:bookmarkStart w:id="374" w:name="_Toc55460173"/>
      <w:bookmarkStart w:id="375" w:name="_Toc55465566"/>
      <w:r w:rsidRPr="00A05698">
        <w:rPr>
          <w:rFonts w:ascii="Times New Roman" w:hAnsi="Times New Roman"/>
          <w:sz w:val="24"/>
          <w:szCs w:val="24"/>
        </w:rPr>
        <w:t>Mesures de renforcement institutionnel</w:t>
      </w:r>
      <w:bookmarkEnd w:id="374"/>
      <w:bookmarkEnd w:id="375"/>
    </w:p>
    <w:p w:rsidR="0019528C" w:rsidRPr="004D1BD0" w:rsidRDefault="00D3691B" w:rsidP="00A76F4A">
      <w:pPr>
        <w:ind w:right="12"/>
        <w:jc w:val="both"/>
      </w:pPr>
      <w:r w:rsidRPr="004D1BD0">
        <w:t xml:space="preserve">A travers les protocoles d'accord d'intervention </w:t>
      </w:r>
      <w:r w:rsidR="00471FE4" w:rsidRPr="004D1BD0">
        <w:t xml:space="preserve">qui sera </w:t>
      </w:r>
      <w:r w:rsidRPr="004D1BD0">
        <w:t>signés entre les différents services techniques de l'Etat (mi</w:t>
      </w:r>
      <w:r w:rsidR="00D10B93" w:rsidRPr="004D1BD0">
        <w:t>nistère et agences), le projet PUSA</w:t>
      </w:r>
      <w:r w:rsidRPr="004D1BD0">
        <w:t xml:space="preserve"> désigne</w:t>
      </w:r>
      <w:r w:rsidR="001160AC">
        <w:t>ra</w:t>
      </w:r>
      <w:r w:rsidRPr="004D1BD0">
        <w:t xml:space="preserve"> des points focaux au niveau de chaque région. </w:t>
      </w:r>
    </w:p>
    <w:p w:rsidR="00D3691B" w:rsidRPr="004D1BD0" w:rsidRDefault="00D3691B" w:rsidP="00A76F4A">
      <w:pPr>
        <w:ind w:right="12"/>
        <w:jc w:val="both"/>
      </w:pPr>
      <w:r w:rsidRPr="004D1BD0">
        <w:t>En ce qui concerne le</w:t>
      </w:r>
      <w:r w:rsidR="00DF4513" w:rsidRPr="004D1BD0">
        <w:t xml:space="preserve"> secteur de l'environnement, l’AAAC </w:t>
      </w:r>
      <w:r w:rsidRPr="004D1BD0">
        <w:t>est chargé de répondre aux besoins de gestion et de suivi pour garantir la prise en compte des aspects environnementaux.</w:t>
      </w:r>
    </w:p>
    <w:p w:rsidR="00D3691B" w:rsidRPr="004D1BD0" w:rsidRDefault="00D3691B" w:rsidP="00A76F4A">
      <w:pPr>
        <w:ind w:right="12"/>
        <w:jc w:val="both"/>
      </w:pPr>
      <w:r w:rsidRPr="004D1BD0">
        <w:t>Sa mission consiste :</w:t>
      </w:r>
    </w:p>
    <w:p w:rsidR="00D3691B" w:rsidRPr="00CD66A1" w:rsidRDefault="00D3691B" w:rsidP="00A76F4A">
      <w:pPr>
        <w:pStyle w:val="PargrafodaLista"/>
        <w:numPr>
          <w:ilvl w:val="0"/>
          <w:numId w:val="113"/>
        </w:numPr>
        <w:autoSpaceDE w:val="0"/>
        <w:autoSpaceDN w:val="0"/>
        <w:adjustRightInd w:val="0"/>
        <w:ind w:left="993" w:right="12"/>
        <w:jc w:val="both"/>
        <w:rPr>
          <w:rFonts w:ascii="Times New Roman" w:hAnsi="Times New Roman"/>
          <w:sz w:val="22"/>
          <w:szCs w:val="22"/>
        </w:rPr>
      </w:pPr>
      <w:r w:rsidRPr="00CD66A1">
        <w:rPr>
          <w:rFonts w:ascii="Times New Roman" w:hAnsi="Times New Roman"/>
          <w:sz w:val="22"/>
          <w:szCs w:val="22"/>
        </w:rPr>
        <w:t>S'assurer de l'application des procédures environnementales et sociales dans la mise en œuvre des activités du projet ;</w:t>
      </w:r>
    </w:p>
    <w:p w:rsidR="00D3691B" w:rsidRPr="00CD66A1" w:rsidRDefault="00D3691B" w:rsidP="00A76F4A">
      <w:pPr>
        <w:pStyle w:val="PargrafodaLista"/>
        <w:numPr>
          <w:ilvl w:val="0"/>
          <w:numId w:val="113"/>
        </w:numPr>
        <w:autoSpaceDE w:val="0"/>
        <w:autoSpaceDN w:val="0"/>
        <w:adjustRightInd w:val="0"/>
        <w:ind w:left="993" w:right="12"/>
        <w:jc w:val="both"/>
        <w:rPr>
          <w:rFonts w:ascii="Times New Roman" w:hAnsi="Times New Roman"/>
          <w:sz w:val="22"/>
          <w:szCs w:val="22"/>
        </w:rPr>
      </w:pPr>
      <w:r w:rsidRPr="00CD66A1">
        <w:rPr>
          <w:rFonts w:ascii="Times New Roman" w:hAnsi="Times New Roman"/>
          <w:sz w:val="22"/>
          <w:szCs w:val="22"/>
        </w:rPr>
        <w:t>Mettre en œuvre des activités de formation et de sensibilisation au profit des acteurs nationaux et locaux sur le besoin de prise en compte des questions environnementale</w:t>
      </w:r>
      <w:r w:rsidR="00CD66A1" w:rsidRPr="00CD66A1">
        <w:rPr>
          <w:rFonts w:ascii="Times New Roman" w:hAnsi="Times New Roman"/>
          <w:sz w:val="22"/>
          <w:szCs w:val="22"/>
        </w:rPr>
        <w:t xml:space="preserve">s et sociales dans les projets </w:t>
      </w:r>
    </w:p>
    <w:p w:rsidR="00D3691B" w:rsidRPr="00CD66A1" w:rsidRDefault="00D3691B" w:rsidP="00A76F4A">
      <w:pPr>
        <w:pStyle w:val="PargrafodaLista"/>
        <w:numPr>
          <w:ilvl w:val="0"/>
          <w:numId w:val="113"/>
        </w:numPr>
        <w:autoSpaceDE w:val="0"/>
        <w:autoSpaceDN w:val="0"/>
        <w:adjustRightInd w:val="0"/>
        <w:ind w:left="993" w:right="12"/>
        <w:jc w:val="both"/>
        <w:rPr>
          <w:rFonts w:ascii="Times New Roman" w:hAnsi="Times New Roman"/>
          <w:sz w:val="22"/>
          <w:szCs w:val="22"/>
        </w:rPr>
      </w:pPr>
      <w:r w:rsidRPr="00CD66A1">
        <w:rPr>
          <w:rFonts w:ascii="Times New Roman" w:hAnsi="Times New Roman"/>
          <w:sz w:val="22"/>
          <w:szCs w:val="22"/>
        </w:rPr>
        <w:t>Garantir la supervision périodique de la mise en œuvre du CGES.</w:t>
      </w:r>
    </w:p>
    <w:p w:rsidR="00D3691B" w:rsidRPr="004D1BD0" w:rsidRDefault="00D3691B" w:rsidP="00A76F4A">
      <w:pPr>
        <w:ind w:right="12"/>
        <w:jc w:val="both"/>
      </w:pPr>
      <w:r w:rsidRPr="004D1BD0">
        <w:t>Cette même démarche est également réalisée avec les autres services techniques qui sont désignés comme Point Focal et qui travaillent avec le Coordonnateur régional du projet.</w:t>
      </w:r>
    </w:p>
    <w:p w:rsidR="00D3691B" w:rsidRPr="004D1BD0" w:rsidRDefault="00D3691B" w:rsidP="00A76F4A">
      <w:pPr>
        <w:pStyle w:val="Cabealho3"/>
        <w:keepLines/>
        <w:numPr>
          <w:ilvl w:val="2"/>
          <w:numId w:val="112"/>
        </w:numPr>
        <w:spacing w:before="120" w:after="120"/>
        <w:ind w:left="1134" w:right="12"/>
        <w:jc w:val="both"/>
        <w:rPr>
          <w:rFonts w:ascii="Times New Roman" w:hAnsi="Times New Roman"/>
          <w:sz w:val="24"/>
          <w:szCs w:val="24"/>
        </w:rPr>
      </w:pPr>
      <w:bookmarkStart w:id="376" w:name="_Toc55460174"/>
      <w:bookmarkStart w:id="377" w:name="_Toc55465567"/>
      <w:r w:rsidRPr="004D1BD0">
        <w:rPr>
          <w:rFonts w:ascii="Times New Roman" w:hAnsi="Times New Roman"/>
          <w:sz w:val="24"/>
          <w:szCs w:val="24"/>
        </w:rPr>
        <w:t>Mesures de renforcement technique</w:t>
      </w:r>
      <w:bookmarkEnd w:id="376"/>
      <w:bookmarkEnd w:id="377"/>
    </w:p>
    <w:p w:rsidR="00BA3A32" w:rsidRPr="004D1BD0" w:rsidRDefault="00D3691B" w:rsidP="00A76F4A">
      <w:pPr>
        <w:ind w:right="12"/>
        <w:jc w:val="both"/>
      </w:pPr>
      <w:r w:rsidRPr="004D1BD0">
        <w:t>Les mesures de renforcement technique portent sur la proposition pour la réalisation et la mise en œuvre des études d'impact environnemental et social ; sur l'élabora</w:t>
      </w:r>
      <w:r w:rsidR="004D16F6" w:rsidRPr="004D1BD0">
        <w:t xml:space="preserve">tion d'un manuel de gestion du projet PUSA </w:t>
      </w:r>
      <w:r w:rsidRPr="004D1BD0">
        <w:t>et sur les bonnes pratiques de production agricole, sur le suivi-évaluation des activités du projet ;</w:t>
      </w:r>
    </w:p>
    <w:p w:rsidR="00D3691B" w:rsidRPr="004D1BD0" w:rsidRDefault="00D3691B" w:rsidP="00A76F4A">
      <w:pPr>
        <w:pStyle w:val="PargrafodaLista"/>
        <w:numPr>
          <w:ilvl w:val="0"/>
          <w:numId w:val="85"/>
        </w:numPr>
        <w:spacing w:before="60" w:after="60" w:line="240" w:lineRule="auto"/>
        <w:ind w:right="12"/>
        <w:contextualSpacing w:val="0"/>
        <w:jc w:val="both"/>
        <w:rPr>
          <w:rFonts w:ascii="Times New Roman" w:hAnsi="Times New Roman"/>
          <w:b/>
          <w:bCs/>
          <w:i/>
          <w:iCs/>
          <w:sz w:val="24"/>
          <w:szCs w:val="24"/>
        </w:rPr>
      </w:pPr>
      <w:r w:rsidRPr="004D1BD0">
        <w:rPr>
          <w:rFonts w:ascii="Times New Roman" w:hAnsi="Times New Roman"/>
          <w:b/>
          <w:bCs/>
          <w:i/>
          <w:iCs/>
          <w:sz w:val="24"/>
          <w:szCs w:val="24"/>
        </w:rPr>
        <w:t>Provision pour la réalisation des</w:t>
      </w:r>
      <w:r w:rsidR="00A73BE0">
        <w:rPr>
          <w:rFonts w:ascii="Times New Roman" w:hAnsi="Times New Roman"/>
          <w:b/>
          <w:bCs/>
          <w:i/>
          <w:iCs/>
          <w:sz w:val="24"/>
          <w:szCs w:val="24"/>
        </w:rPr>
        <w:t xml:space="preserve"> AEI</w:t>
      </w:r>
      <w:r w:rsidRPr="004D1BD0">
        <w:rPr>
          <w:rFonts w:ascii="Times New Roman" w:hAnsi="Times New Roman"/>
          <w:b/>
          <w:bCs/>
          <w:i/>
          <w:iCs/>
          <w:sz w:val="24"/>
          <w:szCs w:val="24"/>
        </w:rPr>
        <w:t xml:space="preserve"> et leur mise en œuvre </w:t>
      </w:r>
    </w:p>
    <w:p w:rsidR="00BA3A32" w:rsidRPr="004D1BD0" w:rsidRDefault="00D3691B" w:rsidP="00A76F4A">
      <w:pPr>
        <w:ind w:right="12"/>
        <w:jc w:val="both"/>
      </w:pPr>
      <w:r w:rsidRPr="004D1BD0">
        <w:t xml:space="preserve">Certaines activités du projet vont nécessiter la conduite </w:t>
      </w:r>
      <w:r w:rsidR="00446930">
        <w:t xml:space="preserve">des études AEI </w:t>
      </w:r>
      <w:r w:rsidRPr="004D1BD0">
        <w:t xml:space="preserve">accompagnées d'un Plan de Gestion environnementale et Sociale en vue d’atténuer, de réduire, ou de compenser leurs impacts négatifs sur les milieux biophysique et humain. Les services de consultants chargés de leurs élaborations et les coûts de mise en œuvre de leurs </w:t>
      </w:r>
      <w:r w:rsidR="00A73BE0">
        <w:t>AEI</w:t>
      </w:r>
      <w:r w:rsidRPr="004D1BD0">
        <w:t xml:space="preserve"> vont nécessiter des fonds qu’il convient de prévoir. En sus de cela, des activités exécutées sans évaluation environnementale et sociale préalable doivent faire l’objet d’audits environnementaux et sociaux. </w:t>
      </w:r>
    </w:p>
    <w:p w:rsidR="00D3691B" w:rsidRPr="004D1BD0" w:rsidRDefault="00D3691B" w:rsidP="00A76F4A">
      <w:pPr>
        <w:pStyle w:val="PargrafodaLista"/>
        <w:numPr>
          <w:ilvl w:val="0"/>
          <w:numId w:val="85"/>
        </w:numPr>
        <w:spacing w:before="60" w:after="60" w:line="240" w:lineRule="auto"/>
        <w:ind w:right="12"/>
        <w:contextualSpacing w:val="0"/>
        <w:jc w:val="both"/>
        <w:rPr>
          <w:rFonts w:ascii="Times New Roman" w:hAnsi="Times New Roman"/>
          <w:b/>
          <w:bCs/>
          <w:i/>
          <w:iCs/>
          <w:sz w:val="24"/>
          <w:szCs w:val="24"/>
        </w:rPr>
      </w:pPr>
      <w:r w:rsidRPr="004D1BD0">
        <w:rPr>
          <w:rFonts w:ascii="Times New Roman" w:hAnsi="Times New Roman"/>
          <w:b/>
          <w:bCs/>
          <w:i/>
          <w:iCs/>
          <w:sz w:val="24"/>
          <w:szCs w:val="24"/>
        </w:rPr>
        <w:t>Suivi et Evaluation des activités du projet</w:t>
      </w:r>
    </w:p>
    <w:p w:rsidR="00D3691B" w:rsidRPr="004D1BD0" w:rsidRDefault="00D3691B" w:rsidP="00A76F4A">
      <w:pPr>
        <w:ind w:right="12"/>
        <w:jc w:val="both"/>
      </w:pPr>
      <w:r w:rsidRPr="004D1BD0">
        <w:t xml:space="preserve">Le programme va porter sur la surveillance, le suivi, la supervision, l'évaluation à mi-parcours et l'évaluation annuelle. Le suivi sera permanent et sera toutefois, complété par des missions </w:t>
      </w:r>
      <w:r w:rsidRPr="004D1BD0">
        <w:lastRenderedPageBreak/>
        <w:t xml:space="preserve">de supervision. </w:t>
      </w:r>
      <w:r w:rsidR="00F20FA0" w:rsidRPr="004D1BD0">
        <w:t>La surveillance de proximité est confiée aux bureaux de contrôle</w:t>
      </w:r>
      <w:r w:rsidR="00513FC6">
        <w:t>.</w:t>
      </w:r>
      <w:r w:rsidR="00F20FA0" w:rsidRPr="004D1BD0">
        <w:t xml:space="preserve"> </w:t>
      </w:r>
      <w:r w:rsidRPr="004D1BD0">
        <w:t>Un budget relatif au suivi doit être prévu. Le suivi externe est assuré par le C</w:t>
      </w:r>
      <w:r w:rsidR="009670DF">
        <w:t xml:space="preserve">omité </w:t>
      </w:r>
      <w:r w:rsidR="00F15A3F">
        <w:t>régional de suivi environnemental</w:t>
      </w:r>
      <w:r w:rsidR="00400F54">
        <w:t xml:space="preserve"> (CRSE)</w:t>
      </w:r>
      <w:r w:rsidRPr="004D1BD0">
        <w:t xml:space="preserve">, sous la coordination de </w:t>
      </w:r>
      <w:r w:rsidR="00F57D1D" w:rsidRPr="004D1BD0">
        <w:t>l’AAAC</w:t>
      </w:r>
      <w:r w:rsidRPr="004D1BD0">
        <w:t xml:space="preserve">. </w:t>
      </w:r>
    </w:p>
    <w:p w:rsidR="00D3691B" w:rsidRPr="004D1BD0" w:rsidRDefault="00D3691B" w:rsidP="00A76F4A">
      <w:pPr>
        <w:ind w:right="12"/>
        <w:jc w:val="both"/>
      </w:pPr>
      <w:r w:rsidRPr="004D1BD0">
        <w:t>Quant à l’évaluation qui consiste à marquer une halte pour faire le point et apporter des réajustements dans la dynamique d’ensemble visant à atteindre les objectifs fixés, elle interviendra au stade de mi-parcours et au terme du projet. Le comité technique va assurer la supervision environnementale et sociale et pourra renseigner le comité de pilotage. En plus, le suivi va nécessiter au besoin des analyses de laboratoires (physicochimiques, biologiques et bactériologiques, toxicologiques et sanitaires).</w:t>
      </w:r>
    </w:p>
    <w:p w:rsidR="00D3691B" w:rsidRPr="004D1BD0" w:rsidRDefault="00D3691B" w:rsidP="00A76F4A">
      <w:pPr>
        <w:pStyle w:val="Cabealho3"/>
        <w:keepLines/>
        <w:numPr>
          <w:ilvl w:val="2"/>
          <w:numId w:val="112"/>
        </w:numPr>
        <w:spacing w:before="120" w:after="120"/>
        <w:ind w:left="1134" w:right="12"/>
        <w:jc w:val="both"/>
        <w:rPr>
          <w:rFonts w:ascii="Times New Roman" w:hAnsi="Times New Roman"/>
          <w:sz w:val="24"/>
          <w:szCs w:val="24"/>
        </w:rPr>
      </w:pPr>
      <w:bookmarkStart w:id="378" w:name="_Toc55460175"/>
      <w:bookmarkStart w:id="379" w:name="_Toc55465568"/>
      <w:r w:rsidRPr="004D1BD0">
        <w:rPr>
          <w:rFonts w:ascii="Times New Roman" w:hAnsi="Times New Roman"/>
          <w:sz w:val="24"/>
          <w:szCs w:val="24"/>
        </w:rPr>
        <w:t>Formation des acteurs impliqués dans la mise en œuvre du projet</w:t>
      </w:r>
      <w:bookmarkEnd w:id="378"/>
      <w:bookmarkEnd w:id="379"/>
    </w:p>
    <w:p w:rsidR="00D3691B" w:rsidRPr="004D1BD0" w:rsidRDefault="00D3691B" w:rsidP="00A76F4A">
      <w:pPr>
        <w:ind w:right="12"/>
        <w:jc w:val="both"/>
      </w:pPr>
      <w:r w:rsidRPr="004D1BD0">
        <w:t>La formation en gestion environnementale et sociale va concerner l'Unité de Coordination du Projet et les services techniques partenaires (bénéficiant d'un protocole d'intervention) sur les enjeux environnementaux et sociaux</w:t>
      </w:r>
      <w:r w:rsidR="008205AD">
        <w:t>,</w:t>
      </w:r>
      <w:r w:rsidRPr="004D1BD0">
        <w:t xml:space="preserve"> </w:t>
      </w:r>
      <w:r w:rsidR="008205AD">
        <w:t xml:space="preserve">y compris ceux d’EAS/HS </w:t>
      </w:r>
      <w:r w:rsidRPr="004D1BD0">
        <w:t xml:space="preserve">liés à la mise en œuvre des activités du projet </w:t>
      </w:r>
      <w:r w:rsidR="00BA39BF" w:rsidRPr="004D1BD0">
        <w:t xml:space="preserve">PUSA </w:t>
      </w:r>
      <w:r w:rsidRPr="004D1BD0">
        <w:t xml:space="preserve">d'amélioration de la sécurité alimentaire. Ces acteurs </w:t>
      </w:r>
      <w:r w:rsidR="00BA39BF" w:rsidRPr="004D1BD0">
        <w:t xml:space="preserve">ont la responsabilité d'assurer </w:t>
      </w:r>
      <w:r w:rsidRPr="004D1BD0">
        <w:t xml:space="preserve">l'intégration de la dimension environnementale et sociale dans les </w:t>
      </w:r>
      <w:r w:rsidR="00D03404" w:rsidRPr="004D1BD0">
        <w:t xml:space="preserve">sous </w:t>
      </w:r>
      <w:r w:rsidRPr="004D1BD0">
        <w:t>projets. Ils assurent chacun en ce qui le concerne les études, le suivi ou le contrôle envir</w:t>
      </w:r>
      <w:r w:rsidR="005B4527" w:rsidRPr="004D1BD0">
        <w:t>onnemental des projets</w:t>
      </w:r>
      <w:r w:rsidRPr="004D1BD0">
        <w:t>.</w:t>
      </w:r>
    </w:p>
    <w:p w:rsidR="00D3691B" w:rsidRPr="004D1BD0" w:rsidRDefault="00D3691B" w:rsidP="00A76F4A">
      <w:pPr>
        <w:ind w:right="12"/>
        <w:jc w:val="both"/>
      </w:pPr>
      <w:r w:rsidRPr="004D1BD0">
        <w:t xml:space="preserve">Il consiste à organiser un atelier régional de formation pour imprégner les différents acteurs partenaires impliqués dans le suivi des travaux prévus dans les dispositions du CGES. Les sujets seront centrés autour </w:t>
      </w:r>
    </w:p>
    <w:p w:rsidR="00D3691B" w:rsidRPr="00527FF0" w:rsidRDefault="00D3691B" w:rsidP="00A76F4A">
      <w:pPr>
        <w:pStyle w:val="PargrafodaLista"/>
        <w:numPr>
          <w:ilvl w:val="0"/>
          <w:numId w:val="86"/>
        </w:numPr>
        <w:spacing w:before="60" w:after="60" w:line="240" w:lineRule="auto"/>
        <w:ind w:right="12"/>
        <w:jc w:val="both"/>
        <w:rPr>
          <w:rFonts w:ascii="Times New Roman" w:hAnsi="Times New Roman"/>
          <w:sz w:val="22"/>
          <w:szCs w:val="22"/>
        </w:rPr>
      </w:pPr>
      <w:r w:rsidRPr="00527FF0">
        <w:rPr>
          <w:rFonts w:ascii="Times New Roman" w:hAnsi="Times New Roman"/>
          <w:sz w:val="22"/>
          <w:szCs w:val="22"/>
        </w:rPr>
        <w:t xml:space="preserve">Des enjeux environnementaux et sociaux des </w:t>
      </w:r>
      <w:r w:rsidR="00FF26A9" w:rsidRPr="00527FF0">
        <w:rPr>
          <w:rFonts w:ascii="Times New Roman" w:hAnsi="Times New Roman"/>
          <w:sz w:val="22"/>
          <w:szCs w:val="22"/>
        </w:rPr>
        <w:t xml:space="preserve">sous </w:t>
      </w:r>
      <w:r w:rsidR="000B3509" w:rsidRPr="00527FF0">
        <w:rPr>
          <w:rFonts w:ascii="Times New Roman" w:hAnsi="Times New Roman"/>
          <w:sz w:val="22"/>
          <w:szCs w:val="22"/>
        </w:rPr>
        <w:t>projet </w:t>
      </w:r>
      <w:r w:rsidR="00ED5B49" w:rsidRPr="00527FF0">
        <w:rPr>
          <w:rFonts w:ascii="Times New Roman" w:hAnsi="Times New Roman"/>
          <w:sz w:val="22"/>
          <w:szCs w:val="22"/>
        </w:rPr>
        <w:t>PUSA ;</w:t>
      </w:r>
    </w:p>
    <w:p w:rsidR="00D3691B" w:rsidRPr="00527FF0" w:rsidRDefault="00D3691B" w:rsidP="00A76F4A">
      <w:pPr>
        <w:pStyle w:val="PargrafodaLista"/>
        <w:numPr>
          <w:ilvl w:val="0"/>
          <w:numId w:val="86"/>
        </w:numPr>
        <w:spacing w:before="60" w:after="60" w:line="240" w:lineRule="auto"/>
        <w:ind w:right="12"/>
        <w:jc w:val="both"/>
        <w:rPr>
          <w:rFonts w:ascii="Times New Roman" w:hAnsi="Times New Roman"/>
          <w:sz w:val="22"/>
          <w:szCs w:val="22"/>
        </w:rPr>
      </w:pPr>
      <w:r w:rsidRPr="00527FF0">
        <w:rPr>
          <w:rFonts w:ascii="Times New Roman" w:hAnsi="Times New Roman"/>
          <w:sz w:val="22"/>
          <w:szCs w:val="22"/>
        </w:rPr>
        <w:t>De l'hygiène et la sécurité des travailleurs ;</w:t>
      </w:r>
    </w:p>
    <w:p w:rsidR="00D3691B" w:rsidRPr="00527FF0" w:rsidRDefault="00D3691B" w:rsidP="00A76F4A">
      <w:pPr>
        <w:pStyle w:val="PargrafodaLista"/>
        <w:numPr>
          <w:ilvl w:val="0"/>
          <w:numId w:val="86"/>
        </w:numPr>
        <w:spacing w:before="60" w:after="60" w:line="240" w:lineRule="auto"/>
        <w:ind w:right="12"/>
        <w:jc w:val="both"/>
        <w:rPr>
          <w:rFonts w:ascii="Times New Roman" w:hAnsi="Times New Roman"/>
          <w:sz w:val="22"/>
          <w:szCs w:val="22"/>
        </w:rPr>
      </w:pPr>
      <w:r w:rsidRPr="00527FF0">
        <w:rPr>
          <w:rFonts w:ascii="Times New Roman" w:hAnsi="Times New Roman"/>
          <w:sz w:val="22"/>
          <w:szCs w:val="22"/>
        </w:rPr>
        <w:t>Des réglementations environnementales et sociales appropriées ;</w:t>
      </w:r>
    </w:p>
    <w:p w:rsidR="00D3691B" w:rsidRPr="00527FF0" w:rsidRDefault="00D3691B" w:rsidP="00A76F4A">
      <w:pPr>
        <w:pStyle w:val="PargrafodaLista"/>
        <w:numPr>
          <w:ilvl w:val="0"/>
          <w:numId w:val="86"/>
        </w:numPr>
        <w:spacing w:before="60" w:after="60" w:line="240" w:lineRule="auto"/>
        <w:ind w:right="12"/>
        <w:jc w:val="both"/>
        <w:rPr>
          <w:rFonts w:ascii="Times New Roman" w:hAnsi="Times New Roman"/>
          <w:sz w:val="22"/>
          <w:szCs w:val="22"/>
        </w:rPr>
      </w:pPr>
      <w:r w:rsidRPr="00527FF0">
        <w:rPr>
          <w:rFonts w:ascii="Times New Roman" w:hAnsi="Times New Roman"/>
          <w:sz w:val="22"/>
          <w:szCs w:val="22"/>
        </w:rPr>
        <w:t>Des directives de la B</w:t>
      </w:r>
      <w:r w:rsidR="000B3509" w:rsidRPr="00527FF0">
        <w:rPr>
          <w:rFonts w:ascii="Times New Roman" w:hAnsi="Times New Roman"/>
          <w:sz w:val="22"/>
          <w:szCs w:val="22"/>
        </w:rPr>
        <w:t xml:space="preserve">anque Mondiale </w:t>
      </w:r>
      <w:r w:rsidR="00070C2A" w:rsidRPr="00527FF0">
        <w:rPr>
          <w:rFonts w:ascii="Times New Roman" w:hAnsi="Times New Roman"/>
          <w:sz w:val="22"/>
          <w:szCs w:val="22"/>
        </w:rPr>
        <w:t>et de la FAO</w:t>
      </w:r>
    </w:p>
    <w:p w:rsidR="00D3691B" w:rsidRPr="00527FF0" w:rsidRDefault="00D3691B" w:rsidP="00A76F4A">
      <w:pPr>
        <w:pStyle w:val="PargrafodaLista"/>
        <w:numPr>
          <w:ilvl w:val="0"/>
          <w:numId w:val="86"/>
        </w:numPr>
        <w:spacing w:before="60" w:after="60" w:line="240" w:lineRule="auto"/>
        <w:ind w:right="12"/>
        <w:jc w:val="both"/>
        <w:rPr>
          <w:rFonts w:ascii="Times New Roman" w:hAnsi="Times New Roman"/>
          <w:sz w:val="22"/>
          <w:szCs w:val="22"/>
        </w:rPr>
      </w:pPr>
      <w:r w:rsidRPr="00527FF0">
        <w:rPr>
          <w:rFonts w:ascii="Times New Roman" w:hAnsi="Times New Roman"/>
          <w:sz w:val="22"/>
          <w:szCs w:val="22"/>
        </w:rPr>
        <w:t>Des méthodes d'évaluation environnementale.</w:t>
      </w:r>
    </w:p>
    <w:p w:rsidR="00237E86" w:rsidRPr="00527FF0" w:rsidRDefault="00D3691B" w:rsidP="00A76F4A">
      <w:pPr>
        <w:pStyle w:val="PargrafodaLista"/>
        <w:numPr>
          <w:ilvl w:val="0"/>
          <w:numId w:val="86"/>
        </w:numPr>
        <w:spacing w:before="60" w:after="60" w:line="240" w:lineRule="auto"/>
        <w:ind w:right="12"/>
        <w:jc w:val="both"/>
        <w:rPr>
          <w:rFonts w:ascii="Times New Roman" w:hAnsi="Times New Roman"/>
          <w:sz w:val="22"/>
          <w:szCs w:val="22"/>
        </w:rPr>
      </w:pPr>
      <w:r w:rsidRPr="00527FF0">
        <w:rPr>
          <w:rFonts w:ascii="Times New Roman" w:hAnsi="Times New Roman"/>
          <w:sz w:val="22"/>
          <w:szCs w:val="22"/>
        </w:rPr>
        <w:t xml:space="preserve">Le développement durable et le changement climatique. </w:t>
      </w:r>
    </w:p>
    <w:p w:rsidR="00D3691B" w:rsidRPr="004D1BD0" w:rsidRDefault="00D3691B" w:rsidP="00A76F4A">
      <w:pPr>
        <w:ind w:right="12"/>
        <w:jc w:val="both"/>
      </w:pPr>
      <w:r w:rsidRPr="004D1BD0">
        <w:t>La formation vise aussi à renforcer leur compétence en matière d'évaluation environnementale, de contrôle environnemental des travaux et de suivi environnemental afin qu'ils puissent jouer leur rôle respectif de manière plus efficace dans la mise en œuvre des projets.</w:t>
      </w:r>
    </w:p>
    <w:p w:rsidR="00D3691B" w:rsidRPr="00A05698" w:rsidRDefault="00D3691B" w:rsidP="00A76F4A">
      <w:pPr>
        <w:ind w:right="12"/>
        <w:jc w:val="both"/>
      </w:pPr>
      <w:r w:rsidRPr="004D1BD0">
        <w:t xml:space="preserve">Des formateurs qualifiés seront recrutés par le projet </w:t>
      </w:r>
      <w:r w:rsidR="000B6994" w:rsidRPr="004D1BD0">
        <w:t xml:space="preserve">PUSA </w:t>
      </w:r>
      <w:r w:rsidRPr="004D1BD0">
        <w:t>et appuyés, au be</w:t>
      </w:r>
      <w:r w:rsidR="000B6994" w:rsidRPr="004D1BD0">
        <w:t>soin, par les agents de l’AAAC</w:t>
      </w:r>
      <w:r w:rsidRPr="004D1BD0">
        <w:t xml:space="preserve"> avec l'appui de consultants nationaux en évaluation environnementale et</w:t>
      </w:r>
      <w:r w:rsidRPr="00A05698">
        <w:t xml:space="preserve"> sociale.</w:t>
      </w:r>
    </w:p>
    <w:p w:rsidR="00D3691B" w:rsidRPr="004D1BD0" w:rsidRDefault="00D3691B" w:rsidP="00A76F4A">
      <w:pPr>
        <w:pStyle w:val="PargrafodaLista"/>
        <w:numPr>
          <w:ilvl w:val="0"/>
          <w:numId w:val="61"/>
        </w:numPr>
        <w:spacing w:before="120" w:after="120" w:line="240" w:lineRule="auto"/>
        <w:ind w:left="426" w:right="12"/>
        <w:jc w:val="both"/>
        <w:rPr>
          <w:rFonts w:ascii="Times New Roman" w:hAnsi="Times New Roman"/>
          <w:b/>
          <w:i/>
          <w:sz w:val="24"/>
          <w:szCs w:val="24"/>
        </w:rPr>
      </w:pPr>
      <w:r w:rsidRPr="004D1BD0">
        <w:rPr>
          <w:rFonts w:ascii="Times New Roman" w:hAnsi="Times New Roman"/>
          <w:b/>
          <w:i/>
          <w:sz w:val="24"/>
          <w:szCs w:val="24"/>
        </w:rPr>
        <w:t>Modules de formation</w:t>
      </w:r>
    </w:p>
    <w:p w:rsidR="00D3691B" w:rsidRPr="004D1BD0" w:rsidRDefault="00D3691B" w:rsidP="00A76F4A">
      <w:pPr>
        <w:ind w:right="12"/>
        <w:jc w:val="both"/>
      </w:pPr>
      <w:r w:rsidRPr="004D1BD0">
        <w:t>Les modules de formation ont été élaborés sur la base de consultations itératives des partenaires ayant signé un protocole d'accord avec le projet</w:t>
      </w:r>
      <w:r w:rsidR="000B6994" w:rsidRPr="004D1BD0">
        <w:t xml:space="preserve"> PUSA</w:t>
      </w:r>
      <w:r w:rsidRPr="004D1BD0">
        <w:t xml:space="preserve">. </w:t>
      </w:r>
    </w:p>
    <w:p w:rsidR="00D3691B" w:rsidRPr="004D1BD0" w:rsidRDefault="00D3691B" w:rsidP="00A76F4A">
      <w:pPr>
        <w:ind w:right="12"/>
        <w:jc w:val="both"/>
      </w:pPr>
      <w:r w:rsidRPr="004D1BD0">
        <w:t xml:space="preserve">Les activités de renforcement vont accompagner la mise en œuvre des actions de production agricoles, </w:t>
      </w:r>
      <w:r w:rsidR="00A40864" w:rsidRPr="004D1BD0">
        <w:t xml:space="preserve">de la gestion </w:t>
      </w:r>
      <w:r w:rsidR="000E1A4B" w:rsidRPr="004D1BD0">
        <w:t>des risques</w:t>
      </w:r>
      <w:r w:rsidR="00A40864" w:rsidRPr="004D1BD0">
        <w:t xml:space="preserve"> </w:t>
      </w:r>
      <w:r w:rsidR="00D74B9C" w:rsidRPr="004D1BD0">
        <w:t xml:space="preserve">liées à la </w:t>
      </w:r>
      <w:r w:rsidR="001D67C3" w:rsidRPr="004D1BD0">
        <w:t>pandémie, de</w:t>
      </w:r>
      <w:r w:rsidRPr="004D1BD0">
        <w:t xml:space="preserve"> la gestion des pesticides et de la gestion des </w:t>
      </w:r>
      <w:r w:rsidR="008829BD" w:rsidRPr="004D1BD0">
        <w:t>déchets</w:t>
      </w:r>
      <w:r w:rsidRPr="004D1BD0">
        <w:t>. Il s’agira de doter les producteurs de nouvelles capacités techniques et organisationnelles, en partant de la situation existante. L’</w:t>
      </w:r>
      <w:r w:rsidR="001D67C3" w:rsidRPr="004D1BD0">
        <w:t>objectif</w:t>
      </w:r>
      <w:r w:rsidRPr="004D1BD0">
        <w:t xml:space="preserve"> est d’optimiser la valorisation des infrastructures mis en place tout en assurant un transfert de compétences en vue de pérennisation. </w:t>
      </w:r>
    </w:p>
    <w:p w:rsidR="00D3691B" w:rsidRPr="004D1BD0" w:rsidRDefault="00D3691B" w:rsidP="00A76F4A">
      <w:pPr>
        <w:ind w:right="12"/>
        <w:jc w:val="both"/>
      </w:pPr>
      <w:r w:rsidRPr="004D1BD0">
        <w:t>Pour ce faire, des programmes de formation, d’appui à l’organisation et à la structuration s</w:t>
      </w:r>
      <w:r w:rsidR="004F3A22" w:rsidRPr="004D1BD0">
        <w:t>eront menées</w:t>
      </w:r>
      <w:r w:rsidRPr="004D1BD0">
        <w:t xml:space="preserve"> pour les bénéficiaires directs des activités. Un accent sera également mis sur le renforcement des capacités des acteurs locaux impliqués dans la mise en œuvre des actions, comme les collectivités </w:t>
      </w:r>
      <w:r w:rsidR="001D67C3" w:rsidRPr="004D1BD0">
        <w:t>territoriales.</w:t>
      </w:r>
    </w:p>
    <w:p w:rsidR="00237E86" w:rsidRPr="004D1BD0" w:rsidRDefault="00D3691B" w:rsidP="00A76F4A">
      <w:pPr>
        <w:ind w:right="12"/>
        <w:jc w:val="both"/>
      </w:pPr>
      <w:r w:rsidRPr="004D1BD0">
        <w:t xml:space="preserve">Dans le but d’accompagner la valorisation des infrastructures de l’Agropole centre, diverses mesures de formation seront mises en </w:t>
      </w:r>
      <w:r w:rsidR="001D67C3" w:rsidRPr="004D1BD0">
        <w:t>œuvre</w:t>
      </w:r>
      <w:r w:rsidRPr="004D1BD0">
        <w:t xml:space="preserve"> pour accompagner les bénéficiaires du projet.</w:t>
      </w:r>
    </w:p>
    <w:p w:rsidR="00D3691B" w:rsidRPr="004D1BD0" w:rsidRDefault="00D3691B" w:rsidP="00A76F4A">
      <w:pPr>
        <w:pStyle w:val="PargrafodaLista"/>
        <w:numPr>
          <w:ilvl w:val="0"/>
          <w:numId w:val="87"/>
        </w:numPr>
        <w:spacing w:before="40" w:after="40" w:line="240" w:lineRule="auto"/>
        <w:ind w:left="851" w:right="12" w:hanging="284"/>
        <w:jc w:val="both"/>
        <w:rPr>
          <w:rFonts w:ascii="Times New Roman" w:hAnsi="Times New Roman"/>
          <w:b/>
          <w:i/>
          <w:sz w:val="24"/>
          <w:szCs w:val="24"/>
        </w:rPr>
      </w:pPr>
      <w:r w:rsidRPr="004D1BD0">
        <w:rPr>
          <w:rFonts w:ascii="Times New Roman" w:hAnsi="Times New Roman"/>
          <w:b/>
          <w:i/>
          <w:sz w:val="24"/>
          <w:szCs w:val="24"/>
        </w:rPr>
        <w:lastRenderedPageBreak/>
        <w:t>Formation sur les activités agricoles portant</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Sur les techniques de mise en place et de suivi des pépinières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Sur les techniques de repiquage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Sur les techniques de fertilisation (minérale et organique)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Sur les techniques d'entretien des cultures (surveillance phytosanitaire)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Sur les techniques de récolte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Sur les techniques d’utilisation des appareils de traitement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Sur les techniques de stockage et de conservation des produits agricoles ;</w:t>
      </w:r>
    </w:p>
    <w:p w:rsidR="00D3691B" w:rsidRPr="00527FF0" w:rsidRDefault="00D3691B" w:rsidP="00A76F4A">
      <w:pPr>
        <w:pStyle w:val="PargrafodaLista"/>
        <w:numPr>
          <w:ilvl w:val="0"/>
          <w:numId w:val="86"/>
        </w:numPr>
        <w:spacing w:before="40" w:after="40" w:line="240" w:lineRule="auto"/>
        <w:ind w:left="1134" w:right="12" w:hanging="357"/>
        <w:contextualSpacing w:val="0"/>
        <w:jc w:val="both"/>
        <w:rPr>
          <w:rFonts w:ascii="Times New Roman" w:hAnsi="Times New Roman"/>
          <w:sz w:val="22"/>
          <w:szCs w:val="22"/>
        </w:rPr>
      </w:pPr>
      <w:r w:rsidRPr="00527FF0">
        <w:rPr>
          <w:rFonts w:ascii="Times New Roman" w:hAnsi="Times New Roman"/>
          <w:sz w:val="22"/>
          <w:szCs w:val="22"/>
        </w:rPr>
        <w:t>Sur les systèmes d’information du marché.</w:t>
      </w:r>
    </w:p>
    <w:p w:rsidR="00D3691B" w:rsidRPr="004D1BD0" w:rsidRDefault="00D3691B" w:rsidP="00A76F4A">
      <w:pPr>
        <w:pStyle w:val="PargrafodaLista"/>
        <w:numPr>
          <w:ilvl w:val="0"/>
          <w:numId w:val="87"/>
        </w:numPr>
        <w:spacing w:before="40" w:after="40" w:line="240" w:lineRule="auto"/>
        <w:ind w:left="851" w:right="12" w:hanging="284"/>
        <w:jc w:val="both"/>
        <w:rPr>
          <w:rFonts w:ascii="Times New Roman" w:hAnsi="Times New Roman"/>
          <w:b/>
          <w:i/>
          <w:sz w:val="24"/>
          <w:szCs w:val="24"/>
        </w:rPr>
      </w:pPr>
      <w:r w:rsidRPr="004D1BD0">
        <w:rPr>
          <w:rFonts w:ascii="Times New Roman" w:hAnsi="Times New Roman"/>
          <w:b/>
          <w:i/>
          <w:sz w:val="24"/>
          <w:szCs w:val="24"/>
        </w:rPr>
        <w:t xml:space="preserve">Formation sur les évaluations environnementales et sociales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 xml:space="preserve">Bonne connaissance des procédures d’organisation et de conduite des EIES ;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 xml:space="preserve">Appréciation objective du contenu des rapports d’EIES ; </w:t>
      </w:r>
    </w:p>
    <w:p w:rsidR="008205AD"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Connaissance des procédures environ</w:t>
      </w:r>
      <w:r w:rsidR="002078CA" w:rsidRPr="00527FF0">
        <w:rPr>
          <w:rFonts w:ascii="Times New Roman" w:hAnsi="Times New Roman"/>
          <w:sz w:val="22"/>
          <w:szCs w:val="22"/>
        </w:rPr>
        <w:t>nementales et sociales de la Banque Mondiale</w:t>
      </w:r>
      <w:r w:rsidR="008205AD" w:rsidRPr="00527FF0">
        <w:rPr>
          <w:rFonts w:ascii="Times New Roman" w:hAnsi="Times New Roman"/>
          <w:sz w:val="22"/>
          <w:szCs w:val="22"/>
        </w:rPr>
        <w:t xml:space="preserve"> (dont ces liées a la prévention et repose aux EAS/HS;</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 xml:space="preserve"> Utilisation des rapports d’EIES dans l’appréciation de la situation de référence, des résultats et des impacts des activités du Projet ;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 xml:space="preserve">Connaissance du processus de suivi de la mise en œuvre des EIES ;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Intégration du genre dans les activités de développement rural.</w:t>
      </w:r>
    </w:p>
    <w:p w:rsidR="00D3691B" w:rsidRPr="004D1BD0" w:rsidRDefault="00D3691B" w:rsidP="00A76F4A">
      <w:pPr>
        <w:pStyle w:val="PargrafodaLista"/>
        <w:numPr>
          <w:ilvl w:val="0"/>
          <w:numId w:val="87"/>
        </w:numPr>
        <w:spacing w:before="40" w:after="40" w:line="240" w:lineRule="auto"/>
        <w:ind w:left="851" w:right="12" w:hanging="284"/>
        <w:jc w:val="both"/>
        <w:rPr>
          <w:rFonts w:ascii="Times New Roman" w:hAnsi="Times New Roman"/>
          <w:b/>
          <w:i/>
          <w:sz w:val="24"/>
          <w:szCs w:val="24"/>
        </w:rPr>
      </w:pPr>
      <w:r w:rsidRPr="004D1BD0">
        <w:rPr>
          <w:rFonts w:ascii="Times New Roman" w:hAnsi="Times New Roman"/>
          <w:b/>
          <w:i/>
          <w:sz w:val="24"/>
          <w:szCs w:val="24"/>
        </w:rPr>
        <w:t xml:space="preserve"> Formation sur le suivi environnemental et social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 xml:space="preserve">Comment vérifier l’introduction dans les contrats de l’entrepreneur chargé des travaux des clauses environnementales et vérifier la conformité de ces dites clauses ;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 xml:space="preserve">Comment faire respecter et appliquer les lois et règlements sur l’environnement ;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 xml:space="preserve">Comment recommander des mesures appropriées en vue de minimiser les impacts ;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Comment faire le point sur le suivi général des recommandations émises dans l’étude d’impact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 xml:space="preserve">Comment s’assurer de l’effectivité de la mise en œuvre des actions de sensibilisation des populations sur la protection et la gestion de l’environnement ; </w:t>
      </w:r>
    </w:p>
    <w:p w:rsidR="00D3691B" w:rsidRPr="00527FF0"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527FF0">
        <w:rPr>
          <w:rFonts w:ascii="Times New Roman" w:hAnsi="Times New Roman"/>
          <w:sz w:val="22"/>
          <w:szCs w:val="22"/>
        </w:rPr>
        <w:t xml:space="preserve">Comment s’assurer de l’effectivité de la prise en compte du genre. </w:t>
      </w:r>
    </w:p>
    <w:p w:rsidR="00D3691B" w:rsidRPr="004D1BD0" w:rsidRDefault="00D3691B" w:rsidP="00A76F4A">
      <w:pPr>
        <w:pStyle w:val="PargrafodaLista"/>
        <w:numPr>
          <w:ilvl w:val="0"/>
          <w:numId w:val="87"/>
        </w:numPr>
        <w:spacing w:before="40" w:after="40" w:line="240" w:lineRule="auto"/>
        <w:ind w:left="851" w:right="12" w:hanging="284"/>
        <w:jc w:val="both"/>
        <w:rPr>
          <w:rFonts w:ascii="Times New Roman" w:hAnsi="Times New Roman"/>
          <w:b/>
          <w:i/>
          <w:sz w:val="24"/>
          <w:szCs w:val="24"/>
        </w:rPr>
      </w:pPr>
      <w:r w:rsidRPr="004D1BD0">
        <w:rPr>
          <w:rFonts w:ascii="Times New Roman" w:hAnsi="Times New Roman"/>
          <w:b/>
          <w:i/>
          <w:sz w:val="24"/>
          <w:szCs w:val="24"/>
        </w:rPr>
        <w:t xml:space="preserve">Formation sur la gestion des ressources naturelles et de l’environnement (GRNE)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Bonne connaissance des objectifs de la GRNE dans le cadre d’un développement durable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Bonne identification de la situation de référence, des contraintes et atouts d’une bonne GRNE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Meilleure connaissance des principes, techniques et outils de conservation dura</w:t>
      </w:r>
      <w:r w:rsidR="00D7539E">
        <w:rPr>
          <w:rFonts w:ascii="Times New Roman" w:hAnsi="Times New Roman"/>
          <w:sz w:val="22"/>
          <w:szCs w:val="22"/>
        </w:rPr>
        <w:t xml:space="preserve">ble des ressources naturelles </w:t>
      </w:r>
    </w:p>
    <w:p w:rsidR="00D3691B" w:rsidRPr="00D7539E" w:rsidRDefault="00E04182"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Élaboration</w:t>
      </w:r>
      <w:r w:rsidR="00D3691B" w:rsidRPr="00D7539E">
        <w:rPr>
          <w:rFonts w:ascii="Times New Roman" w:hAnsi="Times New Roman"/>
          <w:sz w:val="22"/>
          <w:szCs w:val="22"/>
        </w:rPr>
        <w:t xml:space="preserve"> d’indicateurs de suivi/évaluation des activités de GRNE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Formation sur la gestion de l’eau d’alimentation humaine et sur la lutte contre les vecteurs des maladies liées à l’eau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Bonne connaissance par rapport aux développements durables et le changement climatique.</w:t>
      </w:r>
    </w:p>
    <w:p w:rsidR="00D3691B" w:rsidRPr="004D1BD0" w:rsidRDefault="00D3691B" w:rsidP="00A76F4A">
      <w:pPr>
        <w:pStyle w:val="PargrafodaLista"/>
        <w:numPr>
          <w:ilvl w:val="0"/>
          <w:numId w:val="87"/>
        </w:numPr>
        <w:spacing w:before="40" w:after="40" w:line="240" w:lineRule="auto"/>
        <w:ind w:left="851" w:right="12" w:hanging="284"/>
        <w:jc w:val="both"/>
        <w:rPr>
          <w:rFonts w:ascii="Times New Roman" w:hAnsi="Times New Roman"/>
          <w:b/>
          <w:i/>
          <w:sz w:val="24"/>
          <w:szCs w:val="24"/>
        </w:rPr>
      </w:pPr>
      <w:r w:rsidRPr="004D1BD0">
        <w:rPr>
          <w:rFonts w:ascii="Times New Roman" w:hAnsi="Times New Roman"/>
          <w:b/>
          <w:i/>
          <w:sz w:val="24"/>
          <w:szCs w:val="24"/>
        </w:rPr>
        <w:t xml:space="preserve">Formation sur la gestion des pesticides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Information sur les risques ainsi que les conseils de santé et de sécurité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Connaissances de base sur les procédures de manipulation et de gestion des risques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Port des équipements de protection et de sécurité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Risques liés au transport des pesticides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Procédures de manipulation, chargement et déchargement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Stockage des pesticides en milieu paysan ;</w:t>
      </w:r>
      <w:r w:rsidR="001F5CCB" w:rsidRPr="00D7539E">
        <w:rPr>
          <w:rFonts w:ascii="Times New Roman" w:hAnsi="Times New Roman"/>
          <w:sz w:val="22"/>
          <w:szCs w:val="22"/>
        </w:rPr>
        <w:t> </w:t>
      </w:r>
      <w:r w:rsidRPr="00D7539E">
        <w:rPr>
          <w:rFonts w:ascii="Times New Roman" w:hAnsi="Times New Roman"/>
          <w:sz w:val="22"/>
          <w:szCs w:val="22"/>
        </w:rPr>
        <w:t xml:space="preserve">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Gestion des emballages et pesticides usagés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Gestion des pesticides en cas d’épandage accidentel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Les mesures d’urgence et de secours en cas d’intoxication aux produits phytosanitaires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Le contrôle des émissions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lastRenderedPageBreak/>
        <w:t xml:space="preserve">La surveillance du processus et des résidus ; </w:t>
      </w:r>
    </w:p>
    <w:p w:rsidR="00D3691B" w:rsidRPr="00D7539E" w:rsidRDefault="00D3691B"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Elimination des stocks périmés.</w:t>
      </w:r>
    </w:p>
    <w:p w:rsidR="002F5402" w:rsidRPr="00974433" w:rsidRDefault="002F5402" w:rsidP="00A76F4A">
      <w:pPr>
        <w:pStyle w:val="PargrafodaLista"/>
        <w:numPr>
          <w:ilvl w:val="0"/>
          <w:numId w:val="87"/>
        </w:numPr>
        <w:spacing w:before="40" w:after="40" w:line="240" w:lineRule="auto"/>
        <w:ind w:left="851" w:right="12" w:hanging="284"/>
        <w:jc w:val="both"/>
        <w:rPr>
          <w:rFonts w:ascii="Times New Roman" w:hAnsi="Times New Roman"/>
          <w:b/>
          <w:i/>
          <w:sz w:val="24"/>
          <w:szCs w:val="24"/>
        </w:rPr>
      </w:pPr>
      <w:r w:rsidRPr="00974433">
        <w:rPr>
          <w:rFonts w:ascii="Times New Roman" w:hAnsi="Times New Roman"/>
          <w:b/>
          <w:i/>
          <w:sz w:val="24"/>
          <w:szCs w:val="24"/>
        </w:rPr>
        <w:t>Formation sur la gestion de risques d’EAS/HS</w:t>
      </w:r>
    </w:p>
    <w:p w:rsidR="002F5402" w:rsidRPr="00D7539E" w:rsidRDefault="002F5402"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Les risques d’EAS/HS et leurs conséquences</w:t>
      </w:r>
    </w:p>
    <w:p w:rsidR="002F5402" w:rsidRPr="00D7539E" w:rsidRDefault="002F5402"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Le contenu du code de bonne conduite prohibant tout acte d’EAS/HS</w:t>
      </w:r>
    </w:p>
    <w:p w:rsidR="002F5402" w:rsidRPr="00D7539E" w:rsidRDefault="002F5402" w:rsidP="00A76F4A">
      <w:pPr>
        <w:pStyle w:val="PargrafodaLista"/>
        <w:numPr>
          <w:ilvl w:val="0"/>
          <w:numId w:val="86"/>
        </w:numPr>
        <w:spacing w:before="40" w:after="40" w:line="240" w:lineRule="auto"/>
        <w:ind w:left="1134" w:right="12"/>
        <w:jc w:val="both"/>
        <w:rPr>
          <w:rFonts w:ascii="Times New Roman" w:hAnsi="Times New Roman"/>
          <w:sz w:val="22"/>
          <w:szCs w:val="22"/>
        </w:rPr>
      </w:pPr>
      <w:r w:rsidRPr="00D7539E">
        <w:rPr>
          <w:rFonts w:ascii="Times New Roman" w:hAnsi="Times New Roman"/>
          <w:sz w:val="22"/>
          <w:szCs w:val="22"/>
        </w:rPr>
        <w:t xml:space="preserve">Le processus du MGP sensible à l’EAS/HS, y compris le circuit de référencement vers les services spécialisés destinés aux survivant(e)s de VBG dans les zones d’intervention du projet </w:t>
      </w:r>
    </w:p>
    <w:p w:rsidR="0005793E" w:rsidRPr="004D1BD0" w:rsidRDefault="0005793E" w:rsidP="00A76F4A">
      <w:pPr>
        <w:pStyle w:val="PargrafodaLista"/>
        <w:spacing w:before="40" w:after="40" w:line="240" w:lineRule="auto"/>
        <w:ind w:left="0" w:right="12"/>
        <w:rPr>
          <w:rFonts w:ascii="Times New Roman" w:hAnsi="Times New Roman"/>
          <w:sz w:val="24"/>
          <w:szCs w:val="24"/>
        </w:rPr>
      </w:pPr>
    </w:p>
    <w:p w:rsidR="00D3691B" w:rsidRPr="004D1BD0" w:rsidRDefault="00D3691B" w:rsidP="00A76F4A">
      <w:pPr>
        <w:pStyle w:val="PargrafodaLista"/>
        <w:numPr>
          <w:ilvl w:val="0"/>
          <w:numId w:val="87"/>
        </w:numPr>
        <w:spacing w:before="40" w:after="40" w:line="240" w:lineRule="auto"/>
        <w:ind w:left="851" w:right="12" w:hanging="284"/>
        <w:jc w:val="both"/>
        <w:rPr>
          <w:rFonts w:ascii="Times New Roman" w:hAnsi="Times New Roman"/>
          <w:b/>
          <w:i/>
          <w:sz w:val="24"/>
          <w:szCs w:val="24"/>
        </w:rPr>
      </w:pPr>
      <w:r w:rsidRPr="004D1BD0">
        <w:rPr>
          <w:rFonts w:ascii="Times New Roman" w:hAnsi="Times New Roman"/>
          <w:b/>
          <w:i/>
          <w:sz w:val="24"/>
          <w:szCs w:val="24"/>
        </w:rPr>
        <w:t>Information et Sensibilisation</w:t>
      </w:r>
    </w:p>
    <w:p w:rsidR="009B7E08" w:rsidRDefault="00D3691B" w:rsidP="00A76F4A">
      <w:pPr>
        <w:ind w:right="12"/>
        <w:jc w:val="both"/>
      </w:pPr>
      <w:r w:rsidRPr="004D1BD0">
        <w:t xml:space="preserve">Cette partie est destinée aux agents du ministère de </w:t>
      </w:r>
      <w:r w:rsidR="008334B0" w:rsidRPr="004D1BD0">
        <w:t>l’agriculture</w:t>
      </w:r>
      <w:r w:rsidRPr="004D1BD0">
        <w:t xml:space="preserve"> qui devrait se charger de sa mise en œuvre lors des séances de sensibilisation et de </w:t>
      </w:r>
      <w:r w:rsidR="004B17C4" w:rsidRPr="004D1BD0">
        <w:t xml:space="preserve">mobilisation </w:t>
      </w:r>
      <w:r w:rsidR="004B17C4">
        <w:t>des</w:t>
      </w:r>
      <w:r w:rsidR="00306359">
        <w:t xml:space="preserve"> </w:t>
      </w:r>
      <w:r w:rsidR="009610B4">
        <w:t>tra</w:t>
      </w:r>
      <w:r w:rsidR="00EC7FEA">
        <w:t xml:space="preserve">vailleurs, </w:t>
      </w:r>
      <w:r w:rsidRPr="004D1BD0">
        <w:t>des populations</w:t>
      </w:r>
      <w:r w:rsidR="00D7539E">
        <w:t xml:space="preserve"> autour des activités du projet</w:t>
      </w:r>
    </w:p>
    <w:p w:rsidR="00D45EF4" w:rsidRPr="00D7539E" w:rsidRDefault="00D45EF4" w:rsidP="00F92390">
      <w:pPr>
        <w:autoSpaceDE w:val="0"/>
        <w:autoSpaceDN w:val="0"/>
        <w:adjustRightInd w:val="0"/>
        <w:ind w:right="12"/>
        <w:jc w:val="both"/>
      </w:pPr>
    </w:p>
    <w:p w:rsidR="00D3691B" w:rsidRPr="00A05698" w:rsidRDefault="00D3691B" w:rsidP="00A76F4A">
      <w:pPr>
        <w:pStyle w:val="Primeiroavanodecorpodetexto2"/>
        <w:spacing w:after="0" w:line="240" w:lineRule="auto"/>
        <w:ind w:right="12"/>
        <w:jc w:val="center"/>
        <w:rPr>
          <w:rFonts w:ascii="Times New Roman" w:hAnsi="Times New Roman"/>
          <w:b/>
        </w:rPr>
      </w:pPr>
      <w:bookmarkStart w:id="380" w:name="_Toc55460647"/>
      <w:bookmarkStart w:id="381" w:name="_Toc75503457"/>
      <w:r w:rsidRPr="00A05698">
        <w:rPr>
          <w:rFonts w:ascii="Times New Roman" w:hAnsi="Times New Roman"/>
          <w:b/>
        </w:rPr>
        <w:t xml:space="preserve">Tableau </w:t>
      </w:r>
      <w:r w:rsidRPr="00A05698">
        <w:rPr>
          <w:rFonts w:ascii="Times New Roman" w:hAnsi="Times New Roman"/>
          <w:b/>
        </w:rPr>
        <w:fldChar w:fldCharType="begin"/>
      </w:r>
      <w:r w:rsidRPr="00A05698">
        <w:rPr>
          <w:rFonts w:ascii="Times New Roman" w:hAnsi="Times New Roman"/>
          <w:b/>
        </w:rPr>
        <w:instrText xml:space="preserve"> </w:instrText>
      </w:r>
      <w:r w:rsidR="006C5620">
        <w:rPr>
          <w:rFonts w:ascii="Times New Roman" w:hAnsi="Times New Roman"/>
          <w:b/>
        </w:rPr>
        <w:instrText>SEQ</w:instrText>
      </w:r>
      <w:r w:rsidRPr="00A05698">
        <w:rPr>
          <w:rFonts w:ascii="Times New Roman" w:hAnsi="Times New Roman"/>
          <w:b/>
        </w:rPr>
        <w:instrText xml:space="preserve"> Tableau \* ARABIC </w:instrText>
      </w:r>
      <w:r w:rsidRPr="00A05698">
        <w:rPr>
          <w:rFonts w:ascii="Times New Roman" w:hAnsi="Times New Roman"/>
          <w:b/>
        </w:rPr>
        <w:fldChar w:fldCharType="separate"/>
      </w:r>
      <w:r w:rsidR="00F92390">
        <w:rPr>
          <w:rFonts w:ascii="Times New Roman" w:hAnsi="Times New Roman"/>
          <w:b/>
          <w:noProof/>
        </w:rPr>
        <w:t>24</w:t>
      </w:r>
      <w:r w:rsidRPr="00A05698">
        <w:rPr>
          <w:rFonts w:ascii="Times New Roman" w:hAnsi="Times New Roman"/>
          <w:b/>
        </w:rPr>
        <w:fldChar w:fldCharType="end"/>
      </w:r>
      <w:r w:rsidRPr="00A05698">
        <w:rPr>
          <w:rFonts w:ascii="Times New Roman" w:hAnsi="Times New Roman"/>
          <w:b/>
        </w:rPr>
        <w:t>. Thèmes développés dans la sensibilisation et mobilisation des populations</w:t>
      </w:r>
      <w:bookmarkEnd w:id="380"/>
      <w:bookmarkEnd w:id="381"/>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4814"/>
        <w:gridCol w:w="2552"/>
      </w:tblGrid>
      <w:tr w:rsidR="00D3691B" w:rsidRPr="00D7539E" w:rsidTr="008142E8">
        <w:trPr>
          <w:trHeight w:val="397"/>
          <w:jc w:val="center"/>
        </w:trPr>
        <w:tc>
          <w:tcPr>
            <w:tcW w:w="2552" w:type="dxa"/>
            <w:tcBorders>
              <w:top w:val="single" w:sz="4" w:space="0" w:color="5B9BD5"/>
              <w:left w:val="single" w:sz="4" w:space="0" w:color="5B9BD5"/>
              <w:bottom w:val="single" w:sz="4" w:space="0" w:color="5B9BD5"/>
              <w:right w:val="single" w:sz="4" w:space="0" w:color="5B9BD5"/>
            </w:tcBorders>
            <w:shd w:val="clear" w:color="auto" w:fill="BDD6EE"/>
            <w:vAlign w:val="center"/>
          </w:tcPr>
          <w:p w:rsidR="00D3691B" w:rsidRPr="00D7539E" w:rsidRDefault="00D3691B" w:rsidP="00A76F4A">
            <w:pPr>
              <w:ind w:right="12"/>
              <w:jc w:val="center"/>
              <w:rPr>
                <w:rFonts w:eastAsia="Calibri"/>
                <w:b/>
                <w:sz w:val="21"/>
                <w:szCs w:val="21"/>
              </w:rPr>
            </w:pPr>
            <w:r w:rsidRPr="00D7539E">
              <w:rPr>
                <w:rFonts w:eastAsia="Calibri"/>
                <w:b/>
                <w:sz w:val="21"/>
                <w:szCs w:val="21"/>
              </w:rPr>
              <w:t>Acteurs cibles</w:t>
            </w:r>
          </w:p>
        </w:tc>
        <w:tc>
          <w:tcPr>
            <w:tcW w:w="4814" w:type="dxa"/>
            <w:tcBorders>
              <w:top w:val="single" w:sz="4" w:space="0" w:color="5B9BD5"/>
              <w:left w:val="single" w:sz="4" w:space="0" w:color="5B9BD5"/>
              <w:bottom w:val="single" w:sz="4" w:space="0" w:color="5B9BD5"/>
              <w:right w:val="single" w:sz="4" w:space="0" w:color="5B9BD5"/>
            </w:tcBorders>
            <w:shd w:val="clear" w:color="auto" w:fill="BDD6EE"/>
            <w:vAlign w:val="center"/>
          </w:tcPr>
          <w:p w:rsidR="00D3691B" w:rsidRPr="00D7539E" w:rsidRDefault="00D3691B" w:rsidP="00A76F4A">
            <w:pPr>
              <w:ind w:right="12"/>
              <w:rPr>
                <w:rFonts w:eastAsia="Calibri"/>
                <w:b/>
                <w:sz w:val="21"/>
                <w:szCs w:val="21"/>
              </w:rPr>
            </w:pPr>
            <w:r w:rsidRPr="00D7539E">
              <w:rPr>
                <w:rFonts w:eastAsia="Calibri"/>
                <w:b/>
                <w:sz w:val="21"/>
                <w:szCs w:val="21"/>
              </w:rPr>
              <w:t>Thèmes développés</w:t>
            </w:r>
          </w:p>
        </w:tc>
        <w:tc>
          <w:tcPr>
            <w:tcW w:w="2552" w:type="dxa"/>
            <w:tcBorders>
              <w:top w:val="single" w:sz="4" w:space="0" w:color="5B9BD5"/>
              <w:left w:val="single" w:sz="4" w:space="0" w:color="5B9BD5"/>
              <w:bottom w:val="single" w:sz="4" w:space="0" w:color="5B9BD5"/>
              <w:right w:val="single" w:sz="4" w:space="0" w:color="5B9BD5"/>
            </w:tcBorders>
            <w:shd w:val="clear" w:color="auto" w:fill="BDD6EE"/>
            <w:vAlign w:val="center"/>
          </w:tcPr>
          <w:p w:rsidR="00D3691B" w:rsidRPr="00D7539E" w:rsidRDefault="00D3691B" w:rsidP="00A76F4A">
            <w:pPr>
              <w:ind w:right="12"/>
              <w:rPr>
                <w:rFonts w:eastAsia="Calibri"/>
                <w:b/>
                <w:sz w:val="21"/>
                <w:szCs w:val="21"/>
              </w:rPr>
            </w:pPr>
            <w:r w:rsidRPr="00D7539E">
              <w:rPr>
                <w:rFonts w:eastAsia="Calibri"/>
                <w:b/>
                <w:sz w:val="21"/>
                <w:szCs w:val="21"/>
              </w:rPr>
              <w:t>Résultats attendus</w:t>
            </w:r>
          </w:p>
        </w:tc>
      </w:tr>
      <w:tr w:rsidR="00D3691B" w:rsidRPr="00D7539E" w:rsidTr="008142E8">
        <w:trPr>
          <w:jc w:val="center"/>
        </w:trPr>
        <w:tc>
          <w:tcPr>
            <w:tcW w:w="255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750154" w:rsidRPr="00D7539E" w:rsidRDefault="00750154"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Travailleurs</w:t>
            </w:r>
            <w:r w:rsidR="002E4491" w:rsidRPr="00D7539E">
              <w:rPr>
                <w:rFonts w:eastAsia="Calibri"/>
                <w:sz w:val="21"/>
                <w:szCs w:val="21"/>
              </w:rPr>
              <w:t> ;</w:t>
            </w:r>
          </w:p>
          <w:p w:rsidR="00D3691B" w:rsidRPr="00D7539E"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Populations,</w:t>
            </w:r>
          </w:p>
          <w:p w:rsidR="00D3691B" w:rsidRPr="00D7539E"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Membres des Conseils départementaux</w:t>
            </w:r>
          </w:p>
          <w:p w:rsidR="00D3691B" w:rsidRPr="00D7539E"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Membres des Conseils municipaux</w:t>
            </w:r>
          </w:p>
          <w:p w:rsidR="00D3691B" w:rsidRPr="00D7539E"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Membres des Cons</w:t>
            </w:r>
            <w:r w:rsidR="004A0DCE" w:rsidRPr="00D7539E">
              <w:rPr>
                <w:rFonts w:eastAsia="Calibri"/>
                <w:sz w:val="21"/>
                <w:szCs w:val="21"/>
              </w:rPr>
              <w:t>eils Villageois</w:t>
            </w:r>
          </w:p>
          <w:p w:rsidR="00D3691B" w:rsidRPr="00D7539E"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 xml:space="preserve">Associations de Producteurs agricoles et (OP, ONG, </w:t>
            </w:r>
            <w:r w:rsidR="00897E5D" w:rsidRPr="00D7539E">
              <w:rPr>
                <w:rFonts w:eastAsia="Calibri"/>
                <w:sz w:val="21"/>
                <w:szCs w:val="21"/>
              </w:rPr>
              <w:t xml:space="preserve">ANAG ; </w:t>
            </w:r>
            <w:r w:rsidRPr="00D7539E">
              <w:rPr>
                <w:rFonts w:eastAsia="Calibri"/>
                <w:sz w:val="21"/>
                <w:szCs w:val="21"/>
              </w:rPr>
              <w:t>etc.)</w:t>
            </w:r>
          </w:p>
        </w:tc>
        <w:tc>
          <w:tcPr>
            <w:tcW w:w="4814"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Default="00D3691B" w:rsidP="00A76F4A">
            <w:pPr>
              <w:ind w:right="12"/>
              <w:rPr>
                <w:rFonts w:eastAsia="Calibri"/>
                <w:sz w:val="21"/>
                <w:szCs w:val="21"/>
              </w:rPr>
            </w:pPr>
            <w:r w:rsidRPr="00D7539E">
              <w:rPr>
                <w:rFonts w:eastAsia="Calibri"/>
                <w:sz w:val="21"/>
                <w:szCs w:val="21"/>
              </w:rPr>
              <w:t>La nature de</w:t>
            </w:r>
            <w:r w:rsidR="00E9718C" w:rsidRPr="00D7539E">
              <w:rPr>
                <w:rFonts w:eastAsia="Calibri"/>
                <w:sz w:val="21"/>
                <w:szCs w:val="21"/>
              </w:rPr>
              <w:t>s</w:t>
            </w:r>
            <w:r w:rsidRPr="00D7539E">
              <w:rPr>
                <w:rFonts w:eastAsia="Calibri"/>
                <w:sz w:val="21"/>
                <w:szCs w:val="21"/>
              </w:rPr>
              <w:t xml:space="preserve"> travaux</w:t>
            </w:r>
          </w:p>
          <w:p w:rsidR="006D19C6" w:rsidRPr="00D7539E" w:rsidRDefault="006D19C6" w:rsidP="00A76F4A">
            <w:pPr>
              <w:pStyle w:val="Textodecomentrio"/>
              <w:ind w:right="12"/>
              <w:rPr>
                <w:rFonts w:eastAsia="Calibri"/>
                <w:sz w:val="21"/>
                <w:szCs w:val="21"/>
              </w:rPr>
            </w:pPr>
          </w:p>
        </w:tc>
        <w:tc>
          <w:tcPr>
            <w:tcW w:w="255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A76F4A">
            <w:pPr>
              <w:ind w:right="12"/>
              <w:rPr>
                <w:rFonts w:eastAsia="Calibri"/>
                <w:sz w:val="21"/>
                <w:szCs w:val="21"/>
              </w:rPr>
            </w:pPr>
            <w:r w:rsidRPr="00D7539E">
              <w:rPr>
                <w:rFonts w:eastAsia="Calibri"/>
                <w:sz w:val="21"/>
                <w:szCs w:val="21"/>
              </w:rPr>
              <w:t>Populations informées sur la nature des travaux</w:t>
            </w:r>
          </w:p>
        </w:tc>
      </w:tr>
      <w:tr w:rsidR="00D3691B" w:rsidRPr="00D7539E" w:rsidTr="008142E8">
        <w:trPr>
          <w:jc w:val="center"/>
        </w:trPr>
        <w:tc>
          <w:tcPr>
            <w:tcW w:w="2552" w:type="dxa"/>
            <w:vMerge/>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A76F4A">
            <w:pPr>
              <w:ind w:right="12"/>
              <w:rPr>
                <w:rFonts w:eastAsia="Calibri"/>
                <w:sz w:val="21"/>
                <w:szCs w:val="21"/>
              </w:rPr>
            </w:pPr>
          </w:p>
        </w:tc>
        <w:tc>
          <w:tcPr>
            <w:tcW w:w="4814"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L’implication des acteurs locaux,</w:t>
            </w:r>
          </w:p>
          <w:p w:rsidR="00D3691B" w:rsidRPr="00D7539E"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Les enjeux environnementaux et sociaux</w:t>
            </w:r>
            <w:r w:rsidR="00E9718C" w:rsidRPr="00D7539E">
              <w:rPr>
                <w:rFonts w:eastAsia="Calibri"/>
                <w:sz w:val="21"/>
                <w:szCs w:val="21"/>
              </w:rPr>
              <w:t xml:space="preserve"> du projet,</w:t>
            </w:r>
          </w:p>
          <w:p w:rsidR="006D19C6"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 xml:space="preserve">Bonnes pratiques agricoles, </w:t>
            </w:r>
          </w:p>
          <w:p w:rsidR="00E9718C" w:rsidRPr="00D7539E" w:rsidRDefault="00D97DC3" w:rsidP="00A76F4A">
            <w:pPr>
              <w:tabs>
                <w:tab w:val="left" w:pos="232"/>
              </w:tabs>
              <w:ind w:right="12"/>
              <w:contextualSpacing/>
              <w:jc w:val="both"/>
              <w:rPr>
                <w:rFonts w:eastAsia="Calibri"/>
                <w:sz w:val="21"/>
                <w:szCs w:val="21"/>
              </w:rPr>
            </w:pPr>
            <w:r>
              <w:rPr>
                <w:rFonts w:eastAsia="Calibri"/>
                <w:sz w:val="21"/>
                <w:szCs w:val="21"/>
              </w:rPr>
              <w:t xml:space="preserve">- </w:t>
            </w:r>
            <w:r w:rsidRPr="00D97DC3">
              <w:rPr>
                <w:rFonts w:eastAsia="Calibri"/>
                <w:sz w:val="21"/>
                <w:szCs w:val="21"/>
              </w:rPr>
              <w:t>Formation</w:t>
            </w:r>
            <w:r w:rsidR="006D19C6" w:rsidRPr="00D97DC3">
              <w:rPr>
                <w:rFonts w:eastAsia="Calibri"/>
                <w:sz w:val="21"/>
                <w:szCs w:val="21"/>
              </w:rPr>
              <w:t xml:space="preserve"> de Procédures de gestion du travail</w:t>
            </w:r>
          </w:p>
        </w:tc>
        <w:tc>
          <w:tcPr>
            <w:tcW w:w="255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A76F4A">
            <w:pPr>
              <w:ind w:right="12"/>
              <w:rPr>
                <w:rFonts w:eastAsia="Calibri"/>
                <w:sz w:val="21"/>
                <w:szCs w:val="21"/>
              </w:rPr>
            </w:pPr>
            <w:r w:rsidRPr="00D7539E">
              <w:rPr>
                <w:rFonts w:eastAsia="Calibri"/>
                <w:sz w:val="21"/>
                <w:szCs w:val="21"/>
              </w:rPr>
              <w:t>Populations sensibilisées sur les enjeux environnementaux et sociaux</w:t>
            </w:r>
          </w:p>
        </w:tc>
      </w:tr>
      <w:tr w:rsidR="00D3691B" w:rsidRPr="00D7539E" w:rsidTr="008142E8">
        <w:trPr>
          <w:jc w:val="center"/>
        </w:trPr>
        <w:tc>
          <w:tcPr>
            <w:tcW w:w="2552" w:type="dxa"/>
            <w:vMerge/>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A76F4A">
            <w:pPr>
              <w:ind w:right="12"/>
              <w:rPr>
                <w:rFonts w:eastAsia="Calibri"/>
                <w:sz w:val="21"/>
                <w:szCs w:val="21"/>
              </w:rPr>
            </w:pPr>
          </w:p>
        </w:tc>
        <w:tc>
          <w:tcPr>
            <w:tcW w:w="4814"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La sécurité, la sant</w:t>
            </w:r>
            <w:r w:rsidR="00B23B38" w:rsidRPr="00D7539E">
              <w:rPr>
                <w:rFonts w:eastAsia="Calibri"/>
                <w:sz w:val="21"/>
                <w:szCs w:val="21"/>
              </w:rPr>
              <w:t xml:space="preserve">é et l’hygiène lors de la mise en œuvre </w:t>
            </w:r>
            <w:r w:rsidRPr="00D7539E">
              <w:rPr>
                <w:rFonts w:eastAsia="Calibri"/>
                <w:sz w:val="21"/>
                <w:szCs w:val="21"/>
              </w:rPr>
              <w:t>et l’exploitatio</w:t>
            </w:r>
            <w:r w:rsidR="00B23B38" w:rsidRPr="00D7539E">
              <w:rPr>
                <w:rFonts w:eastAsia="Calibri"/>
                <w:sz w:val="21"/>
                <w:szCs w:val="21"/>
              </w:rPr>
              <w:t xml:space="preserve">n </w:t>
            </w:r>
            <w:r w:rsidR="000E1A4B" w:rsidRPr="00D7539E">
              <w:rPr>
                <w:rFonts w:eastAsia="Calibri"/>
                <w:sz w:val="21"/>
                <w:szCs w:val="21"/>
              </w:rPr>
              <w:t>des différentes composantes</w:t>
            </w:r>
            <w:r w:rsidR="00B23B38" w:rsidRPr="00D7539E">
              <w:rPr>
                <w:rFonts w:eastAsia="Calibri"/>
                <w:sz w:val="21"/>
                <w:szCs w:val="21"/>
              </w:rPr>
              <w:t xml:space="preserve"> du projet</w:t>
            </w:r>
            <w:r w:rsidRPr="00D7539E">
              <w:rPr>
                <w:rFonts w:eastAsia="Calibri"/>
                <w:sz w:val="21"/>
                <w:szCs w:val="21"/>
              </w:rPr>
              <w:t>,</w:t>
            </w:r>
          </w:p>
          <w:p w:rsidR="00D3691B" w:rsidRPr="00D7539E" w:rsidRDefault="00D3691B"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 xml:space="preserve">Les facteurs de vulnérabilité des activités agricoles, </w:t>
            </w:r>
          </w:p>
          <w:p w:rsidR="00255945" w:rsidRPr="00D7539E" w:rsidRDefault="00255945"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 xml:space="preserve">L’utilisation des </w:t>
            </w:r>
            <w:r w:rsidR="00297160" w:rsidRPr="00D7539E">
              <w:rPr>
                <w:rFonts w:eastAsia="Calibri"/>
                <w:sz w:val="21"/>
                <w:szCs w:val="21"/>
              </w:rPr>
              <w:t>pesticides,</w:t>
            </w:r>
          </w:p>
          <w:p w:rsidR="00D3691B" w:rsidRPr="00D7539E" w:rsidRDefault="00A1475C"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La</w:t>
            </w:r>
            <w:r w:rsidR="00D3691B" w:rsidRPr="00D7539E">
              <w:rPr>
                <w:rFonts w:eastAsia="Calibri"/>
                <w:sz w:val="21"/>
                <w:szCs w:val="21"/>
              </w:rPr>
              <w:t xml:space="preserve"> malnutrition sévère, etc.</w:t>
            </w:r>
          </w:p>
          <w:p w:rsidR="002F5402" w:rsidRPr="00D7539E" w:rsidRDefault="002F5402" w:rsidP="00A76F4A">
            <w:pPr>
              <w:numPr>
                <w:ilvl w:val="0"/>
                <w:numId w:val="88"/>
              </w:numPr>
              <w:tabs>
                <w:tab w:val="left" w:pos="232"/>
              </w:tabs>
              <w:ind w:left="34" w:right="12" w:firstLine="0"/>
              <w:contextualSpacing/>
              <w:jc w:val="both"/>
              <w:rPr>
                <w:rFonts w:eastAsia="Calibri"/>
                <w:sz w:val="21"/>
                <w:szCs w:val="21"/>
              </w:rPr>
            </w:pPr>
            <w:r w:rsidRPr="00D7539E">
              <w:rPr>
                <w:rFonts w:eastAsia="Calibri"/>
                <w:sz w:val="21"/>
                <w:szCs w:val="21"/>
              </w:rPr>
              <w:t>Les risques d’EAS/HS, code de bonne conduite du projet et le fonctionnement du MGP sensible à l’EAS/HS</w:t>
            </w:r>
          </w:p>
        </w:tc>
        <w:tc>
          <w:tcPr>
            <w:tcW w:w="255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3691B" w:rsidRPr="00D7539E" w:rsidRDefault="00D3691B" w:rsidP="00A76F4A">
            <w:pPr>
              <w:ind w:right="12"/>
              <w:rPr>
                <w:rFonts w:eastAsia="Calibri"/>
                <w:sz w:val="21"/>
                <w:szCs w:val="21"/>
              </w:rPr>
            </w:pPr>
          </w:p>
          <w:p w:rsidR="00D3691B" w:rsidRPr="00D7539E" w:rsidRDefault="00D3691B" w:rsidP="00A76F4A">
            <w:pPr>
              <w:ind w:right="12"/>
              <w:rPr>
                <w:rFonts w:eastAsia="Calibri"/>
                <w:sz w:val="21"/>
                <w:szCs w:val="21"/>
              </w:rPr>
            </w:pPr>
            <w:r w:rsidRPr="00D7539E">
              <w:rPr>
                <w:rFonts w:eastAsia="Calibri"/>
                <w:sz w:val="21"/>
                <w:szCs w:val="21"/>
              </w:rPr>
              <w:t>Populations sensibilisées sur les risques sanitaires</w:t>
            </w:r>
          </w:p>
          <w:p w:rsidR="00D3691B" w:rsidRPr="00D7539E" w:rsidRDefault="00D3691B" w:rsidP="00A76F4A">
            <w:pPr>
              <w:ind w:right="12"/>
              <w:rPr>
                <w:rFonts w:eastAsia="Calibri"/>
                <w:sz w:val="21"/>
                <w:szCs w:val="21"/>
              </w:rPr>
            </w:pPr>
          </w:p>
          <w:p w:rsidR="00D3691B" w:rsidRPr="00D7539E" w:rsidRDefault="00D3691B" w:rsidP="00A76F4A">
            <w:pPr>
              <w:ind w:right="12"/>
              <w:rPr>
                <w:rFonts w:eastAsia="Calibri"/>
                <w:sz w:val="21"/>
                <w:szCs w:val="21"/>
              </w:rPr>
            </w:pPr>
          </w:p>
        </w:tc>
      </w:tr>
    </w:tbl>
    <w:p w:rsidR="00F56061" w:rsidRDefault="00F56061" w:rsidP="00A76F4A">
      <w:pPr>
        <w:ind w:right="12"/>
      </w:pPr>
      <w:bookmarkStart w:id="382" w:name="_Toc55460176"/>
      <w:bookmarkStart w:id="383" w:name="_Toc55465569"/>
    </w:p>
    <w:p w:rsidR="00BE4C10" w:rsidRPr="008371D1" w:rsidRDefault="00F92390"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384" w:name="_Toc75432318"/>
      <w:r w:rsidRPr="008371D1">
        <w:rPr>
          <w:rFonts w:ascii="Times New Roman" w:hAnsi="Times New Roman"/>
          <w:b/>
          <w:bCs/>
          <w:sz w:val="24"/>
          <w:szCs w:val="24"/>
        </w:rPr>
        <w:t>Évaluation</w:t>
      </w:r>
      <w:r w:rsidR="00BE4C10" w:rsidRPr="008371D1">
        <w:rPr>
          <w:rFonts w:ascii="Times New Roman" w:hAnsi="Times New Roman"/>
          <w:b/>
          <w:bCs/>
          <w:sz w:val="24"/>
          <w:szCs w:val="24"/>
        </w:rPr>
        <w:t xml:space="preserve"> des capacités des parties prenantes en matière de gestion environnementale et sociale</w:t>
      </w:r>
      <w:bookmarkEnd w:id="384"/>
      <w:r w:rsidR="00BE4C10" w:rsidRPr="008371D1">
        <w:rPr>
          <w:rFonts w:ascii="Times New Roman" w:hAnsi="Times New Roman"/>
          <w:b/>
          <w:bCs/>
          <w:sz w:val="24"/>
          <w:szCs w:val="24"/>
        </w:rPr>
        <w:t xml:space="preserve"> </w:t>
      </w:r>
    </w:p>
    <w:p w:rsidR="00BE4C10" w:rsidRPr="00BE4C10" w:rsidRDefault="00BE4C10" w:rsidP="00A76F4A">
      <w:pPr>
        <w:ind w:right="12"/>
        <w:jc w:val="both"/>
      </w:pPr>
      <w:r w:rsidRPr="00BE4C10">
        <w:t>La gestion environnementale et sociale du projet implique diverses parties prenantes dont les qualifications et les expériences doivent répondre aux exigences du CGES conformément aux exigences de la Banque mondiale et celles de la législation nationale applicables au Projet</w:t>
      </w:r>
      <w:r w:rsidR="005F6C80">
        <w:t xml:space="preserve"> PUSA</w:t>
      </w:r>
      <w:r w:rsidRPr="00BE4C10">
        <w:t xml:space="preserve">. </w:t>
      </w:r>
    </w:p>
    <w:p w:rsidR="00BE4C10" w:rsidRPr="00BE4C10" w:rsidRDefault="00BE4C10" w:rsidP="00A76F4A">
      <w:pPr>
        <w:ind w:right="12"/>
        <w:jc w:val="both"/>
      </w:pPr>
      <w:r w:rsidRPr="00BE4C10">
        <w:t xml:space="preserve">L’analyse des capacités en matière de gestion environnementale et sociale révèle que certaines entités disposent de ressources humaines et techniques aptes à prendre en charge les exigences du CGES. </w:t>
      </w:r>
    </w:p>
    <w:p w:rsidR="0012067B" w:rsidRDefault="0012067B" w:rsidP="00A76F4A">
      <w:pPr>
        <w:ind w:right="12"/>
      </w:pPr>
    </w:p>
    <w:p w:rsidR="004B1238" w:rsidRPr="00CE6B52" w:rsidRDefault="004B1238" w:rsidP="00A76F4A">
      <w:pPr>
        <w:pStyle w:val="PargrafodaLista"/>
        <w:numPr>
          <w:ilvl w:val="0"/>
          <w:numId w:val="87"/>
        </w:numPr>
        <w:ind w:right="12"/>
        <w:jc w:val="both"/>
        <w:rPr>
          <w:rFonts w:ascii="Times" w:hAnsi="Times"/>
          <w:sz w:val="22"/>
          <w:szCs w:val="22"/>
        </w:rPr>
      </w:pPr>
      <w:r w:rsidRPr="008371D1">
        <w:rPr>
          <w:rFonts w:ascii="Times" w:hAnsi="Times"/>
          <w:b/>
          <w:sz w:val="22"/>
          <w:szCs w:val="22"/>
        </w:rPr>
        <w:t>L’UCP</w:t>
      </w:r>
      <w:r w:rsidR="00654E14" w:rsidRPr="008371D1">
        <w:rPr>
          <w:rFonts w:ascii="Times" w:hAnsi="Times"/>
          <w:b/>
          <w:sz w:val="22"/>
          <w:szCs w:val="22"/>
        </w:rPr>
        <w:t xml:space="preserve"> du projet PUSA</w:t>
      </w:r>
      <w:r w:rsidR="00654E14" w:rsidRPr="00CE6B52">
        <w:rPr>
          <w:rFonts w:ascii="Times" w:hAnsi="Times"/>
          <w:sz w:val="22"/>
          <w:szCs w:val="22"/>
        </w:rPr>
        <w:t xml:space="preserve"> </w:t>
      </w:r>
      <w:r w:rsidRPr="008371D1">
        <w:rPr>
          <w:rFonts w:ascii="Times" w:hAnsi="Times"/>
          <w:sz w:val="22"/>
          <w:szCs w:val="22"/>
        </w:rPr>
        <w:t>qui,</w:t>
      </w:r>
      <w:r w:rsidR="00654E14" w:rsidRPr="00CE6B52">
        <w:rPr>
          <w:rFonts w:ascii="Times" w:hAnsi="Times"/>
          <w:sz w:val="22"/>
          <w:szCs w:val="22"/>
        </w:rPr>
        <w:t xml:space="preserve"> </w:t>
      </w:r>
      <w:r w:rsidRPr="008371D1">
        <w:rPr>
          <w:rFonts w:ascii="Times" w:hAnsi="Times"/>
          <w:sz w:val="22"/>
          <w:szCs w:val="22"/>
        </w:rPr>
        <w:t>en</w:t>
      </w:r>
      <w:r w:rsidR="00654E14" w:rsidRPr="00CE6B52">
        <w:rPr>
          <w:rFonts w:ascii="Times" w:hAnsi="Times"/>
          <w:sz w:val="22"/>
          <w:szCs w:val="22"/>
        </w:rPr>
        <w:t xml:space="preserve"> </w:t>
      </w:r>
      <w:r w:rsidRPr="008371D1">
        <w:rPr>
          <w:rFonts w:ascii="Times" w:hAnsi="Times"/>
          <w:sz w:val="22"/>
          <w:szCs w:val="22"/>
        </w:rPr>
        <w:t>son</w:t>
      </w:r>
      <w:r w:rsidR="00654E14" w:rsidRPr="00CE6B52">
        <w:rPr>
          <w:rFonts w:ascii="Times" w:hAnsi="Times"/>
          <w:sz w:val="22"/>
          <w:szCs w:val="22"/>
        </w:rPr>
        <w:t xml:space="preserve"> </w:t>
      </w:r>
      <w:r w:rsidRPr="008371D1">
        <w:rPr>
          <w:rFonts w:ascii="Times" w:hAnsi="Times"/>
          <w:sz w:val="22"/>
          <w:szCs w:val="22"/>
        </w:rPr>
        <w:t>sein,</w:t>
      </w:r>
      <w:r w:rsidR="00654E14" w:rsidRPr="00CE6B52">
        <w:rPr>
          <w:rFonts w:ascii="Times" w:hAnsi="Times"/>
          <w:sz w:val="22"/>
          <w:szCs w:val="22"/>
        </w:rPr>
        <w:t xml:space="preserve"> </w:t>
      </w:r>
      <w:r w:rsidRPr="008371D1">
        <w:rPr>
          <w:rFonts w:ascii="Times" w:hAnsi="Times"/>
          <w:sz w:val="22"/>
          <w:szCs w:val="22"/>
        </w:rPr>
        <w:t>dispose</w:t>
      </w:r>
      <w:r w:rsidR="00654E14" w:rsidRPr="00CE6B52">
        <w:rPr>
          <w:rFonts w:ascii="Times" w:hAnsi="Times"/>
          <w:sz w:val="22"/>
          <w:szCs w:val="22"/>
        </w:rPr>
        <w:t xml:space="preserve"> </w:t>
      </w:r>
      <w:r w:rsidRPr="008371D1">
        <w:rPr>
          <w:rFonts w:ascii="Times" w:hAnsi="Times"/>
          <w:sz w:val="22"/>
          <w:szCs w:val="22"/>
        </w:rPr>
        <w:t>d’un</w:t>
      </w:r>
      <w:r w:rsidR="00654E14" w:rsidRPr="00CE6B52">
        <w:rPr>
          <w:rFonts w:ascii="Times" w:hAnsi="Times"/>
          <w:sz w:val="22"/>
          <w:szCs w:val="22"/>
        </w:rPr>
        <w:t xml:space="preserve"> </w:t>
      </w:r>
      <w:r w:rsidRPr="008371D1">
        <w:rPr>
          <w:rFonts w:ascii="Times" w:hAnsi="Times"/>
          <w:sz w:val="22"/>
          <w:szCs w:val="22"/>
        </w:rPr>
        <w:t>Spécialiste</w:t>
      </w:r>
      <w:r w:rsidR="00654E14" w:rsidRPr="00CE6B52">
        <w:rPr>
          <w:rFonts w:ascii="Times" w:hAnsi="Times"/>
          <w:sz w:val="22"/>
          <w:szCs w:val="22"/>
        </w:rPr>
        <w:t xml:space="preserve"> </w:t>
      </w:r>
      <w:r w:rsidRPr="008371D1">
        <w:rPr>
          <w:rFonts w:ascii="Times" w:hAnsi="Times"/>
          <w:sz w:val="22"/>
          <w:szCs w:val="22"/>
        </w:rPr>
        <w:t>en</w:t>
      </w:r>
      <w:r w:rsidR="00654E14" w:rsidRPr="00CE6B52">
        <w:rPr>
          <w:rFonts w:ascii="Times" w:hAnsi="Times"/>
          <w:sz w:val="22"/>
          <w:szCs w:val="22"/>
        </w:rPr>
        <w:t xml:space="preserve"> </w:t>
      </w:r>
      <w:r w:rsidRPr="008371D1">
        <w:rPr>
          <w:rFonts w:ascii="Times" w:hAnsi="Times"/>
          <w:sz w:val="22"/>
          <w:szCs w:val="22"/>
        </w:rPr>
        <w:t>Sauvegarde Environnementale</w:t>
      </w:r>
      <w:r w:rsidR="00DC0078">
        <w:rPr>
          <w:rFonts w:ascii="Times" w:hAnsi="Times"/>
          <w:sz w:val="22"/>
          <w:szCs w:val="22"/>
        </w:rPr>
        <w:t xml:space="preserve"> et Sociale</w:t>
      </w:r>
      <w:r w:rsidRPr="008371D1">
        <w:rPr>
          <w:rFonts w:ascii="Times" w:hAnsi="Times"/>
          <w:sz w:val="22"/>
          <w:szCs w:val="22"/>
        </w:rPr>
        <w:t>, et d’un Spécialiste Suivi-</w:t>
      </w:r>
      <w:r w:rsidR="00F92390" w:rsidRPr="008371D1">
        <w:rPr>
          <w:rFonts w:ascii="Times" w:hAnsi="Times"/>
          <w:sz w:val="22"/>
          <w:szCs w:val="22"/>
        </w:rPr>
        <w:t>Évaluation</w:t>
      </w:r>
      <w:r w:rsidRPr="008371D1">
        <w:rPr>
          <w:rFonts w:ascii="Times" w:hAnsi="Times"/>
          <w:sz w:val="22"/>
          <w:szCs w:val="22"/>
        </w:rPr>
        <w:t xml:space="preserve">. Par ailleurs, l’UCP </w:t>
      </w:r>
      <w:r w:rsidR="007550B1" w:rsidRPr="00CE6B52">
        <w:rPr>
          <w:rFonts w:ascii="Times" w:hAnsi="Times"/>
          <w:sz w:val="22"/>
          <w:szCs w:val="22"/>
        </w:rPr>
        <w:t xml:space="preserve">a aussi des </w:t>
      </w:r>
      <w:r w:rsidRPr="008371D1">
        <w:rPr>
          <w:rFonts w:ascii="Times" w:hAnsi="Times"/>
          <w:sz w:val="22"/>
          <w:szCs w:val="22"/>
        </w:rPr>
        <w:t>personne</w:t>
      </w:r>
      <w:r w:rsidR="007550B1" w:rsidRPr="00CE6B52">
        <w:rPr>
          <w:rFonts w:ascii="Times" w:hAnsi="Times"/>
          <w:sz w:val="22"/>
          <w:szCs w:val="22"/>
        </w:rPr>
        <w:t>s</w:t>
      </w:r>
      <w:r w:rsidRPr="008371D1">
        <w:rPr>
          <w:rFonts w:ascii="Times" w:hAnsi="Times"/>
          <w:sz w:val="22"/>
          <w:szCs w:val="22"/>
        </w:rPr>
        <w:t xml:space="preserve"> de soutien également apte à accompagner le processus d’acquisition et de paiement des biens et services dans le cadre de la mise en œuvre du CGES. </w:t>
      </w:r>
    </w:p>
    <w:p w:rsidR="00B0248C" w:rsidRPr="008371D1" w:rsidRDefault="00B0248C" w:rsidP="00A76F4A">
      <w:pPr>
        <w:pStyle w:val="PargrafodaLista"/>
        <w:numPr>
          <w:ilvl w:val="0"/>
          <w:numId w:val="87"/>
        </w:numPr>
        <w:ind w:right="12"/>
        <w:jc w:val="both"/>
        <w:rPr>
          <w:rFonts w:ascii="Times" w:hAnsi="Times"/>
          <w:sz w:val="22"/>
          <w:szCs w:val="22"/>
        </w:rPr>
      </w:pPr>
      <w:r w:rsidRPr="00FE566F">
        <w:rPr>
          <w:rFonts w:ascii="Times" w:hAnsi="Times"/>
          <w:b/>
          <w:bCs/>
          <w:sz w:val="22"/>
          <w:szCs w:val="22"/>
        </w:rPr>
        <w:t xml:space="preserve">Les entités regroupées autour de l’AAAC </w:t>
      </w:r>
      <w:r w:rsidRPr="00FE566F">
        <w:rPr>
          <w:rFonts w:ascii="Times" w:hAnsi="Times"/>
          <w:sz w:val="22"/>
          <w:szCs w:val="22"/>
        </w:rPr>
        <w:t xml:space="preserve">ainsi que les </w:t>
      </w:r>
      <w:r w:rsidR="00E36C86">
        <w:rPr>
          <w:rFonts w:ascii="Times" w:hAnsi="Times"/>
          <w:sz w:val="22"/>
          <w:szCs w:val="22"/>
        </w:rPr>
        <w:t>comités régionaux de suivi environnemental (</w:t>
      </w:r>
      <w:r w:rsidRPr="00FE566F">
        <w:rPr>
          <w:rFonts w:ascii="Times" w:hAnsi="Times"/>
          <w:sz w:val="22"/>
          <w:szCs w:val="22"/>
        </w:rPr>
        <w:t>CRSE</w:t>
      </w:r>
      <w:r w:rsidR="00E36C86">
        <w:rPr>
          <w:rFonts w:ascii="Times" w:hAnsi="Times"/>
          <w:sz w:val="22"/>
          <w:szCs w:val="22"/>
        </w:rPr>
        <w:t>)</w:t>
      </w:r>
      <w:r w:rsidRPr="00FE566F">
        <w:rPr>
          <w:rFonts w:ascii="Times" w:hAnsi="Times"/>
          <w:sz w:val="22"/>
          <w:szCs w:val="22"/>
        </w:rPr>
        <w:t xml:space="preserve"> disposent de beaucoup d’expériences dans le processus de classification / revue et dans le suivi environnemental des projets fi</w:t>
      </w:r>
      <w:r w:rsidR="001E3166" w:rsidRPr="00FE566F">
        <w:rPr>
          <w:rFonts w:ascii="Times" w:hAnsi="Times"/>
          <w:sz w:val="22"/>
          <w:szCs w:val="22"/>
        </w:rPr>
        <w:t>nancés par la Banque Mondiale en Guinée Bissau</w:t>
      </w:r>
      <w:r w:rsidRPr="00FE566F">
        <w:rPr>
          <w:rFonts w:ascii="Times" w:hAnsi="Times"/>
          <w:sz w:val="22"/>
          <w:szCs w:val="22"/>
        </w:rPr>
        <w:t xml:space="preserve">. </w:t>
      </w:r>
    </w:p>
    <w:p w:rsidR="005412E9" w:rsidRPr="008371D1" w:rsidRDefault="006D4C15" w:rsidP="00A76F4A">
      <w:pPr>
        <w:pStyle w:val="PargrafodaLista"/>
        <w:numPr>
          <w:ilvl w:val="0"/>
          <w:numId w:val="87"/>
        </w:numPr>
        <w:ind w:right="12"/>
        <w:jc w:val="both"/>
        <w:rPr>
          <w:rFonts w:ascii="Times" w:hAnsi="Times"/>
          <w:sz w:val="22"/>
          <w:szCs w:val="22"/>
        </w:rPr>
      </w:pPr>
      <w:r w:rsidRPr="00CE6B52">
        <w:rPr>
          <w:rFonts w:ascii="Times" w:hAnsi="Times"/>
          <w:b/>
          <w:bCs/>
          <w:sz w:val="22"/>
          <w:szCs w:val="22"/>
        </w:rPr>
        <w:lastRenderedPageBreak/>
        <w:t>La direction générale</w:t>
      </w:r>
      <w:r w:rsidR="00427825" w:rsidRPr="00FE566F">
        <w:rPr>
          <w:rFonts w:ascii="Times" w:hAnsi="Times"/>
          <w:b/>
          <w:bCs/>
          <w:sz w:val="22"/>
          <w:szCs w:val="22"/>
        </w:rPr>
        <w:t xml:space="preserve"> de </w:t>
      </w:r>
      <w:r w:rsidRPr="00FE566F">
        <w:rPr>
          <w:rFonts w:ascii="Times" w:hAnsi="Times"/>
          <w:b/>
          <w:bCs/>
          <w:sz w:val="22"/>
          <w:szCs w:val="22"/>
        </w:rPr>
        <w:t>l’agriculture DGA</w:t>
      </w:r>
      <w:r w:rsidR="00427825" w:rsidRPr="00FE566F">
        <w:rPr>
          <w:rFonts w:ascii="Times" w:hAnsi="Times"/>
          <w:b/>
          <w:bCs/>
          <w:sz w:val="22"/>
          <w:szCs w:val="22"/>
        </w:rPr>
        <w:t xml:space="preserve"> </w:t>
      </w:r>
      <w:r w:rsidR="00EB6523" w:rsidRPr="00FE566F">
        <w:rPr>
          <w:rFonts w:ascii="Times" w:hAnsi="Times"/>
          <w:b/>
          <w:bCs/>
          <w:sz w:val="22"/>
          <w:szCs w:val="22"/>
        </w:rPr>
        <w:t>:</w:t>
      </w:r>
      <w:r w:rsidR="00231722" w:rsidRPr="00FE566F">
        <w:rPr>
          <w:rFonts w:ascii="Times" w:hAnsi="Times"/>
          <w:b/>
          <w:bCs/>
          <w:sz w:val="22"/>
          <w:szCs w:val="22"/>
        </w:rPr>
        <w:t xml:space="preserve"> </w:t>
      </w:r>
      <w:r w:rsidRPr="00FE566F">
        <w:rPr>
          <w:rFonts w:ascii="Times" w:hAnsi="Times"/>
          <w:b/>
          <w:bCs/>
          <w:sz w:val="22"/>
          <w:szCs w:val="22"/>
        </w:rPr>
        <w:t>elle dispose</w:t>
      </w:r>
      <w:r w:rsidR="00231722" w:rsidRPr="00FE566F">
        <w:rPr>
          <w:rFonts w:ascii="Times" w:hAnsi="Times"/>
          <w:sz w:val="22"/>
          <w:szCs w:val="22"/>
        </w:rPr>
        <w:t xml:space="preserve"> de beaucoup d</w:t>
      </w:r>
      <w:r w:rsidRPr="00FE566F">
        <w:rPr>
          <w:rFonts w:ascii="Times" w:hAnsi="Times"/>
          <w:sz w:val="22"/>
          <w:szCs w:val="22"/>
        </w:rPr>
        <w:t xml:space="preserve">’expériences dans la mise en œuvre de ces genres de projet </w:t>
      </w:r>
      <w:r w:rsidR="00FE566F" w:rsidRPr="00FE566F">
        <w:rPr>
          <w:rFonts w:ascii="Times" w:hAnsi="Times"/>
          <w:sz w:val="22"/>
          <w:szCs w:val="22"/>
        </w:rPr>
        <w:t>mais il</w:t>
      </w:r>
      <w:r w:rsidR="00427825" w:rsidRPr="00FE566F">
        <w:rPr>
          <w:rFonts w:ascii="Times" w:hAnsi="Times"/>
          <w:sz w:val="22"/>
          <w:szCs w:val="22"/>
        </w:rPr>
        <w:t xml:space="preserve"> </w:t>
      </w:r>
      <w:r w:rsidR="00EB6523" w:rsidRPr="00FE566F">
        <w:rPr>
          <w:rFonts w:ascii="Times" w:hAnsi="Times"/>
          <w:sz w:val="22"/>
          <w:szCs w:val="22"/>
        </w:rPr>
        <w:t>tient</w:t>
      </w:r>
      <w:r w:rsidR="00427825" w:rsidRPr="00FE566F">
        <w:rPr>
          <w:rFonts w:ascii="Times" w:hAnsi="Times"/>
          <w:sz w:val="22"/>
          <w:szCs w:val="22"/>
        </w:rPr>
        <w:t xml:space="preserve"> </w:t>
      </w:r>
      <w:r w:rsidR="00EB6523" w:rsidRPr="00FE566F">
        <w:rPr>
          <w:rFonts w:ascii="Times" w:hAnsi="Times"/>
          <w:sz w:val="22"/>
          <w:szCs w:val="22"/>
        </w:rPr>
        <w:t>lieu</w:t>
      </w:r>
      <w:r w:rsidR="00427825" w:rsidRPr="00FE566F">
        <w:rPr>
          <w:rFonts w:ascii="Times" w:hAnsi="Times"/>
          <w:sz w:val="22"/>
          <w:szCs w:val="22"/>
        </w:rPr>
        <w:t xml:space="preserve"> </w:t>
      </w:r>
      <w:r w:rsidR="00EB6523" w:rsidRPr="00FE566F">
        <w:rPr>
          <w:rFonts w:ascii="Times" w:hAnsi="Times"/>
          <w:sz w:val="22"/>
          <w:szCs w:val="22"/>
        </w:rPr>
        <w:t>de</w:t>
      </w:r>
      <w:r w:rsidR="00427825" w:rsidRPr="00FE566F">
        <w:rPr>
          <w:rFonts w:ascii="Times" w:hAnsi="Times"/>
          <w:sz w:val="22"/>
          <w:szCs w:val="22"/>
        </w:rPr>
        <w:t xml:space="preserve"> </w:t>
      </w:r>
      <w:r w:rsidR="00EB6523" w:rsidRPr="00FE566F">
        <w:rPr>
          <w:rFonts w:ascii="Times" w:hAnsi="Times"/>
          <w:sz w:val="22"/>
          <w:szCs w:val="22"/>
        </w:rPr>
        <w:t>préciser</w:t>
      </w:r>
      <w:r w:rsidR="00427825" w:rsidRPr="00FE566F">
        <w:rPr>
          <w:rFonts w:ascii="Times" w:hAnsi="Times"/>
          <w:sz w:val="22"/>
          <w:szCs w:val="22"/>
        </w:rPr>
        <w:t xml:space="preserve"> </w:t>
      </w:r>
      <w:r w:rsidR="00EB6523" w:rsidRPr="00FE566F">
        <w:rPr>
          <w:rFonts w:ascii="Times" w:hAnsi="Times"/>
          <w:sz w:val="22"/>
          <w:szCs w:val="22"/>
        </w:rPr>
        <w:t>que</w:t>
      </w:r>
      <w:r w:rsidR="00427825" w:rsidRPr="00FE566F">
        <w:rPr>
          <w:rFonts w:ascii="Times" w:hAnsi="Times"/>
          <w:sz w:val="22"/>
          <w:szCs w:val="22"/>
        </w:rPr>
        <w:t xml:space="preserve"> </w:t>
      </w:r>
      <w:r w:rsidR="00EB6523" w:rsidRPr="00FE566F">
        <w:rPr>
          <w:rFonts w:ascii="Times" w:hAnsi="Times"/>
          <w:sz w:val="22"/>
          <w:szCs w:val="22"/>
        </w:rPr>
        <w:t>cette</w:t>
      </w:r>
      <w:r w:rsidR="00427825" w:rsidRPr="00FE566F">
        <w:rPr>
          <w:rFonts w:ascii="Times" w:hAnsi="Times"/>
          <w:sz w:val="22"/>
          <w:szCs w:val="22"/>
        </w:rPr>
        <w:t xml:space="preserve"> </w:t>
      </w:r>
      <w:r w:rsidR="00EB6523" w:rsidRPr="00FE566F">
        <w:rPr>
          <w:rFonts w:ascii="Times" w:hAnsi="Times"/>
          <w:sz w:val="22"/>
          <w:szCs w:val="22"/>
        </w:rPr>
        <w:t>entité</w:t>
      </w:r>
      <w:r w:rsidR="00427825" w:rsidRPr="00FE566F">
        <w:rPr>
          <w:rFonts w:ascii="Times" w:hAnsi="Times"/>
          <w:sz w:val="22"/>
          <w:szCs w:val="22"/>
        </w:rPr>
        <w:t xml:space="preserve"> </w:t>
      </w:r>
      <w:r w:rsidR="00EB6523" w:rsidRPr="00FE566F">
        <w:rPr>
          <w:rFonts w:ascii="Times" w:hAnsi="Times"/>
          <w:sz w:val="22"/>
          <w:szCs w:val="22"/>
        </w:rPr>
        <w:t>n’est</w:t>
      </w:r>
      <w:r w:rsidR="00427825" w:rsidRPr="00FE566F">
        <w:rPr>
          <w:rFonts w:ascii="Times" w:hAnsi="Times"/>
          <w:sz w:val="22"/>
          <w:szCs w:val="22"/>
        </w:rPr>
        <w:t xml:space="preserve"> </w:t>
      </w:r>
      <w:r w:rsidR="00EB6523" w:rsidRPr="00FE566F">
        <w:rPr>
          <w:rFonts w:ascii="Times" w:hAnsi="Times"/>
          <w:sz w:val="22"/>
          <w:szCs w:val="22"/>
        </w:rPr>
        <w:t>pas</w:t>
      </w:r>
      <w:r w:rsidR="00427825" w:rsidRPr="00FE566F">
        <w:rPr>
          <w:rFonts w:ascii="Times" w:hAnsi="Times"/>
          <w:sz w:val="22"/>
          <w:szCs w:val="22"/>
        </w:rPr>
        <w:t xml:space="preserve"> </w:t>
      </w:r>
      <w:r w:rsidR="00EB6523" w:rsidRPr="00FE566F">
        <w:rPr>
          <w:rFonts w:ascii="Times" w:hAnsi="Times"/>
          <w:sz w:val="22"/>
          <w:szCs w:val="22"/>
        </w:rPr>
        <w:t>outillée</w:t>
      </w:r>
      <w:r w:rsidR="00427825" w:rsidRPr="00FE566F">
        <w:rPr>
          <w:rFonts w:ascii="Times" w:hAnsi="Times"/>
          <w:sz w:val="22"/>
          <w:szCs w:val="22"/>
        </w:rPr>
        <w:t xml:space="preserve"> </w:t>
      </w:r>
      <w:r w:rsidR="00EB6523" w:rsidRPr="00FE566F">
        <w:rPr>
          <w:rFonts w:ascii="Times" w:hAnsi="Times"/>
          <w:sz w:val="22"/>
          <w:szCs w:val="22"/>
        </w:rPr>
        <w:t>sur</w:t>
      </w:r>
      <w:r w:rsidR="00427825" w:rsidRPr="00FE566F">
        <w:rPr>
          <w:rFonts w:ascii="Times" w:hAnsi="Times"/>
          <w:sz w:val="22"/>
          <w:szCs w:val="22"/>
        </w:rPr>
        <w:t xml:space="preserve"> </w:t>
      </w:r>
      <w:r w:rsidR="00EB6523" w:rsidRPr="00FE566F">
        <w:rPr>
          <w:rFonts w:ascii="Times" w:hAnsi="Times"/>
          <w:sz w:val="22"/>
          <w:szCs w:val="22"/>
        </w:rPr>
        <w:t>le</w:t>
      </w:r>
      <w:r w:rsidR="00427825" w:rsidRPr="00FE566F">
        <w:rPr>
          <w:rFonts w:ascii="Times" w:hAnsi="Times"/>
          <w:sz w:val="22"/>
          <w:szCs w:val="22"/>
        </w:rPr>
        <w:t xml:space="preserve"> </w:t>
      </w:r>
      <w:r w:rsidR="00EB6523" w:rsidRPr="00FE566F">
        <w:rPr>
          <w:rFonts w:ascii="Times" w:hAnsi="Times"/>
          <w:sz w:val="22"/>
          <w:szCs w:val="22"/>
        </w:rPr>
        <w:t>plan</w:t>
      </w:r>
      <w:r w:rsidR="00427825" w:rsidRPr="00FE566F">
        <w:rPr>
          <w:rFonts w:ascii="Times" w:hAnsi="Times"/>
          <w:sz w:val="22"/>
          <w:szCs w:val="22"/>
        </w:rPr>
        <w:t xml:space="preserve"> </w:t>
      </w:r>
      <w:r w:rsidR="00231722" w:rsidRPr="00FE566F">
        <w:rPr>
          <w:rFonts w:ascii="Times" w:hAnsi="Times"/>
          <w:sz w:val="22"/>
          <w:szCs w:val="22"/>
        </w:rPr>
        <w:t>l</w:t>
      </w:r>
      <w:r w:rsidR="00EB6523" w:rsidRPr="00FE566F">
        <w:rPr>
          <w:rFonts w:ascii="Times" w:hAnsi="Times"/>
          <w:sz w:val="22"/>
          <w:szCs w:val="22"/>
        </w:rPr>
        <w:t xml:space="preserve">ogistique. </w:t>
      </w:r>
    </w:p>
    <w:p w:rsidR="002A20A6" w:rsidRPr="008371D1" w:rsidRDefault="002A20A6" w:rsidP="00A76F4A">
      <w:pPr>
        <w:pStyle w:val="PargrafodaLista"/>
        <w:numPr>
          <w:ilvl w:val="0"/>
          <w:numId w:val="87"/>
        </w:numPr>
        <w:ind w:right="12"/>
        <w:jc w:val="both"/>
        <w:rPr>
          <w:rFonts w:ascii="Times" w:hAnsi="Times"/>
          <w:sz w:val="22"/>
          <w:szCs w:val="22"/>
        </w:rPr>
      </w:pPr>
      <w:r w:rsidRPr="008371D1">
        <w:rPr>
          <w:rFonts w:ascii="Times" w:hAnsi="Times"/>
          <w:b/>
          <w:sz w:val="22"/>
          <w:szCs w:val="22"/>
        </w:rPr>
        <w:t xml:space="preserve">La Direction des Services de protection des végétaux </w:t>
      </w:r>
      <w:r w:rsidR="006E4110" w:rsidRPr="008371D1">
        <w:rPr>
          <w:rFonts w:ascii="Times" w:hAnsi="Times"/>
          <w:b/>
          <w:sz w:val="22"/>
          <w:szCs w:val="22"/>
        </w:rPr>
        <w:t>(DSPV)</w:t>
      </w:r>
      <w:r w:rsidR="006E4110" w:rsidRPr="00CE6B52">
        <w:rPr>
          <w:rFonts w:ascii="Times" w:hAnsi="Times"/>
          <w:sz w:val="22"/>
          <w:szCs w:val="22"/>
        </w:rPr>
        <w:t xml:space="preserve"> </w:t>
      </w:r>
      <w:r w:rsidRPr="008371D1">
        <w:rPr>
          <w:rFonts w:ascii="Times" w:hAnsi="Times"/>
          <w:sz w:val="22"/>
          <w:szCs w:val="22"/>
        </w:rPr>
        <w:t>ne dispose pas spécifiquement d’expériences dans la gestion environn</w:t>
      </w:r>
      <w:r w:rsidR="001C1E47" w:rsidRPr="00CE6B52">
        <w:rPr>
          <w:rFonts w:ascii="Times" w:hAnsi="Times"/>
          <w:sz w:val="22"/>
          <w:szCs w:val="22"/>
        </w:rPr>
        <w:t>ementale et sociale de projet</w:t>
      </w:r>
      <w:r w:rsidRPr="008371D1">
        <w:rPr>
          <w:rFonts w:ascii="Times" w:hAnsi="Times"/>
          <w:sz w:val="22"/>
          <w:szCs w:val="22"/>
        </w:rPr>
        <w:t>. Cependant</w:t>
      </w:r>
      <w:r w:rsidR="00AC22B3" w:rsidRPr="00CE6B52">
        <w:rPr>
          <w:rFonts w:ascii="Times" w:hAnsi="Times"/>
          <w:sz w:val="22"/>
          <w:szCs w:val="22"/>
        </w:rPr>
        <w:t>, elle a participé activement à</w:t>
      </w:r>
      <w:r w:rsidR="008B5E88" w:rsidRPr="00FE566F">
        <w:rPr>
          <w:rFonts w:ascii="Times" w:hAnsi="Times"/>
          <w:sz w:val="22"/>
          <w:szCs w:val="22"/>
        </w:rPr>
        <w:t xml:space="preserve"> </w:t>
      </w:r>
      <w:r w:rsidRPr="008371D1">
        <w:rPr>
          <w:rFonts w:ascii="Times" w:hAnsi="Times"/>
          <w:sz w:val="22"/>
          <w:szCs w:val="22"/>
        </w:rPr>
        <w:t xml:space="preserve">l'accompagnement de la mise en œuvre de certain projet à travers des conseils pour l'acquisition de produits phytosanitaires et l'élaboration d'un manuel de bonnes pratiques sur l'utilisation des pesticides par les producteurs et les techniciens. </w:t>
      </w:r>
      <w:r w:rsidR="008C770B" w:rsidRPr="008371D1">
        <w:rPr>
          <w:rFonts w:ascii="Times" w:hAnsi="Times"/>
          <w:sz w:val="22"/>
          <w:szCs w:val="22"/>
        </w:rPr>
        <w:t>La</w:t>
      </w:r>
      <w:r w:rsidRPr="008371D1">
        <w:rPr>
          <w:rFonts w:ascii="Times" w:hAnsi="Times"/>
          <w:sz w:val="22"/>
          <w:szCs w:val="22"/>
        </w:rPr>
        <w:t xml:space="preserve"> direction manque de moyens techniques et matériels pour suivre et évaluer les aspects relatifs à la santé et à l’environnement des différentes campagnes. </w:t>
      </w:r>
    </w:p>
    <w:p w:rsidR="0058405B" w:rsidRDefault="0058405B" w:rsidP="00A76F4A">
      <w:pPr>
        <w:pStyle w:val="PargrafodaLista"/>
        <w:numPr>
          <w:ilvl w:val="0"/>
          <w:numId w:val="87"/>
        </w:numPr>
        <w:ind w:right="12"/>
        <w:jc w:val="both"/>
        <w:rPr>
          <w:rFonts w:ascii="Times" w:eastAsia="MS Mincho" w:hAnsi="Times" w:cs="MS Mincho"/>
          <w:sz w:val="22"/>
          <w:szCs w:val="22"/>
        </w:rPr>
      </w:pPr>
      <w:r w:rsidRPr="00CE6B52">
        <w:rPr>
          <w:rFonts w:ascii="Times" w:hAnsi="Times"/>
          <w:b/>
          <w:bCs/>
          <w:sz w:val="22"/>
          <w:szCs w:val="22"/>
        </w:rPr>
        <w:t>Les</w:t>
      </w:r>
      <w:r w:rsidRPr="00FE566F">
        <w:rPr>
          <w:rFonts w:ascii="Times" w:hAnsi="Times"/>
          <w:b/>
          <w:bCs/>
          <w:sz w:val="22"/>
          <w:szCs w:val="22"/>
        </w:rPr>
        <w:t xml:space="preserve"> Communes</w:t>
      </w:r>
      <w:r w:rsidRPr="00FE566F">
        <w:rPr>
          <w:rFonts w:ascii="Times" w:hAnsi="Times"/>
          <w:sz w:val="22"/>
          <w:szCs w:val="22"/>
        </w:rPr>
        <w:t xml:space="preserve">, au regard des compétences qu’elles assument, disposent de services techniques relativement performants et rencontrent des difficultés financières et </w:t>
      </w:r>
      <w:r w:rsidR="00CE6B52" w:rsidRPr="008371D1">
        <w:rPr>
          <w:rFonts w:ascii="Times" w:eastAsia="MS Mincho" w:hAnsi="Times" w:cs="MS Mincho"/>
          <w:sz w:val="22"/>
          <w:szCs w:val="22"/>
        </w:rPr>
        <w:t xml:space="preserve">matérielles à exercer leurs prérogatives en matière d’amélioration des conditions de vie, de gestion de l’environnement et des déchets. </w:t>
      </w:r>
    </w:p>
    <w:p w:rsidR="00E76027" w:rsidRPr="00E76027" w:rsidRDefault="00E76027" w:rsidP="00A76F4A">
      <w:pPr>
        <w:pStyle w:val="PargrafodaLista"/>
        <w:ind w:right="12"/>
        <w:jc w:val="both"/>
        <w:rPr>
          <w:rFonts w:ascii="Times" w:eastAsia="MS Mincho" w:hAnsi="Times" w:cs="MS Mincho"/>
          <w:sz w:val="22"/>
          <w:szCs w:val="22"/>
        </w:rPr>
      </w:pPr>
    </w:p>
    <w:p w:rsidR="0013131B" w:rsidRPr="008142E8" w:rsidRDefault="0013131B"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385" w:name="_Toc75432319"/>
      <w:r w:rsidRPr="00193A14">
        <w:rPr>
          <w:rFonts w:ascii="Times New Roman" w:hAnsi="Times New Roman"/>
          <w:b/>
          <w:bCs/>
          <w:sz w:val="24"/>
          <w:szCs w:val="24"/>
        </w:rPr>
        <w:t>Mesures de renforcement des capacités de gestion environnementale des acteurs du projet</w:t>
      </w:r>
      <w:bookmarkEnd w:id="385"/>
      <w:r w:rsidRPr="00193A14">
        <w:rPr>
          <w:rFonts w:ascii="Times New Roman" w:hAnsi="Times New Roman"/>
          <w:b/>
          <w:bCs/>
          <w:sz w:val="24"/>
          <w:szCs w:val="24"/>
        </w:rPr>
        <w:t xml:space="preserve"> </w:t>
      </w:r>
    </w:p>
    <w:p w:rsidR="00966572" w:rsidRDefault="00966572" w:rsidP="00A76F4A">
      <w:pPr>
        <w:ind w:right="12"/>
        <w:rPr>
          <w:rFonts w:ascii="Times" w:eastAsia="Calibri" w:hAnsi="Times" w:cs="Times"/>
          <w:b/>
          <w:color w:val="000000"/>
          <w:sz w:val="20"/>
          <w:szCs w:val="20"/>
          <w:lang w:eastAsia="en-US"/>
        </w:rPr>
      </w:pPr>
    </w:p>
    <w:p w:rsidR="00A50F90" w:rsidRDefault="002C13EA" w:rsidP="00A76F4A">
      <w:pPr>
        <w:ind w:right="12"/>
        <w:jc w:val="center"/>
        <w:rPr>
          <w:rFonts w:ascii="Times" w:eastAsia="Calibri" w:hAnsi="Times" w:cs="Times"/>
          <w:b/>
          <w:color w:val="000000"/>
          <w:sz w:val="20"/>
          <w:szCs w:val="20"/>
          <w:lang w:eastAsia="en-US"/>
        </w:rPr>
      </w:pPr>
      <w:bookmarkStart w:id="386" w:name="_Toc75503458"/>
      <w:r w:rsidRPr="00A05698">
        <w:rPr>
          <w:b/>
        </w:rPr>
        <w:t xml:space="preserve">Tableau </w:t>
      </w:r>
      <w:r w:rsidRPr="00A05698">
        <w:rPr>
          <w:b/>
        </w:rPr>
        <w:fldChar w:fldCharType="begin"/>
      </w:r>
      <w:r w:rsidRPr="00A05698">
        <w:rPr>
          <w:b/>
        </w:rPr>
        <w:instrText xml:space="preserve"> </w:instrText>
      </w:r>
      <w:r>
        <w:rPr>
          <w:b/>
        </w:rPr>
        <w:instrText>SEQ</w:instrText>
      </w:r>
      <w:r w:rsidRPr="00A05698">
        <w:rPr>
          <w:b/>
        </w:rPr>
        <w:instrText xml:space="preserve"> Tableau \* ARABIC </w:instrText>
      </w:r>
      <w:r w:rsidRPr="00A05698">
        <w:rPr>
          <w:b/>
        </w:rPr>
        <w:fldChar w:fldCharType="separate"/>
      </w:r>
      <w:r w:rsidR="00F92390">
        <w:rPr>
          <w:b/>
          <w:noProof/>
        </w:rPr>
        <w:t>25</w:t>
      </w:r>
      <w:r w:rsidRPr="00A05698">
        <w:rPr>
          <w:b/>
        </w:rPr>
        <w:fldChar w:fldCharType="end"/>
      </w:r>
      <w:r w:rsidRPr="00A05698">
        <w:rPr>
          <w:b/>
        </w:rPr>
        <w:t xml:space="preserve">: </w:t>
      </w:r>
      <w:r w:rsidRPr="00A20449">
        <w:rPr>
          <w:b/>
          <w:bCs/>
        </w:rPr>
        <w:t>Mesures de renforcement des capacités</w:t>
      </w:r>
      <w:bookmarkEnd w:id="386"/>
      <w:r w:rsidDel="002C13EA">
        <w:rPr>
          <w:rFonts w:ascii="Times" w:eastAsia="Calibri" w:hAnsi="Times" w:cs="Times"/>
          <w:b/>
          <w:color w:val="000000"/>
          <w:sz w:val="20"/>
          <w:szCs w:val="20"/>
          <w:lang w:eastAsia="en-US"/>
        </w:rPr>
        <w:t xml:space="preserve"> </w:t>
      </w:r>
    </w:p>
    <w:tbl>
      <w:tblPr>
        <w:tblStyle w:val="Tabelacomgrelha"/>
        <w:tblpPr w:leftFromText="141" w:rightFromText="141" w:vertAnchor="text" w:horzAnchor="page" w:tblpX="1386" w:tblpY="125"/>
        <w:tblW w:w="0" w:type="auto"/>
        <w:tblLook w:val="04A0" w:firstRow="1" w:lastRow="0" w:firstColumn="1" w:lastColumn="0" w:noHBand="0" w:noVBand="1"/>
      </w:tblPr>
      <w:tblGrid>
        <w:gridCol w:w="1660"/>
        <w:gridCol w:w="5003"/>
        <w:gridCol w:w="2562"/>
      </w:tblGrid>
      <w:tr w:rsidR="0060566C" w:rsidRPr="00E76027" w:rsidTr="00662249">
        <w:tc>
          <w:tcPr>
            <w:tcW w:w="1660" w:type="dxa"/>
            <w:shd w:val="clear" w:color="auto" w:fill="FFF2CC" w:themeFill="accent4" w:themeFillTint="33"/>
            <w:vAlign w:val="center"/>
          </w:tcPr>
          <w:p w:rsidR="0060566C" w:rsidRPr="00E76027" w:rsidRDefault="0060566C" w:rsidP="00A76F4A">
            <w:pPr>
              <w:widowControl w:val="0"/>
              <w:autoSpaceDE w:val="0"/>
              <w:autoSpaceDN w:val="0"/>
              <w:adjustRightInd w:val="0"/>
              <w:ind w:right="12"/>
              <w:jc w:val="center"/>
              <w:rPr>
                <w:rFonts w:cs="Times"/>
                <w:b/>
                <w:color w:val="000000" w:themeColor="text1"/>
                <w:sz w:val="21"/>
                <w:szCs w:val="21"/>
                <w:lang w:eastAsia="en-US"/>
              </w:rPr>
            </w:pPr>
            <w:r w:rsidRPr="00E76027">
              <w:rPr>
                <w:rFonts w:cs="Tahoma"/>
                <w:b/>
                <w:color w:val="000000" w:themeColor="text1"/>
                <w:sz w:val="21"/>
                <w:szCs w:val="21"/>
                <w:lang w:eastAsia="en-US"/>
              </w:rPr>
              <w:t>Acteurs</w:t>
            </w:r>
          </w:p>
        </w:tc>
        <w:tc>
          <w:tcPr>
            <w:tcW w:w="5003" w:type="dxa"/>
            <w:shd w:val="clear" w:color="auto" w:fill="FFF2CC" w:themeFill="accent4" w:themeFillTint="33"/>
            <w:vAlign w:val="center"/>
          </w:tcPr>
          <w:p w:rsidR="0060566C" w:rsidRPr="00E76027" w:rsidRDefault="0060566C" w:rsidP="00A76F4A">
            <w:pPr>
              <w:widowControl w:val="0"/>
              <w:autoSpaceDE w:val="0"/>
              <w:autoSpaceDN w:val="0"/>
              <w:adjustRightInd w:val="0"/>
              <w:ind w:right="12"/>
              <w:jc w:val="center"/>
              <w:rPr>
                <w:rFonts w:cs="Times"/>
                <w:b/>
                <w:color w:val="000000" w:themeColor="text1"/>
                <w:sz w:val="21"/>
                <w:szCs w:val="21"/>
                <w:lang w:eastAsia="en-US"/>
              </w:rPr>
            </w:pPr>
            <w:r w:rsidRPr="00E76027">
              <w:rPr>
                <w:rFonts w:cs="Tahoma"/>
                <w:b/>
                <w:color w:val="000000" w:themeColor="text1"/>
                <w:sz w:val="21"/>
                <w:szCs w:val="21"/>
                <w:lang w:eastAsia="en-US"/>
              </w:rPr>
              <w:t>Propositions</w:t>
            </w:r>
          </w:p>
        </w:tc>
        <w:tc>
          <w:tcPr>
            <w:tcW w:w="2562" w:type="dxa"/>
            <w:shd w:val="clear" w:color="auto" w:fill="FFF2CC" w:themeFill="accent4" w:themeFillTint="33"/>
            <w:vAlign w:val="center"/>
          </w:tcPr>
          <w:p w:rsidR="0060566C" w:rsidRPr="00E76027" w:rsidRDefault="0060566C" w:rsidP="00A76F4A">
            <w:pPr>
              <w:widowControl w:val="0"/>
              <w:autoSpaceDE w:val="0"/>
              <w:autoSpaceDN w:val="0"/>
              <w:adjustRightInd w:val="0"/>
              <w:ind w:right="12"/>
              <w:jc w:val="center"/>
              <w:rPr>
                <w:rFonts w:cs="Times"/>
                <w:b/>
                <w:color w:val="000000" w:themeColor="text1"/>
                <w:sz w:val="21"/>
                <w:szCs w:val="21"/>
                <w:lang w:eastAsia="en-US"/>
              </w:rPr>
            </w:pPr>
            <w:r w:rsidRPr="00E76027">
              <w:rPr>
                <w:rFonts w:cs="Tahoma"/>
                <w:b/>
                <w:color w:val="000000" w:themeColor="text1"/>
                <w:sz w:val="21"/>
                <w:szCs w:val="21"/>
                <w:lang w:eastAsia="en-US"/>
              </w:rPr>
              <w:t>Budget Estimatif du volet renforcement des capacités</w:t>
            </w:r>
          </w:p>
        </w:tc>
      </w:tr>
      <w:tr w:rsidR="0060566C" w:rsidRPr="00856AC2" w:rsidTr="00960D00">
        <w:tc>
          <w:tcPr>
            <w:tcW w:w="1660" w:type="dxa"/>
          </w:tcPr>
          <w:p w:rsidR="0060566C" w:rsidRPr="00856AC2" w:rsidRDefault="0060566C" w:rsidP="00A76F4A">
            <w:pPr>
              <w:pStyle w:val="PargrafodaLista"/>
              <w:spacing w:after="0" w:line="240" w:lineRule="auto"/>
              <w:ind w:left="0" w:right="12"/>
              <w:jc w:val="both"/>
              <w:rPr>
                <w:rFonts w:ascii="Times" w:hAnsi="Times"/>
                <w:sz w:val="21"/>
                <w:szCs w:val="21"/>
              </w:rPr>
            </w:pPr>
            <w:r w:rsidRPr="00856AC2">
              <w:rPr>
                <w:rFonts w:ascii="Times" w:hAnsi="Times"/>
                <w:b/>
                <w:sz w:val="21"/>
                <w:szCs w:val="21"/>
              </w:rPr>
              <w:t>UCP du projet PUSA</w:t>
            </w:r>
          </w:p>
        </w:tc>
        <w:tc>
          <w:tcPr>
            <w:tcW w:w="5003" w:type="dxa"/>
          </w:tcPr>
          <w:p w:rsidR="0060566C" w:rsidRPr="00856AC2" w:rsidRDefault="0060566C" w:rsidP="00A76F4A">
            <w:pPr>
              <w:ind w:right="12"/>
              <w:jc w:val="both"/>
              <w:rPr>
                <w:rFonts w:ascii="Times" w:hAnsi="Times"/>
                <w:sz w:val="21"/>
                <w:szCs w:val="21"/>
              </w:rPr>
            </w:pPr>
            <w:r w:rsidRPr="00856AC2">
              <w:rPr>
                <w:rFonts w:ascii="Times" w:hAnsi="Times"/>
                <w:sz w:val="21"/>
                <w:szCs w:val="21"/>
              </w:rPr>
              <w:t xml:space="preserve">▪Recruter un </w:t>
            </w:r>
            <w:r w:rsidR="00F6302F" w:rsidRPr="008371D1">
              <w:rPr>
                <w:rFonts w:ascii="Times" w:hAnsi="Times"/>
                <w:sz w:val="22"/>
                <w:szCs w:val="22"/>
              </w:rPr>
              <w:t>Spécialiste</w:t>
            </w:r>
            <w:r w:rsidR="00F6302F" w:rsidRPr="00CE6B52">
              <w:rPr>
                <w:rFonts w:ascii="Times" w:hAnsi="Times"/>
                <w:sz w:val="22"/>
                <w:szCs w:val="22"/>
              </w:rPr>
              <w:t xml:space="preserve"> </w:t>
            </w:r>
            <w:r w:rsidR="00F6302F" w:rsidRPr="008371D1">
              <w:rPr>
                <w:rFonts w:ascii="Times" w:hAnsi="Times"/>
                <w:sz w:val="22"/>
                <w:szCs w:val="22"/>
              </w:rPr>
              <w:t>en</w:t>
            </w:r>
            <w:r w:rsidR="00F6302F" w:rsidRPr="00CE6B52">
              <w:rPr>
                <w:rFonts w:ascii="Times" w:hAnsi="Times"/>
                <w:sz w:val="22"/>
                <w:szCs w:val="22"/>
              </w:rPr>
              <w:t xml:space="preserve"> </w:t>
            </w:r>
            <w:r w:rsidR="00F6302F" w:rsidRPr="008371D1">
              <w:rPr>
                <w:rFonts w:ascii="Times" w:hAnsi="Times"/>
                <w:sz w:val="22"/>
                <w:szCs w:val="22"/>
              </w:rPr>
              <w:t>Sauvegarde Environnementale</w:t>
            </w:r>
            <w:r w:rsidR="00F6302F">
              <w:rPr>
                <w:rFonts w:ascii="Times" w:hAnsi="Times"/>
                <w:sz w:val="22"/>
                <w:szCs w:val="22"/>
              </w:rPr>
              <w:t xml:space="preserve"> et Sociale</w:t>
            </w:r>
          </w:p>
        </w:tc>
        <w:tc>
          <w:tcPr>
            <w:tcW w:w="2562" w:type="dxa"/>
            <w:vAlign w:val="center"/>
          </w:tcPr>
          <w:p w:rsidR="0060566C" w:rsidRPr="0060566C" w:rsidRDefault="0060566C" w:rsidP="00A76F4A">
            <w:pPr>
              <w:ind w:right="12"/>
              <w:jc w:val="center"/>
              <w:rPr>
                <w:rFonts w:ascii="Times" w:hAnsi="Times"/>
                <w:b/>
                <w:sz w:val="21"/>
                <w:szCs w:val="21"/>
              </w:rPr>
            </w:pPr>
            <w:r w:rsidRPr="0060566C">
              <w:rPr>
                <w:rFonts w:ascii="Times" w:hAnsi="Times"/>
                <w:b/>
                <w:sz w:val="21"/>
                <w:szCs w:val="21"/>
              </w:rPr>
              <w:t>Dans le budget du Projet</w:t>
            </w:r>
          </w:p>
          <w:p w:rsidR="0060566C" w:rsidRPr="0060566C" w:rsidRDefault="0060566C" w:rsidP="00A76F4A">
            <w:pPr>
              <w:pStyle w:val="PargrafodaLista"/>
              <w:spacing w:after="0" w:line="240" w:lineRule="auto"/>
              <w:ind w:left="0" w:right="12"/>
              <w:jc w:val="center"/>
              <w:rPr>
                <w:rFonts w:ascii="Times" w:hAnsi="Times"/>
                <w:b/>
                <w:sz w:val="21"/>
                <w:szCs w:val="21"/>
              </w:rPr>
            </w:pPr>
          </w:p>
        </w:tc>
      </w:tr>
      <w:tr w:rsidR="00960D00" w:rsidRPr="00856AC2" w:rsidTr="00D47C37">
        <w:trPr>
          <w:trHeight w:val="573"/>
        </w:trPr>
        <w:tc>
          <w:tcPr>
            <w:tcW w:w="1660" w:type="dxa"/>
            <w:vMerge w:val="restart"/>
          </w:tcPr>
          <w:p w:rsidR="00960D00" w:rsidRDefault="00960D00" w:rsidP="00A76F4A">
            <w:pPr>
              <w:pStyle w:val="PargrafodaLista"/>
              <w:spacing w:after="0" w:line="240" w:lineRule="auto"/>
              <w:ind w:left="0" w:right="12"/>
              <w:jc w:val="both"/>
              <w:rPr>
                <w:rFonts w:ascii="Times" w:hAnsi="Times"/>
                <w:b/>
                <w:bCs/>
                <w:sz w:val="21"/>
                <w:szCs w:val="21"/>
              </w:rPr>
            </w:pPr>
          </w:p>
          <w:p w:rsidR="00960D00" w:rsidRDefault="00960D00" w:rsidP="00A76F4A">
            <w:pPr>
              <w:pStyle w:val="PargrafodaLista"/>
              <w:spacing w:after="0" w:line="240" w:lineRule="auto"/>
              <w:ind w:left="0" w:right="12"/>
              <w:jc w:val="both"/>
              <w:rPr>
                <w:rFonts w:ascii="Times" w:hAnsi="Times"/>
                <w:b/>
                <w:bCs/>
                <w:sz w:val="21"/>
                <w:szCs w:val="21"/>
              </w:rPr>
            </w:pPr>
          </w:p>
          <w:p w:rsidR="00960D00" w:rsidRDefault="00960D00" w:rsidP="00A76F4A">
            <w:pPr>
              <w:pStyle w:val="PargrafodaLista"/>
              <w:spacing w:after="0" w:line="240" w:lineRule="auto"/>
              <w:ind w:left="0" w:right="12"/>
              <w:jc w:val="both"/>
              <w:rPr>
                <w:rFonts w:ascii="Times" w:hAnsi="Times"/>
                <w:b/>
                <w:bCs/>
                <w:sz w:val="21"/>
                <w:szCs w:val="21"/>
              </w:rPr>
            </w:pPr>
          </w:p>
          <w:p w:rsidR="00960D00" w:rsidRDefault="00960D00" w:rsidP="00A76F4A">
            <w:pPr>
              <w:pStyle w:val="PargrafodaLista"/>
              <w:spacing w:after="0" w:line="240" w:lineRule="auto"/>
              <w:ind w:left="0" w:right="12"/>
              <w:jc w:val="both"/>
              <w:rPr>
                <w:rFonts w:ascii="Times" w:hAnsi="Times"/>
                <w:b/>
                <w:bCs/>
                <w:sz w:val="21"/>
                <w:szCs w:val="21"/>
              </w:rPr>
            </w:pPr>
          </w:p>
          <w:p w:rsidR="00960D00" w:rsidRDefault="00960D00" w:rsidP="00A76F4A">
            <w:pPr>
              <w:pStyle w:val="PargrafodaLista"/>
              <w:spacing w:after="0" w:line="240" w:lineRule="auto"/>
              <w:ind w:left="0" w:right="12"/>
              <w:jc w:val="both"/>
              <w:rPr>
                <w:rFonts w:ascii="Times" w:hAnsi="Times"/>
                <w:b/>
                <w:bCs/>
                <w:sz w:val="21"/>
                <w:szCs w:val="21"/>
              </w:rPr>
            </w:pPr>
          </w:p>
          <w:p w:rsidR="00960D00" w:rsidRDefault="00960D00" w:rsidP="00A76F4A">
            <w:pPr>
              <w:pStyle w:val="PargrafodaLista"/>
              <w:spacing w:after="0" w:line="240" w:lineRule="auto"/>
              <w:ind w:left="0" w:right="12"/>
              <w:jc w:val="both"/>
              <w:rPr>
                <w:rFonts w:ascii="Times" w:hAnsi="Times"/>
                <w:b/>
                <w:bCs/>
                <w:sz w:val="21"/>
                <w:szCs w:val="21"/>
              </w:rPr>
            </w:pPr>
          </w:p>
          <w:p w:rsidR="00960D00" w:rsidRPr="00856AC2" w:rsidRDefault="00960D00" w:rsidP="00A76F4A">
            <w:pPr>
              <w:pStyle w:val="PargrafodaLista"/>
              <w:spacing w:after="0" w:line="240" w:lineRule="auto"/>
              <w:ind w:left="0" w:right="12"/>
              <w:jc w:val="both"/>
              <w:rPr>
                <w:rFonts w:ascii="Times" w:hAnsi="Times"/>
                <w:sz w:val="21"/>
                <w:szCs w:val="21"/>
              </w:rPr>
            </w:pPr>
            <w:r>
              <w:rPr>
                <w:rFonts w:ascii="Times" w:hAnsi="Times"/>
                <w:b/>
                <w:bCs/>
                <w:sz w:val="21"/>
                <w:szCs w:val="21"/>
              </w:rPr>
              <w:t>Parties prenantes</w:t>
            </w:r>
          </w:p>
          <w:p w:rsidR="00960D00" w:rsidRPr="00856AC2" w:rsidRDefault="00960D00" w:rsidP="00A76F4A">
            <w:pPr>
              <w:pStyle w:val="PargrafodaLista"/>
              <w:spacing w:after="0" w:line="240" w:lineRule="auto"/>
              <w:ind w:left="0" w:right="12"/>
              <w:jc w:val="both"/>
              <w:rPr>
                <w:rFonts w:ascii="Times" w:hAnsi="Times"/>
                <w:sz w:val="21"/>
                <w:szCs w:val="21"/>
              </w:rPr>
            </w:pPr>
          </w:p>
          <w:p w:rsidR="00960D00" w:rsidRPr="00856AC2" w:rsidRDefault="00960D00" w:rsidP="00A76F4A">
            <w:pPr>
              <w:pStyle w:val="PargrafodaLista"/>
              <w:spacing w:after="0" w:line="240" w:lineRule="auto"/>
              <w:ind w:left="0" w:right="12"/>
              <w:jc w:val="both"/>
              <w:rPr>
                <w:rFonts w:ascii="Times" w:hAnsi="Times"/>
                <w:sz w:val="21"/>
                <w:szCs w:val="21"/>
              </w:rPr>
            </w:pPr>
          </w:p>
        </w:tc>
        <w:tc>
          <w:tcPr>
            <w:tcW w:w="5003" w:type="dxa"/>
          </w:tcPr>
          <w:p w:rsidR="00960D00" w:rsidRPr="00D47C37" w:rsidRDefault="00960D00" w:rsidP="00A76F4A">
            <w:pPr>
              <w:keepNext/>
              <w:ind w:right="12"/>
              <w:jc w:val="both"/>
              <w:outlineLvl w:val="2"/>
              <w:rPr>
                <w:rFonts w:ascii="Times" w:hAnsi="Times"/>
                <w:sz w:val="21"/>
                <w:szCs w:val="21"/>
              </w:rPr>
            </w:pPr>
            <w:r w:rsidRPr="00D47C37">
              <w:rPr>
                <w:rFonts w:ascii="Times" w:hAnsi="Times"/>
                <w:sz w:val="21"/>
                <w:szCs w:val="21"/>
              </w:rPr>
              <w:t xml:space="preserve">-Former les équipes des acteurs du projet sur </w:t>
            </w:r>
            <w:r w:rsidR="00ED1B6F">
              <w:rPr>
                <w:rFonts w:ascii="Times" w:hAnsi="Times"/>
                <w:sz w:val="21"/>
                <w:szCs w:val="21"/>
              </w:rPr>
              <w:t>le CES et ses NES</w:t>
            </w:r>
            <w:r w:rsidRPr="00D47C37">
              <w:rPr>
                <w:rFonts w:ascii="Times" w:hAnsi="Times"/>
                <w:sz w:val="21"/>
                <w:szCs w:val="21"/>
              </w:rPr>
              <w:t xml:space="preserve"> de la BM et les exigences sociales du CGES </w:t>
            </w:r>
          </w:p>
          <w:p w:rsidR="00960D00" w:rsidRPr="002C13EA" w:rsidRDefault="00960D00" w:rsidP="00A76F4A">
            <w:pPr>
              <w:ind w:right="12"/>
              <w:jc w:val="both"/>
              <w:rPr>
                <w:rFonts w:ascii="Times" w:hAnsi="Times"/>
                <w:sz w:val="21"/>
                <w:szCs w:val="21"/>
              </w:rPr>
            </w:pPr>
            <w:r w:rsidRPr="00D47C37">
              <w:rPr>
                <w:rFonts w:ascii="Times" w:hAnsi="Times"/>
                <w:sz w:val="21"/>
                <w:szCs w:val="21"/>
              </w:rPr>
              <w:t>-Former les travailleurs sur les problématiques HSS et sur les mécanismes de gestion des plaintes, etc.</w:t>
            </w:r>
            <w:r w:rsidRPr="002C13EA">
              <w:rPr>
                <w:rFonts w:ascii="Times" w:hAnsi="Times"/>
                <w:sz w:val="21"/>
                <w:szCs w:val="21"/>
              </w:rPr>
              <w:t xml:space="preserve"> </w:t>
            </w:r>
          </w:p>
        </w:tc>
        <w:tc>
          <w:tcPr>
            <w:tcW w:w="2562" w:type="dxa"/>
            <w:vAlign w:val="center"/>
          </w:tcPr>
          <w:p w:rsidR="00960D00" w:rsidRPr="0060566C" w:rsidRDefault="00960D00" w:rsidP="00A76F4A">
            <w:pPr>
              <w:ind w:right="12"/>
              <w:jc w:val="center"/>
              <w:rPr>
                <w:rFonts w:ascii="Times" w:hAnsi="Times"/>
                <w:b/>
                <w:sz w:val="21"/>
                <w:szCs w:val="21"/>
              </w:rPr>
            </w:pPr>
            <w:r>
              <w:rPr>
                <w:rFonts w:ascii="Times" w:hAnsi="Times"/>
                <w:b/>
                <w:sz w:val="21"/>
                <w:szCs w:val="21"/>
              </w:rPr>
              <w:t>Pour Mémoire</w:t>
            </w:r>
          </w:p>
        </w:tc>
      </w:tr>
      <w:tr w:rsidR="00960D00" w:rsidRPr="00856AC2" w:rsidTr="00960D00">
        <w:tc>
          <w:tcPr>
            <w:tcW w:w="1660" w:type="dxa"/>
            <w:vMerge/>
          </w:tcPr>
          <w:p w:rsidR="00960D00" w:rsidRPr="00856AC2" w:rsidRDefault="00960D00" w:rsidP="00A76F4A">
            <w:pPr>
              <w:pStyle w:val="PargrafodaLista"/>
              <w:spacing w:after="0" w:line="240" w:lineRule="auto"/>
              <w:ind w:left="0" w:right="12"/>
              <w:jc w:val="both"/>
              <w:rPr>
                <w:rFonts w:ascii="Times" w:hAnsi="Times"/>
                <w:sz w:val="21"/>
                <w:szCs w:val="21"/>
              </w:rPr>
            </w:pPr>
          </w:p>
        </w:tc>
        <w:tc>
          <w:tcPr>
            <w:tcW w:w="5003" w:type="dxa"/>
          </w:tcPr>
          <w:p w:rsidR="00960D00" w:rsidRPr="00856AC2" w:rsidRDefault="00960D00" w:rsidP="00A76F4A">
            <w:pPr>
              <w:ind w:right="12"/>
              <w:jc w:val="both"/>
              <w:rPr>
                <w:rFonts w:ascii="Times" w:hAnsi="Times"/>
                <w:sz w:val="21"/>
                <w:szCs w:val="21"/>
              </w:rPr>
            </w:pPr>
            <w:r w:rsidRPr="00856AC2">
              <w:rPr>
                <w:rFonts w:ascii="Times" w:hAnsi="Times"/>
                <w:sz w:val="21"/>
                <w:szCs w:val="21"/>
              </w:rPr>
              <w:t xml:space="preserve">-Appuyer les directions de l’agriculture en moyens matériels </w:t>
            </w:r>
          </w:p>
          <w:p w:rsidR="00960D00" w:rsidRPr="00856AC2" w:rsidRDefault="00960D00" w:rsidP="00A76F4A">
            <w:pPr>
              <w:ind w:right="12"/>
              <w:jc w:val="both"/>
              <w:rPr>
                <w:rFonts w:ascii="Times" w:hAnsi="Times"/>
                <w:sz w:val="21"/>
                <w:szCs w:val="21"/>
              </w:rPr>
            </w:pPr>
            <w:r w:rsidRPr="00856AC2">
              <w:rPr>
                <w:rFonts w:ascii="Times" w:hAnsi="Times"/>
                <w:sz w:val="21"/>
                <w:szCs w:val="21"/>
              </w:rPr>
              <w:t xml:space="preserve">-Former les équipes </w:t>
            </w:r>
            <w:r>
              <w:rPr>
                <w:rFonts w:ascii="Times" w:hAnsi="Times"/>
                <w:sz w:val="21"/>
                <w:szCs w:val="21"/>
              </w:rPr>
              <w:t>DGA et DSPV</w:t>
            </w:r>
            <w:r w:rsidRPr="00856AC2">
              <w:rPr>
                <w:rFonts w:ascii="Times" w:hAnsi="Times"/>
                <w:sz w:val="21"/>
                <w:szCs w:val="21"/>
              </w:rPr>
              <w:t xml:space="preserve"> sur les NES de la BM et les exigences sociales du CGES </w:t>
            </w:r>
          </w:p>
        </w:tc>
        <w:tc>
          <w:tcPr>
            <w:tcW w:w="2562" w:type="dxa"/>
            <w:vAlign w:val="center"/>
          </w:tcPr>
          <w:p w:rsidR="00960D00" w:rsidRPr="0060566C" w:rsidRDefault="00960D00" w:rsidP="00A76F4A">
            <w:pPr>
              <w:pStyle w:val="PargrafodaLista"/>
              <w:spacing w:after="0" w:line="240" w:lineRule="auto"/>
              <w:ind w:left="0" w:right="12"/>
              <w:jc w:val="center"/>
              <w:rPr>
                <w:rFonts w:ascii="Times" w:hAnsi="Times"/>
                <w:b/>
                <w:sz w:val="21"/>
                <w:szCs w:val="21"/>
              </w:rPr>
            </w:pPr>
            <w:r w:rsidRPr="0060566C">
              <w:rPr>
                <w:rFonts w:ascii="Times" w:hAnsi="Times"/>
                <w:b/>
                <w:sz w:val="21"/>
                <w:szCs w:val="21"/>
              </w:rPr>
              <w:t>P</w:t>
            </w:r>
            <w:r>
              <w:rPr>
                <w:rFonts w:ascii="Times" w:hAnsi="Times"/>
                <w:b/>
                <w:sz w:val="21"/>
                <w:szCs w:val="21"/>
              </w:rPr>
              <w:t xml:space="preserve">our </w:t>
            </w:r>
            <w:r w:rsidRPr="0060566C">
              <w:rPr>
                <w:rFonts w:ascii="Times" w:hAnsi="Times"/>
                <w:b/>
                <w:sz w:val="21"/>
                <w:szCs w:val="21"/>
              </w:rPr>
              <w:t>M</w:t>
            </w:r>
            <w:r>
              <w:rPr>
                <w:rFonts w:ascii="Times" w:hAnsi="Times"/>
                <w:b/>
                <w:sz w:val="21"/>
                <w:szCs w:val="21"/>
              </w:rPr>
              <w:t>émoire</w:t>
            </w:r>
          </w:p>
        </w:tc>
      </w:tr>
      <w:tr w:rsidR="00960D00" w:rsidRPr="008A6D98" w:rsidTr="00960D00">
        <w:tc>
          <w:tcPr>
            <w:tcW w:w="1660" w:type="dxa"/>
            <w:vMerge/>
          </w:tcPr>
          <w:p w:rsidR="00960D00" w:rsidRPr="00856AC2" w:rsidRDefault="00960D00" w:rsidP="00A76F4A">
            <w:pPr>
              <w:pStyle w:val="PargrafodaLista"/>
              <w:spacing w:after="0" w:line="240" w:lineRule="auto"/>
              <w:ind w:left="0" w:right="12"/>
              <w:jc w:val="both"/>
              <w:rPr>
                <w:rFonts w:ascii="Times" w:hAnsi="Times"/>
                <w:b/>
                <w:bCs/>
                <w:sz w:val="21"/>
                <w:szCs w:val="21"/>
              </w:rPr>
            </w:pPr>
          </w:p>
        </w:tc>
        <w:tc>
          <w:tcPr>
            <w:tcW w:w="5003" w:type="dxa"/>
          </w:tcPr>
          <w:p w:rsidR="00960D00" w:rsidRPr="00856AC2" w:rsidRDefault="00960D00" w:rsidP="00A76F4A">
            <w:pPr>
              <w:ind w:right="12"/>
              <w:jc w:val="both"/>
              <w:rPr>
                <w:rFonts w:ascii="Times" w:hAnsi="Times"/>
                <w:sz w:val="21"/>
                <w:szCs w:val="21"/>
              </w:rPr>
            </w:pPr>
            <w:r w:rsidRPr="00856AC2">
              <w:rPr>
                <w:rFonts w:ascii="Times" w:hAnsi="Times"/>
                <w:sz w:val="21"/>
                <w:szCs w:val="21"/>
              </w:rPr>
              <w:t xml:space="preserve">-Formation les commissions environnement des communes sur la gestion des déchets dangereux </w:t>
            </w:r>
          </w:p>
          <w:p w:rsidR="00960D00" w:rsidRPr="00856AC2" w:rsidRDefault="00960D00" w:rsidP="00A76F4A">
            <w:pPr>
              <w:ind w:right="12"/>
              <w:jc w:val="both"/>
              <w:rPr>
                <w:rFonts w:ascii="Times" w:hAnsi="Times"/>
                <w:sz w:val="21"/>
                <w:szCs w:val="21"/>
              </w:rPr>
            </w:pPr>
            <w:r w:rsidRPr="00856AC2">
              <w:rPr>
                <w:rFonts w:ascii="Times" w:hAnsi="Times"/>
                <w:sz w:val="21"/>
                <w:szCs w:val="21"/>
              </w:rPr>
              <w:t xml:space="preserve">-Former les commissions sociales des communes sur le mécanisme de gestion des plaintes, etc. </w:t>
            </w:r>
          </w:p>
        </w:tc>
        <w:tc>
          <w:tcPr>
            <w:tcW w:w="2562" w:type="dxa"/>
            <w:vAlign w:val="center"/>
          </w:tcPr>
          <w:p w:rsidR="00960D00" w:rsidRPr="0060566C" w:rsidRDefault="00960D00" w:rsidP="00A76F4A">
            <w:pPr>
              <w:pStyle w:val="PargrafodaLista"/>
              <w:spacing w:after="0" w:line="240" w:lineRule="auto"/>
              <w:ind w:left="0" w:right="12"/>
              <w:jc w:val="center"/>
              <w:rPr>
                <w:rFonts w:ascii="Times" w:hAnsi="Times"/>
                <w:b/>
                <w:sz w:val="21"/>
                <w:szCs w:val="21"/>
              </w:rPr>
            </w:pPr>
            <w:r w:rsidRPr="0060566C">
              <w:rPr>
                <w:rFonts w:ascii="Times" w:hAnsi="Times"/>
                <w:b/>
                <w:sz w:val="21"/>
                <w:szCs w:val="21"/>
              </w:rPr>
              <w:t>P</w:t>
            </w:r>
            <w:r>
              <w:rPr>
                <w:rFonts w:ascii="Times" w:hAnsi="Times"/>
                <w:b/>
                <w:sz w:val="21"/>
                <w:szCs w:val="21"/>
              </w:rPr>
              <w:t xml:space="preserve">our </w:t>
            </w:r>
            <w:r w:rsidRPr="0060566C">
              <w:rPr>
                <w:rFonts w:ascii="Times" w:hAnsi="Times"/>
                <w:b/>
                <w:sz w:val="21"/>
                <w:szCs w:val="21"/>
              </w:rPr>
              <w:t>M</w:t>
            </w:r>
            <w:r>
              <w:rPr>
                <w:rFonts w:ascii="Times" w:hAnsi="Times"/>
                <w:b/>
                <w:sz w:val="21"/>
                <w:szCs w:val="21"/>
              </w:rPr>
              <w:t>émoire</w:t>
            </w:r>
          </w:p>
        </w:tc>
      </w:tr>
    </w:tbl>
    <w:p w:rsidR="00966572" w:rsidRDefault="00966572" w:rsidP="00A76F4A">
      <w:pPr>
        <w:ind w:right="12"/>
        <w:rPr>
          <w:rFonts w:ascii="Times" w:eastAsia="Calibri" w:hAnsi="Times" w:cs="Times"/>
          <w:b/>
          <w:color w:val="000000"/>
          <w:sz w:val="20"/>
          <w:szCs w:val="20"/>
          <w:lang w:eastAsia="en-US"/>
        </w:rPr>
      </w:pPr>
    </w:p>
    <w:p w:rsidR="00966572" w:rsidRPr="00A05698" w:rsidRDefault="00966572" w:rsidP="00A76F4A">
      <w:pPr>
        <w:ind w:right="12"/>
      </w:pPr>
    </w:p>
    <w:p w:rsidR="009F32B9" w:rsidRPr="00A05698" w:rsidRDefault="008142E8"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387" w:name="_Toc75432320"/>
      <w:r w:rsidRPr="00A05698">
        <w:rPr>
          <w:rFonts w:ascii="Times New Roman" w:hAnsi="Times New Roman"/>
          <w:b/>
          <w:bCs/>
          <w:sz w:val="24"/>
          <w:szCs w:val="24"/>
        </w:rPr>
        <w:t>EVALUATION DES COUTS DES MESURES ENVIRONNEMENTALES ET SOCIALES</w:t>
      </w:r>
      <w:bookmarkEnd w:id="387"/>
      <w:r w:rsidRPr="00A05698">
        <w:rPr>
          <w:rFonts w:ascii="Times New Roman" w:hAnsi="Times New Roman"/>
          <w:b/>
          <w:bCs/>
          <w:sz w:val="24"/>
          <w:szCs w:val="24"/>
        </w:rPr>
        <w:t xml:space="preserve"> </w:t>
      </w:r>
    </w:p>
    <w:p w:rsidR="00DF32A2" w:rsidRPr="004D1BD0" w:rsidRDefault="00BB031A" w:rsidP="00A76F4A">
      <w:pPr>
        <w:ind w:right="12"/>
        <w:jc w:val="both"/>
      </w:pPr>
      <w:r w:rsidRPr="004D1BD0">
        <w:t xml:space="preserve">Les coûts estimatifs de la prise en compte des mesures de mitigation environnementales et sociales, d’un montant global de </w:t>
      </w:r>
      <w:r w:rsidR="00343A6B" w:rsidRPr="00614D93">
        <w:rPr>
          <w:b/>
          <w:bCs/>
        </w:rPr>
        <w:t>1</w:t>
      </w:r>
      <w:r w:rsidR="00F92390">
        <w:rPr>
          <w:b/>
          <w:bCs/>
        </w:rPr>
        <w:t>1</w:t>
      </w:r>
      <w:r w:rsidR="00343A6B" w:rsidRPr="00614D93">
        <w:rPr>
          <w:b/>
          <w:bCs/>
        </w:rPr>
        <w:t>3</w:t>
      </w:r>
      <w:r w:rsidR="00014AFD" w:rsidRPr="00614D93">
        <w:rPr>
          <w:b/>
          <w:bCs/>
        </w:rPr>
        <w:t xml:space="preserve"> </w:t>
      </w:r>
      <w:r w:rsidR="00716C7D" w:rsidRPr="00614D93">
        <w:rPr>
          <w:b/>
          <w:bCs/>
        </w:rPr>
        <w:t>75</w:t>
      </w:r>
      <w:r w:rsidR="00014AFD" w:rsidRPr="00614D93">
        <w:rPr>
          <w:b/>
          <w:bCs/>
        </w:rPr>
        <w:t xml:space="preserve">0 000 </w:t>
      </w:r>
      <w:r w:rsidRPr="00614D93">
        <w:rPr>
          <w:b/>
          <w:bCs/>
        </w:rPr>
        <w:t>FCFA</w:t>
      </w:r>
      <w:r w:rsidRPr="00CA142D">
        <w:t xml:space="preserve">, </w:t>
      </w:r>
      <w:r w:rsidRPr="004D1BD0">
        <w:t>comprennent essentiellement</w:t>
      </w:r>
      <w:r w:rsidRPr="00CA142D">
        <w:t xml:space="preserve"> : </w:t>
      </w:r>
      <w:r w:rsidRPr="00F42998">
        <w:t xml:space="preserve">Recrutement </w:t>
      </w:r>
      <w:r w:rsidR="00F42998" w:rsidRPr="00193D30">
        <w:t>Spécialiste en Sauvegarde Environnementale et Sociale</w:t>
      </w:r>
      <w:r w:rsidRPr="004D1BD0">
        <w:t xml:space="preserve"> ; Réalisation des </w:t>
      </w:r>
      <w:r w:rsidR="00A73BE0">
        <w:t xml:space="preserve">AEI </w:t>
      </w:r>
      <w:r w:rsidRPr="004D1BD0">
        <w:t xml:space="preserve">y compris leur mise en œuvre ; Élaboration d’une base de données environnementale et sociale des activités du </w:t>
      </w:r>
      <w:r w:rsidR="00A73BE0" w:rsidRPr="004D1BD0">
        <w:t>programme ;</w:t>
      </w:r>
      <w:r w:rsidRPr="004D1BD0">
        <w:t xml:space="preserve"> Surveillance environnementale et sociale ; Suivi environnemental et social ; Évaluation (à mi-parc</w:t>
      </w:r>
      <w:r w:rsidR="00DF32A2" w:rsidRPr="004D1BD0">
        <w:t xml:space="preserve">ours et finale) du CGES </w:t>
      </w:r>
      <w:r w:rsidR="002A575A" w:rsidRPr="002A575A">
        <w:t>et des AEI du projet</w:t>
      </w:r>
      <w:r w:rsidRPr="004D1BD0">
        <w:t>.</w:t>
      </w:r>
    </w:p>
    <w:p w:rsidR="003D1D95" w:rsidRPr="004D1BD0" w:rsidRDefault="003D1D95" w:rsidP="00A76F4A">
      <w:pPr>
        <w:ind w:left="-284" w:right="12"/>
        <w:jc w:val="both"/>
      </w:pPr>
    </w:p>
    <w:p w:rsidR="00206E2C" w:rsidRPr="00662249" w:rsidRDefault="00206E2C" w:rsidP="00A76F4A">
      <w:pPr>
        <w:pStyle w:val="Primeiroavanodecorpodetexto2"/>
        <w:spacing w:after="0" w:line="240" w:lineRule="auto"/>
        <w:ind w:right="12"/>
        <w:jc w:val="center"/>
        <w:rPr>
          <w:rFonts w:ascii="Times New Roman" w:hAnsi="Times New Roman"/>
          <w:b/>
          <w:sz w:val="20"/>
          <w:szCs w:val="20"/>
        </w:rPr>
      </w:pPr>
      <w:bookmarkStart w:id="388" w:name="_Toc55460645"/>
      <w:bookmarkStart w:id="389" w:name="_Toc75503459"/>
      <w:r w:rsidRPr="00662249">
        <w:rPr>
          <w:rFonts w:ascii="Times New Roman" w:hAnsi="Times New Roman"/>
          <w:b/>
          <w:sz w:val="20"/>
          <w:szCs w:val="20"/>
        </w:rPr>
        <w:t xml:space="preserve">Tableau </w:t>
      </w:r>
      <w:r w:rsidRPr="00662249">
        <w:rPr>
          <w:rFonts w:ascii="Times New Roman" w:hAnsi="Times New Roman"/>
          <w:b/>
          <w:sz w:val="20"/>
          <w:szCs w:val="20"/>
        </w:rPr>
        <w:fldChar w:fldCharType="begin"/>
      </w:r>
      <w:r w:rsidRPr="00662249">
        <w:rPr>
          <w:rFonts w:ascii="Times New Roman" w:hAnsi="Times New Roman"/>
          <w:b/>
          <w:sz w:val="20"/>
          <w:szCs w:val="20"/>
        </w:rPr>
        <w:instrText xml:space="preserve"> </w:instrText>
      </w:r>
      <w:r w:rsidR="006C5620" w:rsidRPr="00662249">
        <w:rPr>
          <w:rFonts w:ascii="Times New Roman" w:hAnsi="Times New Roman"/>
          <w:b/>
          <w:sz w:val="20"/>
          <w:szCs w:val="20"/>
        </w:rPr>
        <w:instrText>SEQ</w:instrText>
      </w:r>
      <w:r w:rsidRPr="00662249">
        <w:rPr>
          <w:rFonts w:ascii="Times New Roman" w:hAnsi="Times New Roman"/>
          <w:b/>
          <w:sz w:val="20"/>
          <w:szCs w:val="20"/>
        </w:rPr>
        <w:instrText xml:space="preserve"> Tableau \* ARABIC </w:instrText>
      </w:r>
      <w:r w:rsidRPr="00662249">
        <w:rPr>
          <w:rFonts w:ascii="Times New Roman" w:hAnsi="Times New Roman"/>
          <w:b/>
          <w:sz w:val="20"/>
          <w:szCs w:val="20"/>
        </w:rPr>
        <w:fldChar w:fldCharType="separate"/>
      </w:r>
      <w:r w:rsidR="00F92390">
        <w:rPr>
          <w:rFonts w:ascii="Times New Roman" w:hAnsi="Times New Roman"/>
          <w:b/>
          <w:noProof/>
          <w:sz w:val="20"/>
          <w:szCs w:val="20"/>
        </w:rPr>
        <w:t>26</w:t>
      </w:r>
      <w:r w:rsidRPr="00662249">
        <w:rPr>
          <w:rFonts w:ascii="Times New Roman" w:hAnsi="Times New Roman"/>
          <w:b/>
          <w:sz w:val="20"/>
          <w:szCs w:val="20"/>
        </w:rPr>
        <w:fldChar w:fldCharType="end"/>
      </w:r>
      <w:r w:rsidRPr="00662249">
        <w:rPr>
          <w:rFonts w:ascii="Times New Roman" w:hAnsi="Times New Roman"/>
          <w:b/>
          <w:sz w:val="20"/>
          <w:szCs w:val="20"/>
        </w:rPr>
        <w:t>. Coûts estimatifs des mesures environnementales et sociales</w:t>
      </w:r>
      <w:bookmarkEnd w:id="388"/>
      <w:bookmarkEnd w:id="389"/>
    </w:p>
    <w:tbl>
      <w:tblPr>
        <w:tblStyle w:val="GrelhaClara-Cor3"/>
        <w:tblW w:w="9203" w:type="dxa"/>
        <w:jc w:val="center"/>
        <w:tblLook w:val="04A0" w:firstRow="1" w:lastRow="0" w:firstColumn="1" w:lastColumn="0" w:noHBand="0" w:noVBand="1"/>
      </w:tblPr>
      <w:tblGrid>
        <w:gridCol w:w="1818"/>
        <w:gridCol w:w="3015"/>
        <w:gridCol w:w="1750"/>
        <w:gridCol w:w="1308"/>
        <w:gridCol w:w="1312"/>
      </w:tblGrid>
      <w:tr w:rsidR="00232AAD" w:rsidRPr="00662249" w:rsidTr="00960D00">
        <w:trPr>
          <w:cnfStyle w:val="100000000000" w:firstRow="1" w:lastRow="0" w:firstColumn="0" w:lastColumn="0" w:oddVBand="0" w:evenVBand="0" w:oddHBand="0" w:evenHBand="0" w:firstRowFirstColumn="0" w:firstRowLastColumn="0" w:lastRowFirstColumn="0" w:lastRowLastColumn="0"/>
          <w:trHeight w:val="60"/>
          <w:tblHeader/>
          <w:jc w:val="center"/>
        </w:trPr>
        <w:tc>
          <w:tcPr>
            <w:tcW w:w="0" w:type="auto"/>
            <w:gridSpan w:val="2"/>
            <w:shd w:val="clear" w:color="auto" w:fill="F2F2F2"/>
            <w:vAlign w:val="center"/>
          </w:tcPr>
          <w:p w:rsidR="00206E2C" w:rsidRPr="00662249" w:rsidRDefault="00206E2C" w:rsidP="00A76F4A">
            <w:pPr>
              <w:ind w:right="12"/>
              <w:jc w:val="center"/>
              <w:rPr>
                <w:b/>
                <w:bCs/>
                <w:sz w:val="21"/>
                <w:szCs w:val="21"/>
              </w:rPr>
            </w:pPr>
            <w:r w:rsidRPr="00662249">
              <w:rPr>
                <w:b/>
                <w:bCs/>
                <w:sz w:val="21"/>
                <w:szCs w:val="21"/>
              </w:rPr>
              <w:lastRenderedPageBreak/>
              <w:t>Activités</w:t>
            </w:r>
          </w:p>
        </w:tc>
        <w:tc>
          <w:tcPr>
            <w:tcW w:w="1750" w:type="dxa"/>
            <w:shd w:val="clear" w:color="auto" w:fill="F2F2F2"/>
            <w:vAlign w:val="center"/>
          </w:tcPr>
          <w:p w:rsidR="00206E2C" w:rsidRPr="00662249" w:rsidRDefault="00206E2C" w:rsidP="00A76F4A">
            <w:pPr>
              <w:ind w:right="12"/>
              <w:jc w:val="center"/>
              <w:rPr>
                <w:b/>
                <w:bCs/>
                <w:sz w:val="21"/>
                <w:szCs w:val="21"/>
              </w:rPr>
            </w:pPr>
            <w:r w:rsidRPr="00662249">
              <w:rPr>
                <w:b/>
                <w:bCs/>
                <w:sz w:val="21"/>
                <w:szCs w:val="21"/>
              </w:rPr>
              <w:t>Quantité</w:t>
            </w:r>
          </w:p>
        </w:tc>
        <w:tc>
          <w:tcPr>
            <w:tcW w:w="1308" w:type="dxa"/>
            <w:shd w:val="clear" w:color="auto" w:fill="F2F2F2"/>
            <w:vAlign w:val="center"/>
          </w:tcPr>
          <w:p w:rsidR="00206E2C" w:rsidRPr="00662249" w:rsidRDefault="00206E2C" w:rsidP="00A76F4A">
            <w:pPr>
              <w:ind w:right="12"/>
              <w:jc w:val="center"/>
              <w:rPr>
                <w:b/>
                <w:bCs/>
                <w:sz w:val="21"/>
                <w:szCs w:val="21"/>
              </w:rPr>
            </w:pPr>
            <w:r w:rsidRPr="00662249">
              <w:rPr>
                <w:b/>
                <w:bCs/>
                <w:sz w:val="21"/>
                <w:szCs w:val="21"/>
              </w:rPr>
              <w:t>Coûts unitaires</w:t>
            </w:r>
          </w:p>
          <w:p w:rsidR="00206E2C" w:rsidRPr="00662249" w:rsidRDefault="00206E2C" w:rsidP="00A76F4A">
            <w:pPr>
              <w:ind w:right="12"/>
              <w:jc w:val="center"/>
              <w:rPr>
                <w:b/>
                <w:bCs/>
                <w:sz w:val="21"/>
                <w:szCs w:val="21"/>
              </w:rPr>
            </w:pPr>
            <w:r w:rsidRPr="00662249">
              <w:rPr>
                <w:b/>
                <w:bCs/>
                <w:sz w:val="21"/>
                <w:szCs w:val="21"/>
              </w:rPr>
              <w:t>(FCFA)</w:t>
            </w:r>
          </w:p>
        </w:tc>
        <w:tc>
          <w:tcPr>
            <w:tcW w:w="1312" w:type="dxa"/>
            <w:shd w:val="clear" w:color="auto" w:fill="F2F2F2"/>
            <w:vAlign w:val="center"/>
          </w:tcPr>
          <w:p w:rsidR="00206E2C" w:rsidRPr="00662249" w:rsidRDefault="00206E2C" w:rsidP="00A76F4A">
            <w:pPr>
              <w:ind w:right="12"/>
              <w:jc w:val="center"/>
              <w:rPr>
                <w:b/>
                <w:bCs/>
                <w:sz w:val="21"/>
                <w:szCs w:val="21"/>
              </w:rPr>
            </w:pPr>
            <w:r w:rsidRPr="00662249">
              <w:rPr>
                <w:b/>
                <w:bCs/>
                <w:sz w:val="21"/>
                <w:szCs w:val="21"/>
              </w:rPr>
              <w:t>Coût total (FCFA)</w:t>
            </w:r>
          </w:p>
        </w:tc>
      </w:tr>
      <w:tr w:rsidR="00206E2C" w:rsidRPr="00662249" w:rsidTr="00960D00">
        <w:trPr>
          <w:cnfStyle w:val="000000100000" w:firstRow="0" w:lastRow="0" w:firstColumn="0" w:lastColumn="0" w:oddVBand="0" w:evenVBand="0" w:oddHBand="1" w:evenHBand="0" w:firstRowFirstColumn="0" w:firstRowLastColumn="0" w:lastRowFirstColumn="0" w:lastRowLastColumn="0"/>
          <w:trHeight w:val="131"/>
          <w:jc w:val="center"/>
        </w:trPr>
        <w:tc>
          <w:tcPr>
            <w:tcW w:w="9203" w:type="dxa"/>
            <w:gridSpan w:val="5"/>
            <w:shd w:val="clear" w:color="auto" w:fill="F2F2F2"/>
          </w:tcPr>
          <w:p w:rsidR="00206E2C" w:rsidRPr="00662249" w:rsidRDefault="00206E2C" w:rsidP="00A76F4A">
            <w:pPr>
              <w:ind w:right="12"/>
              <w:jc w:val="center"/>
              <w:rPr>
                <w:sz w:val="21"/>
                <w:szCs w:val="21"/>
              </w:rPr>
            </w:pPr>
            <w:r w:rsidRPr="00662249">
              <w:rPr>
                <w:sz w:val="21"/>
                <w:szCs w:val="21"/>
              </w:rPr>
              <w:t>1. Coûts des mesures techniques et de suivi</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590"/>
          <w:jc w:val="center"/>
        </w:trPr>
        <w:tc>
          <w:tcPr>
            <w:tcW w:w="0" w:type="auto"/>
            <w:gridSpan w:val="2"/>
            <w:shd w:val="clear" w:color="auto" w:fill="FFFFFF"/>
          </w:tcPr>
          <w:p w:rsidR="00A85D3D" w:rsidRPr="00662249" w:rsidRDefault="00206E2C" w:rsidP="00A76F4A">
            <w:pPr>
              <w:numPr>
                <w:ilvl w:val="0"/>
                <w:numId w:val="90"/>
              </w:numPr>
              <w:ind w:right="12"/>
              <w:contextualSpacing/>
              <w:jc w:val="both"/>
              <w:rPr>
                <w:sz w:val="21"/>
                <w:szCs w:val="21"/>
              </w:rPr>
            </w:pPr>
            <w:r w:rsidRPr="00662249">
              <w:rPr>
                <w:spacing w:val="-2"/>
                <w:sz w:val="21"/>
                <w:szCs w:val="21"/>
              </w:rPr>
              <w:t>1</w:t>
            </w:r>
            <w:r w:rsidRPr="00662249">
              <w:rPr>
                <w:sz w:val="21"/>
                <w:szCs w:val="21"/>
              </w:rPr>
              <w:t xml:space="preserve"> </w:t>
            </w:r>
            <w:r w:rsidR="00A73BE0" w:rsidRPr="00662249">
              <w:rPr>
                <w:sz w:val="21"/>
                <w:szCs w:val="21"/>
              </w:rPr>
              <w:t>AEI</w:t>
            </w:r>
            <w:r w:rsidRPr="00662249">
              <w:rPr>
                <w:sz w:val="21"/>
                <w:szCs w:val="21"/>
              </w:rPr>
              <w:t xml:space="preserve"> </w:t>
            </w:r>
            <w:r w:rsidR="00A85D3D" w:rsidRPr="00662249">
              <w:rPr>
                <w:sz w:val="21"/>
                <w:szCs w:val="21"/>
              </w:rPr>
              <w:t xml:space="preserve">pour </w:t>
            </w:r>
            <w:r w:rsidR="00BF642B" w:rsidRPr="00662249">
              <w:rPr>
                <w:sz w:val="21"/>
                <w:szCs w:val="21"/>
              </w:rPr>
              <w:t>les activités prévues</w:t>
            </w:r>
            <w:r w:rsidR="00A85D3D" w:rsidRPr="00662249">
              <w:rPr>
                <w:sz w:val="21"/>
                <w:szCs w:val="21"/>
              </w:rPr>
              <w:t xml:space="preserve"> par rapport au </w:t>
            </w:r>
            <w:r w:rsidR="00B72D0E" w:rsidRPr="00662249">
              <w:rPr>
                <w:b/>
                <w:sz w:val="21"/>
                <w:szCs w:val="21"/>
                <w:u w:val="single"/>
              </w:rPr>
              <w:t>Soutien à la production agricole</w:t>
            </w:r>
            <w:r w:rsidR="00A85D3D" w:rsidRPr="00662249">
              <w:rPr>
                <w:b/>
                <w:sz w:val="21"/>
                <w:szCs w:val="21"/>
                <w:u w:val="single"/>
              </w:rPr>
              <w:t> ;</w:t>
            </w:r>
            <w:r w:rsidR="00B72D0E" w:rsidRPr="00662249">
              <w:rPr>
                <w:sz w:val="21"/>
                <w:szCs w:val="21"/>
              </w:rPr>
              <w:t xml:space="preserve"> </w:t>
            </w:r>
          </w:p>
          <w:p w:rsidR="00FD496C" w:rsidRPr="00662249" w:rsidRDefault="00206E2C" w:rsidP="00A76F4A">
            <w:pPr>
              <w:numPr>
                <w:ilvl w:val="0"/>
                <w:numId w:val="90"/>
              </w:numPr>
              <w:ind w:right="12"/>
              <w:contextualSpacing/>
              <w:jc w:val="both"/>
              <w:rPr>
                <w:sz w:val="21"/>
                <w:szCs w:val="21"/>
              </w:rPr>
            </w:pPr>
            <w:r w:rsidRPr="00662249">
              <w:rPr>
                <w:spacing w:val="-2"/>
                <w:sz w:val="21"/>
                <w:szCs w:val="21"/>
              </w:rPr>
              <w:t>1</w:t>
            </w:r>
            <w:r w:rsidRPr="00662249">
              <w:rPr>
                <w:sz w:val="21"/>
                <w:szCs w:val="21"/>
              </w:rPr>
              <w:t xml:space="preserve"> </w:t>
            </w:r>
            <w:r w:rsidR="00A73BE0" w:rsidRPr="00662249">
              <w:rPr>
                <w:sz w:val="21"/>
                <w:szCs w:val="21"/>
              </w:rPr>
              <w:t>AEI</w:t>
            </w:r>
            <w:r w:rsidRPr="00662249">
              <w:rPr>
                <w:sz w:val="21"/>
                <w:szCs w:val="21"/>
              </w:rPr>
              <w:t xml:space="preserve"> </w:t>
            </w:r>
            <w:r w:rsidR="00BF642B" w:rsidRPr="00662249">
              <w:rPr>
                <w:sz w:val="21"/>
                <w:szCs w:val="21"/>
              </w:rPr>
              <w:t>pour les activités prévues par rapport au</w:t>
            </w:r>
            <w:r w:rsidR="00BF642B" w:rsidRPr="00662249">
              <w:rPr>
                <w:b/>
                <w:sz w:val="21"/>
                <w:szCs w:val="21"/>
                <w:u w:val="single"/>
              </w:rPr>
              <w:t xml:space="preserve"> Soutien aux Filets de Sécurité communautaires </w:t>
            </w:r>
            <w:r w:rsidR="00BF642B" w:rsidRPr="00662249">
              <w:rPr>
                <w:sz w:val="21"/>
                <w:szCs w:val="21"/>
              </w:rPr>
              <w:t>(</w:t>
            </w:r>
            <w:r w:rsidR="00FD496C" w:rsidRPr="00662249">
              <w:rPr>
                <w:sz w:val="21"/>
                <w:szCs w:val="21"/>
              </w:rPr>
              <w:t>réalisation</w:t>
            </w:r>
            <w:r w:rsidR="00BF642B" w:rsidRPr="00662249">
              <w:rPr>
                <w:sz w:val="21"/>
                <w:szCs w:val="21"/>
              </w:rPr>
              <w:t xml:space="preserve"> des voies d’accès ; marchés locaux et </w:t>
            </w:r>
            <w:r w:rsidR="00FD496C" w:rsidRPr="00662249">
              <w:rPr>
                <w:sz w:val="21"/>
                <w:szCs w:val="21"/>
              </w:rPr>
              <w:t>magasins)</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02</w:t>
            </w:r>
          </w:p>
        </w:tc>
        <w:tc>
          <w:tcPr>
            <w:tcW w:w="1308" w:type="dxa"/>
            <w:shd w:val="clear" w:color="auto" w:fill="FFFFFF"/>
            <w:vAlign w:val="center"/>
          </w:tcPr>
          <w:p w:rsidR="00206E2C" w:rsidRPr="00662249" w:rsidRDefault="004B17C4" w:rsidP="00A76F4A">
            <w:pPr>
              <w:ind w:right="12"/>
              <w:jc w:val="center"/>
              <w:rPr>
                <w:sz w:val="21"/>
                <w:szCs w:val="21"/>
              </w:rPr>
            </w:pPr>
            <w:r w:rsidRPr="00662249">
              <w:rPr>
                <w:sz w:val="21"/>
                <w:szCs w:val="21"/>
              </w:rPr>
              <w:t>2</w:t>
            </w:r>
            <w:r w:rsidR="00206E2C" w:rsidRPr="00662249">
              <w:rPr>
                <w:sz w:val="21"/>
                <w:szCs w:val="21"/>
              </w:rPr>
              <w:t> 000 000</w:t>
            </w:r>
          </w:p>
        </w:tc>
        <w:tc>
          <w:tcPr>
            <w:tcW w:w="1312" w:type="dxa"/>
            <w:shd w:val="clear" w:color="auto" w:fill="FFFFFF"/>
            <w:vAlign w:val="center"/>
          </w:tcPr>
          <w:p w:rsidR="00206E2C" w:rsidRPr="00662249" w:rsidRDefault="000550A6" w:rsidP="00A76F4A">
            <w:pPr>
              <w:ind w:right="12"/>
              <w:jc w:val="center"/>
              <w:rPr>
                <w:sz w:val="21"/>
                <w:szCs w:val="21"/>
              </w:rPr>
            </w:pPr>
            <w:r w:rsidRPr="00662249">
              <w:rPr>
                <w:sz w:val="21"/>
                <w:szCs w:val="21"/>
              </w:rPr>
              <w:t>4</w:t>
            </w:r>
            <w:r w:rsidR="00206E2C" w:rsidRPr="00662249">
              <w:rPr>
                <w:sz w:val="21"/>
                <w:szCs w:val="21"/>
              </w:rPr>
              <w:t> 000 000</w:t>
            </w:r>
          </w:p>
        </w:tc>
      </w:tr>
      <w:tr w:rsidR="00232AAD" w:rsidRPr="00662249" w:rsidTr="00960D00">
        <w:trPr>
          <w:cnfStyle w:val="000000100000" w:firstRow="0" w:lastRow="0" w:firstColumn="0" w:lastColumn="0" w:oddVBand="0" w:evenVBand="0" w:oddHBand="1" w:evenHBand="0" w:firstRowFirstColumn="0" w:firstRowLastColumn="0" w:lastRowFirstColumn="0" w:lastRowLastColumn="0"/>
          <w:trHeight w:val="60"/>
          <w:jc w:val="center"/>
        </w:trPr>
        <w:tc>
          <w:tcPr>
            <w:tcW w:w="0" w:type="auto"/>
            <w:gridSpan w:val="2"/>
            <w:shd w:val="clear" w:color="auto" w:fill="E2EFD9" w:themeFill="accent6" w:themeFillTint="33"/>
          </w:tcPr>
          <w:p w:rsidR="00206E2C" w:rsidRPr="00662249" w:rsidRDefault="00206E2C" w:rsidP="00A76F4A">
            <w:pPr>
              <w:ind w:right="12"/>
              <w:jc w:val="center"/>
              <w:rPr>
                <w:b/>
                <w:color w:val="FF0000"/>
                <w:sz w:val="21"/>
                <w:szCs w:val="21"/>
              </w:rPr>
            </w:pPr>
            <w:r w:rsidRPr="00662249">
              <w:rPr>
                <w:b/>
                <w:color w:val="FF0000"/>
                <w:sz w:val="21"/>
                <w:szCs w:val="21"/>
              </w:rPr>
              <w:t>Sous total 1</w:t>
            </w:r>
          </w:p>
        </w:tc>
        <w:tc>
          <w:tcPr>
            <w:tcW w:w="1750" w:type="dxa"/>
            <w:shd w:val="clear" w:color="auto" w:fill="E2EFD9" w:themeFill="accent6" w:themeFillTint="33"/>
            <w:vAlign w:val="center"/>
          </w:tcPr>
          <w:p w:rsidR="00206E2C" w:rsidRPr="00662249" w:rsidRDefault="00206E2C" w:rsidP="00A76F4A">
            <w:pPr>
              <w:ind w:right="12"/>
              <w:jc w:val="center"/>
              <w:rPr>
                <w:b/>
                <w:color w:val="FF0000"/>
                <w:sz w:val="21"/>
                <w:szCs w:val="21"/>
              </w:rPr>
            </w:pPr>
            <w:r w:rsidRPr="00662249">
              <w:rPr>
                <w:b/>
                <w:color w:val="FF0000"/>
                <w:sz w:val="21"/>
                <w:szCs w:val="21"/>
              </w:rPr>
              <w:t>0</w:t>
            </w:r>
            <w:r w:rsidR="000550A6" w:rsidRPr="00662249">
              <w:rPr>
                <w:b/>
                <w:color w:val="FF0000"/>
                <w:sz w:val="21"/>
                <w:szCs w:val="21"/>
              </w:rPr>
              <w:t>2</w:t>
            </w:r>
          </w:p>
        </w:tc>
        <w:tc>
          <w:tcPr>
            <w:tcW w:w="1308" w:type="dxa"/>
            <w:shd w:val="clear" w:color="auto" w:fill="E2EFD9" w:themeFill="accent6" w:themeFillTint="33"/>
            <w:vAlign w:val="center"/>
          </w:tcPr>
          <w:p w:rsidR="00206E2C" w:rsidRPr="00662249" w:rsidRDefault="00206E2C" w:rsidP="00A76F4A">
            <w:pPr>
              <w:ind w:right="12"/>
              <w:jc w:val="center"/>
              <w:rPr>
                <w:b/>
                <w:color w:val="FF0000"/>
                <w:sz w:val="21"/>
                <w:szCs w:val="21"/>
              </w:rPr>
            </w:pPr>
          </w:p>
        </w:tc>
        <w:tc>
          <w:tcPr>
            <w:tcW w:w="1312" w:type="dxa"/>
            <w:shd w:val="clear" w:color="auto" w:fill="E2EFD9" w:themeFill="accent6" w:themeFillTint="33"/>
            <w:vAlign w:val="center"/>
          </w:tcPr>
          <w:p w:rsidR="00206E2C" w:rsidRPr="00662249" w:rsidRDefault="000550A6" w:rsidP="00A76F4A">
            <w:pPr>
              <w:ind w:right="12"/>
              <w:jc w:val="center"/>
              <w:rPr>
                <w:b/>
                <w:color w:val="FF0000"/>
                <w:sz w:val="21"/>
                <w:szCs w:val="21"/>
              </w:rPr>
            </w:pPr>
            <w:r w:rsidRPr="00662249">
              <w:rPr>
                <w:b/>
                <w:color w:val="FF0000"/>
                <w:sz w:val="21"/>
                <w:szCs w:val="21"/>
              </w:rPr>
              <w:t>4</w:t>
            </w:r>
            <w:r w:rsidR="00206E2C" w:rsidRPr="00662249">
              <w:rPr>
                <w:b/>
                <w:color w:val="FF0000"/>
                <w:sz w:val="21"/>
                <w:szCs w:val="21"/>
              </w:rPr>
              <w:t> 000 000</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119"/>
          <w:jc w:val="center"/>
        </w:trPr>
        <w:tc>
          <w:tcPr>
            <w:tcW w:w="0" w:type="auto"/>
            <w:gridSpan w:val="2"/>
            <w:shd w:val="clear" w:color="auto" w:fill="FFFFFF"/>
          </w:tcPr>
          <w:p w:rsidR="00206E2C" w:rsidRPr="00662249" w:rsidRDefault="00206E2C" w:rsidP="00A76F4A">
            <w:pPr>
              <w:ind w:right="12"/>
              <w:rPr>
                <w:sz w:val="21"/>
                <w:szCs w:val="21"/>
              </w:rPr>
            </w:pPr>
            <w:r w:rsidRPr="00662249">
              <w:rPr>
                <w:sz w:val="21"/>
                <w:szCs w:val="21"/>
              </w:rPr>
              <w:t xml:space="preserve">Provisions pour la mise en œuvre des </w:t>
            </w:r>
            <w:r w:rsidR="00A73BE0" w:rsidRPr="00662249">
              <w:rPr>
                <w:sz w:val="21"/>
                <w:szCs w:val="21"/>
              </w:rPr>
              <w:t>AEI</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w:t>
            </w:r>
          </w:p>
        </w:tc>
        <w:tc>
          <w:tcPr>
            <w:tcW w:w="1308" w:type="dxa"/>
            <w:shd w:val="clear" w:color="auto" w:fill="FFFFFF"/>
            <w:vAlign w:val="center"/>
          </w:tcPr>
          <w:p w:rsidR="00206E2C" w:rsidRPr="00662249" w:rsidRDefault="00206E2C" w:rsidP="00A76F4A">
            <w:pPr>
              <w:ind w:right="12"/>
              <w:jc w:val="center"/>
              <w:rPr>
                <w:sz w:val="21"/>
                <w:szCs w:val="21"/>
              </w:rPr>
            </w:pPr>
            <w:r w:rsidRPr="00662249">
              <w:rPr>
                <w:sz w:val="21"/>
                <w:szCs w:val="21"/>
              </w:rPr>
              <w:t>Forfait</w:t>
            </w:r>
          </w:p>
        </w:tc>
        <w:tc>
          <w:tcPr>
            <w:tcW w:w="1312" w:type="dxa"/>
            <w:shd w:val="clear" w:color="auto" w:fill="FFFFFF"/>
            <w:vAlign w:val="center"/>
          </w:tcPr>
          <w:p w:rsidR="00206E2C" w:rsidRPr="00662249" w:rsidRDefault="0084639A" w:rsidP="00A76F4A">
            <w:pPr>
              <w:ind w:right="12"/>
              <w:jc w:val="center"/>
              <w:rPr>
                <w:sz w:val="21"/>
                <w:szCs w:val="21"/>
              </w:rPr>
            </w:pPr>
            <w:r w:rsidRPr="00662249">
              <w:rPr>
                <w:sz w:val="21"/>
                <w:szCs w:val="21"/>
              </w:rPr>
              <w:t>5</w:t>
            </w:r>
            <w:r w:rsidR="00206E2C" w:rsidRPr="00662249">
              <w:rPr>
                <w:sz w:val="21"/>
                <w:szCs w:val="21"/>
              </w:rPr>
              <w:t> 000 000</w:t>
            </w:r>
          </w:p>
        </w:tc>
      </w:tr>
      <w:tr w:rsidR="00232AAD" w:rsidRPr="00662249" w:rsidTr="00960D00">
        <w:trPr>
          <w:cnfStyle w:val="000000100000" w:firstRow="0" w:lastRow="0" w:firstColumn="0" w:lastColumn="0" w:oddVBand="0" w:evenVBand="0" w:oddHBand="1" w:evenHBand="0" w:firstRowFirstColumn="0" w:firstRowLastColumn="0" w:lastRowFirstColumn="0" w:lastRowLastColumn="0"/>
          <w:trHeight w:val="239"/>
          <w:jc w:val="center"/>
        </w:trPr>
        <w:tc>
          <w:tcPr>
            <w:tcW w:w="0" w:type="auto"/>
            <w:gridSpan w:val="2"/>
            <w:shd w:val="clear" w:color="auto" w:fill="FFFFFF"/>
          </w:tcPr>
          <w:p w:rsidR="00206E2C" w:rsidRPr="00662249" w:rsidRDefault="00206E2C" w:rsidP="00A76F4A">
            <w:pPr>
              <w:ind w:right="12"/>
              <w:rPr>
                <w:sz w:val="21"/>
                <w:szCs w:val="21"/>
              </w:rPr>
            </w:pPr>
            <w:r w:rsidRPr="00662249">
              <w:rPr>
                <w:sz w:val="21"/>
                <w:szCs w:val="21"/>
              </w:rPr>
              <w:t>Elaboration d'un manuel de bonnes pratiques de gestion, d’hygiène</w:t>
            </w:r>
            <w:r w:rsidR="00925944" w:rsidRPr="00662249">
              <w:rPr>
                <w:sz w:val="21"/>
                <w:szCs w:val="21"/>
              </w:rPr>
              <w:t xml:space="preserve">, </w:t>
            </w:r>
            <w:r w:rsidRPr="00662249">
              <w:rPr>
                <w:sz w:val="21"/>
                <w:szCs w:val="21"/>
              </w:rPr>
              <w:t>de sécurité</w:t>
            </w:r>
            <w:r w:rsidR="00B61400" w:rsidRPr="00662249">
              <w:rPr>
                <w:sz w:val="21"/>
                <w:szCs w:val="21"/>
              </w:rPr>
              <w:t>, de</w:t>
            </w:r>
            <w:r w:rsidRPr="00662249">
              <w:rPr>
                <w:sz w:val="21"/>
                <w:szCs w:val="21"/>
              </w:rPr>
              <w:t xml:space="preserve"> </w:t>
            </w:r>
            <w:r w:rsidR="00925944" w:rsidRPr="00662249">
              <w:rPr>
                <w:sz w:val="21"/>
                <w:szCs w:val="21"/>
              </w:rPr>
              <w:t xml:space="preserve">santé </w:t>
            </w:r>
            <w:r w:rsidRPr="00662249">
              <w:rPr>
                <w:sz w:val="21"/>
                <w:szCs w:val="21"/>
              </w:rPr>
              <w:t xml:space="preserve">par rapport aux activités du projet </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1 manuel</w:t>
            </w:r>
          </w:p>
        </w:tc>
        <w:tc>
          <w:tcPr>
            <w:tcW w:w="1308" w:type="dxa"/>
            <w:shd w:val="clear" w:color="auto" w:fill="FFFFFF"/>
            <w:vAlign w:val="center"/>
          </w:tcPr>
          <w:p w:rsidR="00206E2C" w:rsidRPr="00662249" w:rsidRDefault="00925944" w:rsidP="00A76F4A">
            <w:pPr>
              <w:ind w:right="12"/>
              <w:jc w:val="center"/>
              <w:rPr>
                <w:sz w:val="21"/>
                <w:szCs w:val="21"/>
              </w:rPr>
            </w:pPr>
            <w:r w:rsidRPr="00662249">
              <w:rPr>
                <w:sz w:val="21"/>
                <w:szCs w:val="21"/>
              </w:rPr>
              <w:t>1</w:t>
            </w:r>
            <w:r w:rsidR="00206E2C" w:rsidRPr="00662249">
              <w:rPr>
                <w:sz w:val="21"/>
                <w:szCs w:val="21"/>
              </w:rPr>
              <w:t xml:space="preserve"> </w:t>
            </w:r>
            <w:r w:rsidRPr="00662249">
              <w:rPr>
                <w:sz w:val="21"/>
                <w:szCs w:val="21"/>
              </w:rPr>
              <w:t>5</w:t>
            </w:r>
            <w:r w:rsidR="00206E2C" w:rsidRPr="00662249">
              <w:rPr>
                <w:sz w:val="21"/>
                <w:szCs w:val="21"/>
              </w:rPr>
              <w:t>00 000</w:t>
            </w:r>
          </w:p>
        </w:tc>
        <w:tc>
          <w:tcPr>
            <w:tcW w:w="1312" w:type="dxa"/>
            <w:shd w:val="clear" w:color="auto" w:fill="FFFFFF"/>
            <w:vAlign w:val="center"/>
          </w:tcPr>
          <w:p w:rsidR="00206E2C" w:rsidRPr="00662249" w:rsidRDefault="00925944" w:rsidP="00A76F4A">
            <w:pPr>
              <w:ind w:right="12"/>
              <w:jc w:val="center"/>
              <w:rPr>
                <w:sz w:val="21"/>
                <w:szCs w:val="21"/>
              </w:rPr>
            </w:pPr>
            <w:r w:rsidRPr="00662249">
              <w:rPr>
                <w:sz w:val="21"/>
                <w:szCs w:val="21"/>
              </w:rPr>
              <w:t>1 5</w:t>
            </w:r>
            <w:r w:rsidR="00206E2C" w:rsidRPr="00662249">
              <w:rPr>
                <w:sz w:val="21"/>
                <w:szCs w:val="21"/>
              </w:rPr>
              <w:t>00 000</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58"/>
          <w:jc w:val="center"/>
        </w:trPr>
        <w:tc>
          <w:tcPr>
            <w:tcW w:w="0" w:type="auto"/>
            <w:gridSpan w:val="2"/>
            <w:shd w:val="clear" w:color="auto" w:fill="FFFFFF"/>
          </w:tcPr>
          <w:p w:rsidR="00206E2C" w:rsidRPr="00662249" w:rsidRDefault="00206E2C" w:rsidP="00A76F4A">
            <w:pPr>
              <w:ind w:right="12"/>
              <w:rPr>
                <w:sz w:val="21"/>
                <w:szCs w:val="21"/>
              </w:rPr>
            </w:pPr>
            <w:r w:rsidRPr="00662249">
              <w:rPr>
                <w:sz w:val="21"/>
                <w:szCs w:val="21"/>
              </w:rPr>
              <w:t>Elaboration d'un plan de gestion des déchets</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1 rapport</w:t>
            </w:r>
          </w:p>
        </w:tc>
        <w:tc>
          <w:tcPr>
            <w:tcW w:w="1308" w:type="dxa"/>
            <w:shd w:val="clear" w:color="auto" w:fill="FFFFFF"/>
            <w:vAlign w:val="center"/>
          </w:tcPr>
          <w:p w:rsidR="00206E2C" w:rsidRPr="00662249" w:rsidRDefault="00206E2C" w:rsidP="00A76F4A">
            <w:pPr>
              <w:ind w:right="12"/>
              <w:jc w:val="center"/>
              <w:rPr>
                <w:sz w:val="21"/>
                <w:szCs w:val="21"/>
              </w:rPr>
            </w:pPr>
            <w:r w:rsidRPr="00662249">
              <w:rPr>
                <w:sz w:val="21"/>
                <w:szCs w:val="21"/>
              </w:rPr>
              <w:t>Forfait</w:t>
            </w:r>
          </w:p>
        </w:tc>
        <w:tc>
          <w:tcPr>
            <w:tcW w:w="1312" w:type="dxa"/>
            <w:shd w:val="clear" w:color="auto" w:fill="FFFFFF"/>
            <w:vAlign w:val="center"/>
          </w:tcPr>
          <w:p w:rsidR="00206E2C" w:rsidRPr="00662249" w:rsidRDefault="00B61400" w:rsidP="00A76F4A">
            <w:pPr>
              <w:ind w:right="12"/>
              <w:jc w:val="center"/>
              <w:rPr>
                <w:sz w:val="21"/>
                <w:szCs w:val="21"/>
              </w:rPr>
            </w:pPr>
            <w:r w:rsidRPr="00662249">
              <w:rPr>
                <w:sz w:val="21"/>
                <w:szCs w:val="21"/>
              </w:rPr>
              <w:t>1 5</w:t>
            </w:r>
            <w:r w:rsidR="00206E2C" w:rsidRPr="00662249">
              <w:rPr>
                <w:sz w:val="21"/>
                <w:szCs w:val="21"/>
              </w:rPr>
              <w:t>00 000</w:t>
            </w:r>
          </w:p>
        </w:tc>
      </w:tr>
      <w:tr w:rsidR="00232AAD" w:rsidRPr="00662249" w:rsidTr="00960D00">
        <w:trPr>
          <w:cnfStyle w:val="000000100000" w:firstRow="0" w:lastRow="0" w:firstColumn="0" w:lastColumn="0" w:oddVBand="0" w:evenVBand="0" w:oddHBand="1" w:evenHBand="0" w:firstRowFirstColumn="0" w:firstRowLastColumn="0" w:lastRowFirstColumn="0" w:lastRowLastColumn="0"/>
          <w:trHeight w:val="239"/>
          <w:jc w:val="center"/>
        </w:trPr>
        <w:tc>
          <w:tcPr>
            <w:tcW w:w="0" w:type="auto"/>
            <w:gridSpan w:val="2"/>
            <w:shd w:val="clear" w:color="auto" w:fill="FFFFFF"/>
          </w:tcPr>
          <w:p w:rsidR="00206E2C" w:rsidRPr="00662249" w:rsidRDefault="0064433D" w:rsidP="00A76F4A">
            <w:pPr>
              <w:ind w:right="12"/>
              <w:rPr>
                <w:sz w:val="21"/>
                <w:szCs w:val="21"/>
              </w:rPr>
            </w:pPr>
            <w:r w:rsidRPr="00662249">
              <w:rPr>
                <w:sz w:val="21"/>
                <w:szCs w:val="21"/>
              </w:rPr>
              <w:t>Provisions</w:t>
            </w:r>
            <w:r w:rsidRPr="00662249">
              <w:rPr>
                <w:rFonts w:eastAsiaTheme="minorHAnsi"/>
                <w:sz w:val="21"/>
                <w:szCs w:val="21"/>
              </w:rPr>
              <w:t xml:space="preserve"> </w:t>
            </w:r>
            <w:r w:rsidRPr="00662249">
              <w:rPr>
                <w:sz w:val="21"/>
                <w:szCs w:val="21"/>
              </w:rPr>
              <w:t xml:space="preserve">pour la </w:t>
            </w:r>
            <w:r w:rsidRPr="00662249">
              <w:rPr>
                <w:rFonts w:eastAsiaTheme="minorHAnsi"/>
                <w:sz w:val="21"/>
                <w:szCs w:val="21"/>
              </w:rPr>
              <w:t>mise en œuvre du suivi et coût des activités proposées</w:t>
            </w:r>
            <w:r w:rsidRPr="00662249">
              <w:rPr>
                <w:sz w:val="21"/>
                <w:szCs w:val="21"/>
              </w:rPr>
              <w:t xml:space="preserve"> dans le PG</w:t>
            </w:r>
            <w:r w:rsidR="002A59EE" w:rsidRPr="00662249">
              <w:rPr>
                <w:sz w:val="21"/>
                <w:szCs w:val="21"/>
              </w:rPr>
              <w:t>PP</w:t>
            </w:r>
            <w:r w:rsidRPr="00662249">
              <w:rPr>
                <w:sz w:val="21"/>
                <w:szCs w:val="21"/>
              </w:rPr>
              <w:t xml:space="preserve"> </w:t>
            </w:r>
          </w:p>
        </w:tc>
        <w:tc>
          <w:tcPr>
            <w:tcW w:w="1750" w:type="dxa"/>
            <w:shd w:val="clear" w:color="auto" w:fill="FFFFFF"/>
            <w:vAlign w:val="center"/>
          </w:tcPr>
          <w:p w:rsidR="00206E2C" w:rsidRPr="00662249" w:rsidRDefault="004618A1" w:rsidP="00A76F4A">
            <w:pPr>
              <w:ind w:right="12"/>
              <w:jc w:val="center"/>
              <w:rPr>
                <w:sz w:val="21"/>
                <w:szCs w:val="21"/>
              </w:rPr>
            </w:pPr>
            <w:r w:rsidRPr="00662249">
              <w:rPr>
                <w:sz w:val="21"/>
                <w:szCs w:val="21"/>
              </w:rPr>
              <w:t>-</w:t>
            </w:r>
          </w:p>
        </w:tc>
        <w:tc>
          <w:tcPr>
            <w:tcW w:w="1308" w:type="dxa"/>
            <w:shd w:val="clear" w:color="auto" w:fill="FFFFFF"/>
            <w:vAlign w:val="center"/>
          </w:tcPr>
          <w:p w:rsidR="00206E2C" w:rsidRPr="00662249" w:rsidRDefault="004618A1" w:rsidP="00A76F4A">
            <w:pPr>
              <w:ind w:right="12"/>
              <w:jc w:val="center"/>
              <w:rPr>
                <w:sz w:val="21"/>
                <w:szCs w:val="21"/>
              </w:rPr>
            </w:pPr>
            <w:r w:rsidRPr="00662249">
              <w:rPr>
                <w:sz w:val="21"/>
                <w:szCs w:val="21"/>
              </w:rPr>
              <w:t>Forfait</w:t>
            </w:r>
          </w:p>
        </w:tc>
        <w:tc>
          <w:tcPr>
            <w:tcW w:w="1312" w:type="dxa"/>
            <w:shd w:val="clear" w:color="auto" w:fill="FFFFFF"/>
            <w:vAlign w:val="center"/>
          </w:tcPr>
          <w:p w:rsidR="00206E2C" w:rsidRPr="00662249" w:rsidRDefault="004618A1" w:rsidP="00A76F4A">
            <w:pPr>
              <w:ind w:right="12"/>
              <w:jc w:val="center"/>
              <w:rPr>
                <w:sz w:val="21"/>
                <w:szCs w:val="21"/>
              </w:rPr>
            </w:pPr>
            <w:r w:rsidRPr="00662249">
              <w:rPr>
                <w:sz w:val="21"/>
                <w:szCs w:val="21"/>
              </w:rPr>
              <w:t>30 000 000</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239"/>
          <w:jc w:val="center"/>
        </w:trPr>
        <w:tc>
          <w:tcPr>
            <w:tcW w:w="0" w:type="auto"/>
            <w:gridSpan w:val="2"/>
            <w:shd w:val="clear" w:color="auto" w:fill="FFFFFF"/>
          </w:tcPr>
          <w:p w:rsidR="00206E2C" w:rsidRPr="00662249" w:rsidRDefault="00206E2C" w:rsidP="00A76F4A">
            <w:pPr>
              <w:ind w:right="12"/>
              <w:rPr>
                <w:sz w:val="21"/>
                <w:szCs w:val="21"/>
              </w:rPr>
            </w:pPr>
            <w:r w:rsidRPr="00662249">
              <w:rPr>
                <w:sz w:val="21"/>
                <w:szCs w:val="21"/>
              </w:rPr>
              <w:t xml:space="preserve">Suivi du fonctionnement des </w:t>
            </w:r>
            <w:r w:rsidR="009013C6" w:rsidRPr="00662249">
              <w:rPr>
                <w:sz w:val="21"/>
                <w:szCs w:val="21"/>
              </w:rPr>
              <w:t>activités du projet PUSA</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12 missions/an</w:t>
            </w:r>
          </w:p>
        </w:tc>
        <w:tc>
          <w:tcPr>
            <w:tcW w:w="1308" w:type="dxa"/>
            <w:shd w:val="clear" w:color="auto" w:fill="FFFFFF"/>
            <w:vAlign w:val="center"/>
          </w:tcPr>
          <w:p w:rsidR="00206E2C" w:rsidRPr="00662249" w:rsidRDefault="00D05424" w:rsidP="00A76F4A">
            <w:pPr>
              <w:ind w:right="12"/>
              <w:jc w:val="center"/>
              <w:rPr>
                <w:sz w:val="21"/>
                <w:szCs w:val="21"/>
              </w:rPr>
            </w:pPr>
            <w:r w:rsidRPr="00662249">
              <w:rPr>
                <w:sz w:val="21"/>
                <w:szCs w:val="21"/>
              </w:rPr>
              <w:t>50</w:t>
            </w:r>
            <w:r w:rsidR="00206E2C" w:rsidRPr="00662249">
              <w:rPr>
                <w:sz w:val="21"/>
                <w:szCs w:val="21"/>
              </w:rPr>
              <w:t>0 000</w:t>
            </w:r>
          </w:p>
        </w:tc>
        <w:tc>
          <w:tcPr>
            <w:tcW w:w="1312" w:type="dxa"/>
            <w:shd w:val="clear" w:color="auto" w:fill="FFFFFF"/>
            <w:vAlign w:val="center"/>
          </w:tcPr>
          <w:p w:rsidR="00206E2C" w:rsidRPr="00662249" w:rsidRDefault="00F63BBD" w:rsidP="00A76F4A">
            <w:pPr>
              <w:ind w:right="12"/>
              <w:jc w:val="center"/>
              <w:rPr>
                <w:sz w:val="21"/>
                <w:szCs w:val="21"/>
              </w:rPr>
            </w:pPr>
            <w:r w:rsidRPr="00662249">
              <w:rPr>
                <w:sz w:val="21"/>
                <w:szCs w:val="21"/>
              </w:rPr>
              <w:t>6</w:t>
            </w:r>
            <w:r w:rsidR="00206E2C" w:rsidRPr="00662249">
              <w:rPr>
                <w:sz w:val="21"/>
                <w:szCs w:val="21"/>
              </w:rPr>
              <w:t xml:space="preserve"> 000 000</w:t>
            </w:r>
          </w:p>
        </w:tc>
      </w:tr>
      <w:tr w:rsidR="00232AAD" w:rsidRPr="00662249" w:rsidTr="00960D00">
        <w:trPr>
          <w:cnfStyle w:val="000000100000" w:firstRow="0" w:lastRow="0" w:firstColumn="0" w:lastColumn="0" w:oddVBand="0" w:evenVBand="0" w:oddHBand="1" w:evenHBand="0" w:firstRowFirstColumn="0" w:firstRowLastColumn="0" w:lastRowFirstColumn="0" w:lastRowLastColumn="0"/>
          <w:trHeight w:val="360"/>
          <w:jc w:val="center"/>
        </w:trPr>
        <w:tc>
          <w:tcPr>
            <w:tcW w:w="0" w:type="auto"/>
            <w:gridSpan w:val="2"/>
            <w:shd w:val="clear" w:color="auto" w:fill="FFFFFF"/>
          </w:tcPr>
          <w:p w:rsidR="00206E2C" w:rsidRPr="00662249" w:rsidRDefault="00206E2C" w:rsidP="00A76F4A">
            <w:pPr>
              <w:ind w:right="12"/>
              <w:rPr>
                <w:sz w:val="21"/>
                <w:szCs w:val="21"/>
              </w:rPr>
            </w:pPr>
            <w:r w:rsidRPr="00662249">
              <w:rPr>
                <w:sz w:val="21"/>
                <w:szCs w:val="21"/>
              </w:rPr>
              <w:t xml:space="preserve">Suivi permanent (Recrutement de Consultant en suivi évaluation environnement/social) </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20 H-mois</w:t>
            </w:r>
          </w:p>
        </w:tc>
        <w:tc>
          <w:tcPr>
            <w:tcW w:w="1308" w:type="dxa"/>
            <w:shd w:val="clear" w:color="auto" w:fill="FFFFFF"/>
            <w:vAlign w:val="center"/>
          </w:tcPr>
          <w:p w:rsidR="00206E2C" w:rsidRPr="00662249" w:rsidRDefault="00206E2C" w:rsidP="00A76F4A">
            <w:pPr>
              <w:ind w:right="12"/>
              <w:jc w:val="center"/>
              <w:rPr>
                <w:sz w:val="21"/>
                <w:szCs w:val="21"/>
              </w:rPr>
            </w:pPr>
            <w:r w:rsidRPr="00662249">
              <w:rPr>
                <w:sz w:val="21"/>
                <w:szCs w:val="21"/>
              </w:rPr>
              <w:t>500 000</w:t>
            </w:r>
          </w:p>
        </w:tc>
        <w:tc>
          <w:tcPr>
            <w:tcW w:w="1312" w:type="dxa"/>
            <w:shd w:val="clear" w:color="auto" w:fill="FFFFFF"/>
            <w:vAlign w:val="center"/>
          </w:tcPr>
          <w:p w:rsidR="00206E2C" w:rsidRPr="00662249" w:rsidRDefault="00206E2C" w:rsidP="00A76F4A">
            <w:pPr>
              <w:ind w:right="12"/>
              <w:jc w:val="center"/>
              <w:rPr>
                <w:sz w:val="21"/>
                <w:szCs w:val="21"/>
              </w:rPr>
            </w:pPr>
            <w:r w:rsidRPr="00662249">
              <w:rPr>
                <w:sz w:val="21"/>
                <w:szCs w:val="21"/>
              </w:rPr>
              <w:t>10 000 000</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212"/>
          <w:jc w:val="center"/>
        </w:trPr>
        <w:tc>
          <w:tcPr>
            <w:tcW w:w="0" w:type="auto"/>
            <w:gridSpan w:val="2"/>
            <w:shd w:val="clear" w:color="auto" w:fill="FFFFFF"/>
          </w:tcPr>
          <w:p w:rsidR="00206E2C" w:rsidRPr="00662249" w:rsidRDefault="00206E2C" w:rsidP="00A76F4A">
            <w:pPr>
              <w:ind w:right="12"/>
              <w:rPr>
                <w:sz w:val="21"/>
                <w:szCs w:val="21"/>
              </w:rPr>
            </w:pPr>
            <w:r w:rsidRPr="00662249">
              <w:rPr>
                <w:sz w:val="21"/>
                <w:szCs w:val="21"/>
              </w:rPr>
              <w:t>Suivi externe de la mise en œuvre de</w:t>
            </w:r>
            <w:r w:rsidR="00797319">
              <w:rPr>
                <w:sz w:val="21"/>
                <w:szCs w:val="21"/>
              </w:rPr>
              <w:t xml:space="preserve"> </w:t>
            </w:r>
            <w:r w:rsidR="00F92390">
              <w:rPr>
                <w:sz w:val="21"/>
                <w:szCs w:val="21"/>
              </w:rPr>
              <w:t>l’</w:t>
            </w:r>
            <w:r w:rsidR="00F92390" w:rsidRPr="00662249">
              <w:rPr>
                <w:sz w:val="21"/>
                <w:szCs w:val="21"/>
              </w:rPr>
              <w:t>AEI</w:t>
            </w:r>
            <w:r w:rsidRPr="00662249">
              <w:rPr>
                <w:sz w:val="21"/>
                <w:szCs w:val="21"/>
              </w:rPr>
              <w:t xml:space="preserve"> </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w:t>
            </w:r>
          </w:p>
        </w:tc>
        <w:tc>
          <w:tcPr>
            <w:tcW w:w="1308" w:type="dxa"/>
            <w:shd w:val="clear" w:color="auto" w:fill="FFFFFF"/>
            <w:vAlign w:val="center"/>
          </w:tcPr>
          <w:p w:rsidR="00206E2C" w:rsidRPr="00662249" w:rsidRDefault="00206E2C" w:rsidP="00A76F4A">
            <w:pPr>
              <w:ind w:right="12"/>
              <w:jc w:val="center"/>
              <w:rPr>
                <w:sz w:val="21"/>
                <w:szCs w:val="21"/>
              </w:rPr>
            </w:pPr>
            <w:r w:rsidRPr="00662249">
              <w:rPr>
                <w:sz w:val="21"/>
                <w:szCs w:val="21"/>
              </w:rPr>
              <w:t>Forfait</w:t>
            </w:r>
          </w:p>
        </w:tc>
        <w:tc>
          <w:tcPr>
            <w:tcW w:w="1312" w:type="dxa"/>
            <w:shd w:val="clear" w:color="auto" w:fill="FFFFFF"/>
            <w:vAlign w:val="center"/>
          </w:tcPr>
          <w:p w:rsidR="00206E2C" w:rsidRPr="00662249" w:rsidRDefault="00F92390" w:rsidP="00A76F4A">
            <w:pPr>
              <w:ind w:right="12"/>
              <w:jc w:val="center"/>
              <w:rPr>
                <w:sz w:val="21"/>
                <w:szCs w:val="21"/>
              </w:rPr>
            </w:pPr>
            <w:r>
              <w:rPr>
                <w:sz w:val="21"/>
                <w:szCs w:val="21"/>
              </w:rPr>
              <w:t>2</w:t>
            </w:r>
            <w:r w:rsidR="00E119F7" w:rsidRPr="00662249">
              <w:rPr>
                <w:sz w:val="21"/>
                <w:szCs w:val="21"/>
              </w:rPr>
              <w:t>0</w:t>
            </w:r>
            <w:r w:rsidR="00206E2C" w:rsidRPr="00662249">
              <w:rPr>
                <w:sz w:val="21"/>
                <w:szCs w:val="21"/>
              </w:rPr>
              <w:t xml:space="preserve"> 000 000</w:t>
            </w:r>
          </w:p>
        </w:tc>
      </w:tr>
      <w:tr w:rsidR="00232AAD" w:rsidRPr="00662249" w:rsidTr="00960D00">
        <w:trPr>
          <w:cnfStyle w:val="000000100000" w:firstRow="0" w:lastRow="0" w:firstColumn="0" w:lastColumn="0" w:oddVBand="0" w:evenVBand="0" w:oddHBand="1" w:evenHBand="0" w:firstRowFirstColumn="0" w:firstRowLastColumn="0" w:lastRowFirstColumn="0" w:lastRowLastColumn="0"/>
          <w:trHeight w:val="100"/>
          <w:jc w:val="center"/>
        </w:trPr>
        <w:tc>
          <w:tcPr>
            <w:tcW w:w="0" w:type="auto"/>
            <w:gridSpan w:val="2"/>
            <w:shd w:val="clear" w:color="auto" w:fill="FFFFFF"/>
          </w:tcPr>
          <w:p w:rsidR="00206E2C" w:rsidRPr="00662249" w:rsidRDefault="00206E2C" w:rsidP="00A76F4A">
            <w:pPr>
              <w:ind w:right="12"/>
              <w:rPr>
                <w:sz w:val="21"/>
                <w:szCs w:val="21"/>
              </w:rPr>
            </w:pPr>
            <w:r w:rsidRPr="00662249">
              <w:rPr>
                <w:sz w:val="21"/>
                <w:szCs w:val="21"/>
              </w:rPr>
              <w:t>Analyses laboratoires et suivi des indicateurs</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w:t>
            </w:r>
          </w:p>
        </w:tc>
        <w:tc>
          <w:tcPr>
            <w:tcW w:w="1308" w:type="dxa"/>
            <w:shd w:val="clear" w:color="auto" w:fill="FFFFFF"/>
            <w:vAlign w:val="center"/>
          </w:tcPr>
          <w:p w:rsidR="00206E2C" w:rsidRPr="00662249" w:rsidRDefault="00206E2C" w:rsidP="00A76F4A">
            <w:pPr>
              <w:ind w:right="12"/>
              <w:jc w:val="center"/>
              <w:rPr>
                <w:sz w:val="21"/>
                <w:szCs w:val="21"/>
              </w:rPr>
            </w:pPr>
            <w:r w:rsidRPr="00662249">
              <w:rPr>
                <w:sz w:val="21"/>
                <w:szCs w:val="21"/>
              </w:rPr>
              <w:t>-</w:t>
            </w:r>
          </w:p>
        </w:tc>
        <w:tc>
          <w:tcPr>
            <w:tcW w:w="1312" w:type="dxa"/>
            <w:shd w:val="clear" w:color="auto" w:fill="FFFFFF"/>
            <w:vAlign w:val="center"/>
          </w:tcPr>
          <w:p w:rsidR="00206E2C" w:rsidRPr="00662249" w:rsidRDefault="00FF60C6" w:rsidP="00A76F4A">
            <w:pPr>
              <w:ind w:right="12"/>
              <w:jc w:val="center"/>
              <w:rPr>
                <w:sz w:val="21"/>
                <w:szCs w:val="21"/>
              </w:rPr>
            </w:pPr>
            <w:r w:rsidRPr="00662249">
              <w:rPr>
                <w:sz w:val="21"/>
                <w:szCs w:val="21"/>
              </w:rPr>
              <w:t>2 5</w:t>
            </w:r>
            <w:r w:rsidR="00206E2C" w:rsidRPr="00662249">
              <w:rPr>
                <w:sz w:val="21"/>
                <w:szCs w:val="21"/>
              </w:rPr>
              <w:t>00 000</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58"/>
          <w:jc w:val="center"/>
        </w:trPr>
        <w:tc>
          <w:tcPr>
            <w:tcW w:w="0" w:type="auto"/>
            <w:gridSpan w:val="2"/>
            <w:shd w:val="clear" w:color="auto" w:fill="FFFFFF"/>
          </w:tcPr>
          <w:p w:rsidR="00206E2C" w:rsidRPr="00662249" w:rsidRDefault="006E6E91" w:rsidP="00A76F4A">
            <w:pPr>
              <w:ind w:right="12"/>
              <w:rPr>
                <w:sz w:val="21"/>
                <w:szCs w:val="21"/>
              </w:rPr>
            </w:pPr>
            <w:r w:rsidRPr="00662249">
              <w:rPr>
                <w:sz w:val="21"/>
                <w:szCs w:val="21"/>
              </w:rPr>
              <w:t>Evaluation a mi-parcours et finale du CGES et des AEI</w:t>
            </w:r>
          </w:p>
        </w:tc>
        <w:tc>
          <w:tcPr>
            <w:tcW w:w="1750" w:type="dxa"/>
            <w:shd w:val="clear" w:color="auto" w:fill="FFFFFF"/>
            <w:vAlign w:val="center"/>
          </w:tcPr>
          <w:p w:rsidR="00206E2C" w:rsidRPr="00662249" w:rsidRDefault="00E076FC" w:rsidP="00A76F4A">
            <w:pPr>
              <w:ind w:right="12"/>
              <w:jc w:val="center"/>
              <w:rPr>
                <w:sz w:val="21"/>
                <w:szCs w:val="21"/>
              </w:rPr>
            </w:pPr>
            <w:r w:rsidRPr="00662249">
              <w:rPr>
                <w:sz w:val="21"/>
                <w:szCs w:val="21"/>
              </w:rPr>
              <w:t>2</w:t>
            </w:r>
          </w:p>
        </w:tc>
        <w:tc>
          <w:tcPr>
            <w:tcW w:w="1308" w:type="dxa"/>
            <w:shd w:val="clear" w:color="auto" w:fill="FFFFFF"/>
            <w:vAlign w:val="center"/>
          </w:tcPr>
          <w:p w:rsidR="00206E2C" w:rsidRPr="00662249" w:rsidRDefault="00E076FC" w:rsidP="00A76F4A">
            <w:pPr>
              <w:ind w:right="12"/>
              <w:jc w:val="center"/>
              <w:rPr>
                <w:sz w:val="21"/>
                <w:szCs w:val="21"/>
              </w:rPr>
            </w:pPr>
            <w:r w:rsidRPr="00662249">
              <w:rPr>
                <w:sz w:val="21"/>
                <w:szCs w:val="21"/>
              </w:rPr>
              <w:t>75</w:t>
            </w:r>
            <w:r w:rsidR="00206E2C" w:rsidRPr="00662249">
              <w:rPr>
                <w:sz w:val="21"/>
                <w:szCs w:val="21"/>
              </w:rPr>
              <w:t>0 000</w:t>
            </w:r>
          </w:p>
        </w:tc>
        <w:tc>
          <w:tcPr>
            <w:tcW w:w="1312" w:type="dxa"/>
            <w:shd w:val="clear" w:color="auto" w:fill="FFFFFF"/>
            <w:vAlign w:val="center"/>
          </w:tcPr>
          <w:p w:rsidR="00206E2C" w:rsidRPr="00662249" w:rsidRDefault="00E076FC" w:rsidP="00A76F4A">
            <w:pPr>
              <w:ind w:right="12"/>
              <w:jc w:val="center"/>
              <w:rPr>
                <w:sz w:val="21"/>
                <w:szCs w:val="21"/>
              </w:rPr>
            </w:pPr>
            <w:r w:rsidRPr="00662249">
              <w:rPr>
                <w:sz w:val="21"/>
                <w:szCs w:val="21"/>
              </w:rPr>
              <w:t>1 5</w:t>
            </w:r>
            <w:r w:rsidR="00206E2C" w:rsidRPr="00662249">
              <w:rPr>
                <w:sz w:val="21"/>
                <w:szCs w:val="21"/>
              </w:rPr>
              <w:t>00 000</w:t>
            </w:r>
          </w:p>
        </w:tc>
      </w:tr>
      <w:tr w:rsidR="00922C95" w:rsidRPr="00662249" w:rsidTr="00960D00">
        <w:trPr>
          <w:cnfStyle w:val="000000100000" w:firstRow="0" w:lastRow="0" w:firstColumn="0" w:lastColumn="0" w:oddVBand="0" w:evenVBand="0" w:oddHBand="1" w:evenHBand="0" w:firstRowFirstColumn="0" w:firstRowLastColumn="0" w:lastRowFirstColumn="0" w:lastRowLastColumn="0"/>
          <w:trHeight w:val="268"/>
          <w:jc w:val="center"/>
        </w:trPr>
        <w:tc>
          <w:tcPr>
            <w:tcW w:w="7891" w:type="dxa"/>
            <w:gridSpan w:val="4"/>
            <w:shd w:val="clear" w:color="auto" w:fill="E2EFD9" w:themeFill="accent6" w:themeFillTint="33"/>
            <w:vAlign w:val="center"/>
          </w:tcPr>
          <w:p w:rsidR="00206E2C" w:rsidRPr="00662249" w:rsidRDefault="002448E1" w:rsidP="00A76F4A">
            <w:pPr>
              <w:ind w:right="12"/>
              <w:jc w:val="center"/>
              <w:rPr>
                <w:b/>
                <w:color w:val="FF0000"/>
                <w:sz w:val="21"/>
                <w:szCs w:val="21"/>
              </w:rPr>
            </w:pPr>
            <w:r w:rsidRPr="00662249">
              <w:rPr>
                <w:b/>
                <w:color w:val="FF0000"/>
                <w:sz w:val="21"/>
                <w:szCs w:val="21"/>
              </w:rPr>
              <w:t xml:space="preserve">Sous </w:t>
            </w:r>
            <w:r w:rsidR="00797319" w:rsidRPr="00662249">
              <w:rPr>
                <w:b/>
                <w:color w:val="FF0000"/>
                <w:sz w:val="21"/>
                <w:szCs w:val="21"/>
              </w:rPr>
              <w:t>total 2</w:t>
            </w:r>
          </w:p>
        </w:tc>
        <w:tc>
          <w:tcPr>
            <w:tcW w:w="1312" w:type="dxa"/>
            <w:shd w:val="clear" w:color="auto" w:fill="E2EFD9" w:themeFill="accent6" w:themeFillTint="33"/>
            <w:vAlign w:val="center"/>
          </w:tcPr>
          <w:p w:rsidR="00206E2C" w:rsidRPr="00662249" w:rsidRDefault="00F92390" w:rsidP="00A76F4A">
            <w:pPr>
              <w:ind w:right="12"/>
              <w:jc w:val="center"/>
              <w:rPr>
                <w:b/>
                <w:color w:val="FF0000"/>
                <w:sz w:val="21"/>
                <w:szCs w:val="21"/>
              </w:rPr>
            </w:pPr>
            <w:r>
              <w:rPr>
                <w:b/>
                <w:color w:val="FF0000"/>
                <w:sz w:val="21"/>
                <w:szCs w:val="21"/>
              </w:rPr>
              <w:t>7</w:t>
            </w:r>
            <w:r w:rsidR="006D2600" w:rsidRPr="00662249">
              <w:rPr>
                <w:b/>
                <w:color w:val="FF0000"/>
                <w:sz w:val="21"/>
                <w:szCs w:val="21"/>
              </w:rPr>
              <w:t>8</w:t>
            </w:r>
            <w:r w:rsidR="00206E2C" w:rsidRPr="00662249">
              <w:rPr>
                <w:b/>
                <w:color w:val="FF0000"/>
                <w:sz w:val="21"/>
                <w:szCs w:val="21"/>
              </w:rPr>
              <w:t xml:space="preserve"> 000 000</w:t>
            </w:r>
          </w:p>
        </w:tc>
      </w:tr>
      <w:tr w:rsidR="00206E2C" w:rsidRPr="00662249" w:rsidTr="00960D00">
        <w:trPr>
          <w:cnfStyle w:val="000000010000" w:firstRow="0" w:lastRow="0" w:firstColumn="0" w:lastColumn="0" w:oddVBand="0" w:evenVBand="0" w:oddHBand="0" w:evenHBand="1" w:firstRowFirstColumn="0" w:firstRowLastColumn="0" w:lastRowFirstColumn="0" w:lastRowLastColumn="0"/>
          <w:trHeight w:val="119"/>
          <w:jc w:val="center"/>
        </w:trPr>
        <w:tc>
          <w:tcPr>
            <w:tcW w:w="9203" w:type="dxa"/>
            <w:gridSpan w:val="5"/>
            <w:shd w:val="clear" w:color="auto" w:fill="F2F2F2"/>
          </w:tcPr>
          <w:p w:rsidR="00206E2C" w:rsidRPr="00662249" w:rsidRDefault="00206E2C" w:rsidP="00A76F4A">
            <w:pPr>
              <w:ind w:right="12"/>
              <w:jc w:val="center"/>
              <w:rPr>
                <w:sz w:val="21"/>
                <w:szCs w:val="21"/>
              </w:rPr>
            </w:pPr>
            <w:r w:rsidRPr="00662249">
              <w:rPr>
                <w:sz w:val="21"/>
                <w:szCs w:val="21"/>
              </w:rPr>
              <w:t>2. Coûts de mesures d'organisation, de formation et de sensibilisation</w:t>
            </w:r>
          </w:p>
        </w:tc>
      </w:tr>
      <w:tr w:rsidR="00206E2C" w:rsidRPr="00662249" w:rsidTr="00960D00">
        <w:trPr>
          <w:cnfStyle w:val="000000100000" w:firstRow="0" w:lastRow="0" w:firstColumn="0" w:lastColumn="0" w:oddVBand="0" w:evenVBand="0" w:oddHBand="1" w:evenHBand="0" w:firstRowFirstColumn="0" w:firstRowLastColumn="0" w:lastRowFirstColumn="0" w:lastRowLastColumn="0"/>
          <w:trHeight w:val="114"/>
          <w:jc w:val="center"/>
        </w:trPr>
        <w:tc>
          <w:tcPr>
            <w:tcW w:w="9203" w:type="dxa"/>
            <w:gridSpan w:val="5"/>
          </w:tcPr>
          <w:p w:rsidR="00206E2C" w:rsidRPr="00662249" w:rsidRDefault="00206E2C" w:rsidP="00A76F4A">
            <w:pPr>
              <w:ind w:right="12"/>
              <w:jc w:val="center"/>
              <w:rPr>
                <w:sz w:val="21"/>
                <w:szCs w:val="21"/>
              </w:rPr>
            </w:pPr>
            <w:r w:rsidRPr="00662249">
              <w:rPr>
                <w:sz w:val="21"/>
                <w:szCs w:val="21"/>
              </w:rPr>
              <w:t xml:space="preserve">Renforcement des capacités d'intervention des acteurs du projet </w:t>
            </w:r>
            <w:r w:rsidR="00232AAD" w:rsidRPr="00662249">
              <w:rPr>
                <w:sz w:val="21"/>
                <w:szCs w:val="21"/>
              </w:rPr>
              <w:t>PUSA</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268"/>
          <w:jc w:val="center"/>
        </w:trPr>
        <w:tc>
          <w:tcPr>
            <w:tcW w:w="0" w:type="auto"/>
            <w:vMerge w:val="restart"/>
            <w:shd w:val="clear" w:color="auto" w:fill="FFFFFF"/>
            <w:vAlign w:val="center"/>
          </w:tcPr>
          <w:p w:rsidR="00206E2C" w:rsidRPr="00662249" w:rsidRDefault="00206E2C" w:rsidP="00A76F4A">
            <w:pPr>
              <w:tabs>
                <w:tab w:val="left" w:pos="193"/>
              </w:tabs>
              <w:autoSpaceDE w:val="0"/>
              <w:autoSpaceDN w:val="0"/>
              <w:adjustRightInd w:val="0"/>
              <w:ind w:right="12"/>
              <w:jc w:val="center"/>
              <w:rPr>
                <w:rFonts w:eastAsia="Times New Roman"/>
                <w:sz w:val="21"/>
                <w:szCs w:val="21"/>
              </w:rPr>
            </w:pPr>
            <w:r w:rsidRPr="00662249">
              <w:rPr>
                <w:rFonts w:eastAsia="Times New Roman"/>
                <w:sz w:val="21"/>
                <w:szCs w:val="21"/>
              </w:rPr>
              <w:t>Services techniques et Bénéficiaires des sous projets</w:t>
            </w:r>
          </w:p>
        </w:tc>
        <w:tc>
          <w:tcPr>
            <w:tcW w:w="0" w:type="auto"/>
            <w:shd w:val="clear" w:color="auto" w:fill="FFFFFF"/>
            <w:vAlign w:val="center"/>
          </w:tcPr>
          <w:p w:rsidR="00206E2C" w:rsidRPr="00662249" w:rsidRDefault="00206E2C" w:rsidP="00A76F4A">
            <w:pPr>
              <w:ind w:left="64" w:right="12"/>
              <w:jc w:val="center"/>
              <w:rPr>
                <w:sz w:val="21"/>
                <w:szCs w:val="21"/>
              </w:rPr>
            </w:pPr>
            <w:r w:rsidRPr="00662249">
              <w:rPr>
                <w:sz w:val="21"/>
                <w:szCs w:val="21"/>
              </w:rPr>
              <w:t>Formation sur les techniques de transformation des produits agricoles</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 xml:space="preserve">12 modules </w:t>
            </w:r>
            <w:r w:rsidR="00647BB2" w:rsidRPr="00662249">
              <w:rPr>
                <w:sz w:val="21"/>
                <w:szCs w:val="21"/>
              </w:rPr>
              <w:t>(2</w:t>
            </w:r>
            <w:r w:rsidRPr="00662249">
              <w:rPr>
                <w:sz w:val="21"/>
                <w:szCs w:val="21"/>
              </w:rPr>
              <w:t xml:space="preserve"> ateliers par région)</w:t>
            </w:r>
          </w:p>
        </w:tc>
        <w:tc>
          <w:tcPr>
            <w:tcW w:w="1308" w:type="dxa"/>
            <w:shd w:val="clear" w:color="auto" w:fill="FFFFFF"/>
            <w:vAlign w:val="center"/>
          </w:tcPr>
          <w:p w:rsidR="00206E2C" w:rsidRPr="00662249" w:rsidRDefault="00647BB2" w:rsidP="00A76F4A">
            <w:pPr>
              <w:ind w:right="12"/>
              <w:jc w:val="center"/>
              <w:rPr>
                <w:sz w:val="21"/>
                <w:szCs w:val="21"/>
              </w:rPr>
            </w:pPr>
            <w:r w:rsidRPr="00662249">
              <w:rPr>
                <w:sz w:val="21"/>
                <w:szCs w:val="21"/>
              </w:rPr>
              <w:t>Forfait</w:t>
            </w:r>
          </w:p>
        </w:tc>
        <w:tc>
          <w:tcPr>
            <w:tcW w:w="1312" w:type="dxa"/>
            <w:shd w:val="clear" w:color="auto" w:fill="FFFFFF"/>
            <w:vAlign w:val="center"/>
          </w:tcPr>
          <w:p w:rsidR="00206E2C" w:rsidRPr="00662249" w:rsidRDefault="00AD7BEE" w:rsidP="00A76F4A">
            <w:pPr>
              <w:ind w:right="12"/>
              <w:jc w:val="center"/>
              <w:rPr>
                <w:sz w:val="21"/>
                <w:szCs w:val="21"/>
              </w:rPr>
            </w:pPr>
            <w:r w:rsidRPr="00662249">
              <w:rPr>
                <w:sz w:val="21"/>
                <w:szCs w:val="21"/>
              </w:rPr>
              <w:t>5</w:t>
            </w:r>
            <w:r w:rsidR="00647BB2" w:rsidRPr="00662249">
              <w:rPr>
                <w:sz w:val="21"/>
                <w:szCs w:val="21"/>
              </w:rPr>
              <w:t xml:space="preserve"> 000 000</w:t>
            </w:r>
          </w:p>
        </w:tc>
      </w:tr>
      <w:tr w:rsidR="00232AAD" w:rsidRPr="00662249" w:rsidTr="00960D00">
        <w:trPr>
          <w:cnfStyle w:val="000000100000" w:firstRow="0" w:lastRow="0" w:firstColumn="0" w:lastColumn="0" w:oddVBand="0" w:evenVBand="0" w:oddHBand="1" w:evenHBand="0" w:firstRowFirstColumn="0" w:firstRowLastColumn="0" w:lastRowFirstColumn="0" w:lastRowLastColumn="0"/>
          <w:trHeight w:val="365"/>
          <w:jc w:val="center"/>
        </w:trPr>
        <w:tc>
          <w:tcPr>
            <w:tcW w:w="0" w:type="auto"/>
            <w:vMerge/>
            <w:shd w:val="clear" w:color="auto" w:fill="FFFFFF"/>
            <w:vAlign w:val="center"/>
          </w:tcPr>
          <w:p w:rsidR="00206E2C" w:rsidRPr="00662249" w:rsidRDefault="00206E2C" w:rsidP="00A76F4A">
            <w:pPr>
              <w:tabs>
                <w:tab w:val="left" w:pos="193"/>
              </w:tabs>
              <w:autoSpaceDE w:val="0"/>
              <w:autoSpaceDN w:val="0"/>
              <w:adjustRightInd w:val="0"/>
              <w:ind w:right="12"/>
              <w:jc w:val="center"/>
              <w:rPr>
                <w:rFonts w:eastAsia="Times New Roman"/>
                <w:sz w:val="21"/>
                <w:szCs w:val="21"/>
              </w:rPr>
            </w:pPr>
          </w:p>
        </w:tc>
        <w:tc>
          <w:tcPr>
            <w:tcW w:w="0" w:type="auto"/>
            <w:shd w:val="clear" w:color="auto" w:fill="FFFFFF"/>
            <w:vAlign w:val="center"/>
          </w:tcPr>
          <w:p w:rsidR="00206E2C" w:rsidRPr="00662249" w:rsidRDefault="00206E2C" w:rsidP="00A76F4A">
            <w:pPr>
              <w:ind w:left="64" w:right="12"/>
              <w:jc w:val="center"/>
              <w:rPr>
                <w:sz w:val="21"/>
                <w:szCs w:val="21"/>
              </w:rPr>
            </w:pPr>
            <w:r w:rsidRPr="00662249">
              <w:rPr>
                <w:sz w:val="21"/>
                <w:szCs w:val="21"/>
              </w:rPr>
              <w:t xml:space="preserve">Formation sur les techniques </w:t>
            </w:r>
            <w:r w:rsidR="005E647D" w:rsidRPr="00662249">
              <w:rPr>
                <w:sz w:val="21"/>
                <w:szCs w:val="21"/>
              </w:rPr>
              <w:t xml:space="preserve">des bonnes pratiques </w:t>
            </w:r>
            <w:r w:rsidRPr="00662249">
              <w:rPr>
                <w:sz w:val="21"/>
                <w:szCs w:val="21"/>
              </w:rPr>
              <w:t>agricoles</w:t>
            </w:r>
          </w:p>
        </w:tc>
        <w:tc>
          <w:tcPr>
            <w:tcW w:w="1750" w:type="dxa"/>
            <w:shd w:val="clear" w:color="auto" w:fill="FFFFFF"/>
            <w:vAlign w:val="center"/>
          </w:tcPr>
          <w:p w:rsidR="00206E2C" w:rsidRPr="00662249" w:rsidRDefault="00206E2C" w:rsidP="00A76F4A">
            <w:pPr>
              <w:ind w:right="12"/>
              <w:jc w:val="center"/>
              <w:rPr>
                <w:sz w:val="21"/>
                <w:szCs w:val="21"/>
              </w:rPr>
            </w:pPr>
            <w:r w:rsidRPr="00662249">
              <w:rPr>
                <w:sz w:val="21"/>
                <w:szCs w:val="21"/>
              </w:rPr>
              <w:t>12 ateliers de format</w:t>
            </w:r>
            <w:r w:rsidR="00FF7871" w:rsidRPr="00662249">
              <w:rPr>
                <w:sz w:val="21"/>
                <w:szCs w:val="21"/>
              </w:rPr>
              <w:t>ion (2</w:t>
            </w:r>
            <w:r w:rsidRPr="00662249">
              <w:rPr>
                <w:sz w:val="21"/>
                <w:szCs w:val="21"/>
              </w:rPr>
              <w:t xml:space="preserve"> ateliers par région)</w:t>
            </w:r>
          </w:p>
        </w:tc>
        <w:tc>
          <w:tcPr>
            <w:tcW w:w="1308" w:type="dxa"/>
            <w:shd w:val="clear" w:color="auto" w:fill="FFFFFF"/>
            <w:vAlign w:val="center"/>
          </w:tcPr>
          <w:p w:rsidR="00206E2C" w:rsidRPr="00662249" w:rsidRDefault="00893A0C" w:rsidP="00A76F4A">
            <w:pPr>
              <w:ind w:right="12"/>
              <w:jc w:val="center"/>
              <w:rPr>
                <w:sz w:val="21"/>
                <w:szCs w:val="21"/>
              </w:rPr>
            </w:pPr>
            <w:r w:rsidRPr="00662249">
              <w:rPr>
                <w:sz w:val="21"/>
                <w:szCs w:val="21"/>
              </w:rPr>
              <w:t>Forfait</w:t>
            </w:r>
          </w:p>
        </w:tc>
        <w:tc>
          <w:tcPr>
            <w:tcW w:w="1312" w:type="dxa"/>
            <w:shd w:val="clear" w:color="auto" w:fill="FFFFFF"/>
            <w:vAlign w:val="center"/>
          </w:tcPr>
          <w:p w:rsidR="00206E2C" w:rsidRPr="00662249" w:rsidRDefault="00AD7BEE" w:rsidP="00A76F4A">
            <w:pPr>
              <w:ind w:right="12"/>
              <w:jc w:val="center"/>
              <w:rPr>
                <w:sz w:val="21"/>
                <w:szCs w:val="21"/>
              </w:rPr>
            </w:pPr>
            <w:r w:rsidRPr="00662249">
              <w:rPr>
                <w:sz w:val="21"/>
                <w:szCs w:val="21"/>
              </w:rPr>
              <w:t>5</w:t>
            </w:r>
            <w:r w:rsidR="00FF7871" w:rsidRPr="00662249">
              <w:rPr>
                <w:sz w:val="21"/>
                <w:szCs w:val="21"/>
              </w:rPr>
              <w:t xml:space="preserve"> 000 000</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338"/>
          <w:jc w:val="center"/>
        </w:trPr>
        <w:tc>
          <w:tcPr>
            <w:tcW w:w="0" w:type="auto"/>
            <w:vMerge/>
            <w:shd w:val="clear" w:color="auto" w:fill="FFFFFF"/>
            <w:vAlign w:val="center"/>
          </w:tcPr>
          <w:p w:rsidR="00206E2C" w:rsidRPr="00662249" w:rsidRDefault="00206E2C" w:rsidP="00A76F4A">
            <w:pPr>
              <w:tabs>
                <w:tab w:val="left" w:pos="193"/>
              </w:tabs>
              <w:autoSpaceDE w:val="0"/>
              <w:autoSpaceDN w:val="0"/>
              <w:adjustRightInd w:val="0"/>
              <w:ind w:right="12"/>
              <w:jc w:val="center"/>
              <w:rPr>
                <w:rFonts w:eastAsia="Times New Roman"/>
                <w:sz w:val="21"/>
                <w:szCs w:val="21"/>
              </w:rPr>
            </w:pPr>
          </w:p>
        </w:tc>
        <w:tc>
          <w:tcPr>
            <w:tcW w:w="0" w:type="auto"/>
            <w:shd w:val="clear" w:color="auto" w:fill="FFFFFF"/>
            <w:vAlign w:val="center"/>
          </w:tcPr>
          <w:p w:rsidR="00206E2C" w:rsidRPr="00662249" w:rsidRDefault="00206E2C" w:rsidP="00A76F4A">
            <w:pPr>
              <w:ind w:left="64" w:right="12"/>
              <w:jc w:val="center"/>
              <w:rPr>
                <w:sz w:val="21"/>
                <w:szCs w:val="21"/>
              </w:rPr>
            </w:pPr>
            <w:r w:rsidRPr="00662249">
              <w:rPr>
                <w:sz w:val="21"/>
                <w:szCs w:val="21"/>
              </w:rPr>
              <w:t>Formation sur les techniques de gestion</w:t>
            </w:r>
            <w:r w:rsidR="00012A26" w:rsidRPr="00662249">
              <w:rPr>
                <w:sz w:val="21"/>
                <w:szCs w:val="21"/>
              </w:rPr>
              <w:t xml:space="preserve"> intégrée</w:t>
            </w:r>
            <w:r w:rsidRPr="00662249">
              <w:rPr>
                <w:sz w:val="21"/>
                <w:szCs w:val="21"/>
              </w:rPr>
              <w:t xml:space="preserve"> des pesticides</w:t>
            </w:r>
          </w:p>
        </w:tc>
        <w:tc>
          <w:tcPr>
            <w:tcW w:w="1750" w:type="dxa"/>
            <w:shd w:val="clear" w:color="auto" w:fill="FFFFFF"/>
            <w:vAlign w:val="center"/>
          </w:tcPr>
          <w:p w:rsidR="00206E2C" w:rsidRPr="00662249" w:rsidRDefault="00587EFC" w:rsidP="00A76F4A">
            <w:pPr>
              <w:ind w:right="12"/>
              <w:jc w:val="center"/>
              <w:rPr>
                <w:sz w:val="21"/>
                <w:szCs w:val="21"/>
              </w:rPr>
            </w:pPr>
            <w:r w:rsidRPr="00662249">
              <w:rPr>
                <w:sz w:val="21"/>
                <w:szCs w:val="21"/>
              </w:rPr>
              <w:t>12</w:t>
            </w:r>
            <w:r w:rsidR="00300617" w:rsidRPr="00662249">
              <w:rPr>
                <w:sz w:val="21"/>
                <w:szCs w:val="21"/>
              </w:rPr>
              <w:t xml:space="preserve"> ateliers de formation (2</w:t>
            </w:r>
            <w:r w:rsidR="00206E2C" w:rsidRPr="00662249">
              <w:rPr>
                <w:sz w:val="21"/>
                <w:szCs w:val="21"/>
              </w:rPr>
              <w:t xml:space="preserve"> ateliers par région)</w:t>
            </w:r>
          </w:p>
        </w:tc>
        <w:tc>
          <w:tcPr>
            <w:tcW w:w="1308" w:type="dxa"/>
            <w:shd w:val="clear" w:color="auto" w:fill="FFFFFF"/>
            <w:vAlign w:val="center"/>
          </w:tcPr>
          <w:p w:rsidR="00206E2C" w:rsidRPr="00662249" w:rsidRDefault="00893A0C" w:rsidP="00A76F4A">
            <w:pPr>
              <w:ind w:right="12"/>
              <w:jc w:val="center"/>
              <w:rPr>
                <w:sz w:val="21"/>
                <w:szCs w:val="21"/>
              </w:rPr>
            </w:pPr>
            <w:r w:rsidRPr="00662249">
              <w:rPr>
                <w:sz w:val="21"/>
                <w:szCs w:val="21"/>
              </w:rPr>
              <w:t>Forfait</w:t>
            </w:r>
          </w:p>
        </w:tc>
        <w:tc>
          <w:tcPr>
            <w:tcW w:w="1312" w:type="dxa"/>
            <w:shd w:val="clear" w:color="auto" w:fill="FFFFFF"/>
            <w:vAlign w:val="center"/>
          </w:tcPr>
          <w:p w:rsidR="00206E2C" w:rsidRPr="00662249" w:rsidRDefault="00AD7BEE" w:rsidP="00A76F4A">
            <w:pPr>
              <w:ind w:right="12"/>
              <w:jc w:val="center"/>
              <w:rPr>
                <w:sz w:val="21"/>
                <w:szCs w:val="21"/>
              </w:rPr>
            </w:pPr>
            <w:r w:rsidRPr="00662249">
              <w:rPr>
                <w:sz w:val="21"/>
                <w:szCs w:val="21"/>
              </w:rPr>
              <w:t>5</w:t>
            </w:r>
            <w:r w:rsidR="00300617" w:rsidRPr="00662249">
              <w:rPr>
                <w:sz w:val="21"/>
                <w:szCs w:val="21"/>
              </w:rPr>
              <w:t xml:space="preserve"> 000 000</w:t>
            </w:r>
          </w:p>
        </w:tc>
      </w:tr>
      <w:tr w:rsidR="00206E2C" w:rsidRPr="00662249" w:rsidTr="00960D00">
        <w:trPr>
          <w:cnfStyle w:val="000000100000" w:firstRow="0" w:lastRow="0" w:firstColumn="0" w:lastColumn="0" w:oddVBand="0" w:evenVBand="0" w:oddHBand="1" w:evenHBand="0" w:firstRowFirstColumn="0" w:firstRowLastColumn="0" w:lastRowFirstColumn="0" w:lastRowLastColumn="0"/>
          <w:trHeight w:val="58"/>
          <w:jc w:val="center"/>
        </w:trPr>
        <w:tc>
          <w:tcPr>
            <w:tcW w:w="9203" w:type="dxa"/>
            <w:gridSpan w:val="5"/>
            <w:vAlign w:val="center"/>
          </w:tcPr>
          <w:p w:rsidR="00206E2C" w:rsidRPr="00662249" w:rsidRDefault="00206E2C" w:rsidP="00A76F4A">
            <w:pPr>
              <w:ind w:right="12"/>
              <w:jc w:val="center"/>
              <w:rPr>
                <w:sz w:val="21"/>
                <w:szCs w:val="21"/>
              </w:rPr>
            </w:pPr>
            <w:r w:rsidRPr="00662249">
              <w:rPr>
                <w:sz w:val="21"/>
                <w:szCs w:val="21"/>
              </w:rPr>
              <w:t>Formations</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556"/>
          <w:jc w:val="center"/>
        </w:trPr>
        <w:tc>
          <w:tcPr>
            <w:tcW w:w="0" w:type="auto"/>
            <w:shd w:val="clear" w:color="auto" w:fill="FFFFFF"/>
            <w:vAlign w:val="center"/>
          </w:tcPr>
          <w:p w:rsidR="00206E2C" w:rsidRPr="00662249" w:rsidRDefault="00422AEA" w:rsidP="00A76F4A">
            <w:pPr>
              <w:numPr>
                <w:ilvl w:val="0"/>
                <w:numId w:val="91"/>
              </w:numPr>
              <w:tabs>
                <w:tab w:val="left" w:pos="193"/>
              </w:tabs>
              <w:autoSpaceDE w:val="0"/>
              <w:autoSpaceDN w:val="0"/>
              <w:adjustRightInd w:val="0"/>
              <w:ind w:left="0" w:right="12" w:firstLine="0"/>
              <w:jc w:val="center"/>
              <w:rPr>
                <w:rFonts w:eastAsia="Times New Roman"/>
                <w:sz w:val="21"/>
                <w:szCs w:val="21"/>
              </w:rPr>
            </w:pPr>
            <w:r w:rsidRPr="00662249">
              <w:rPr>
                <w:rFonts w:eastAsia="Times New Roman"/>
                <w:sz w:val="21"/>
                <w:szCs w:val="21"/>
              </w:rPr>
              <w:t>AAAC</w:t>
            </w:r>
          </w:p>
          <w:p w:rsidR="00206E2C" w:rsidRPr="00662249" w:rsidRDefault="00206E2C" w:rsidP="00A76F4A">
            <w:pPr>
              <w:numPr>
                <w:ilvl w:val="0"/>
                <w:numId w:val="91"/>
              </w:numPr>
              <w:tabs>
                <w:tab w:val="left" w:pos="193"/>
              </w:tabs>
              <w:autoSpaceDE w:val="0"/>
              <w:autoSpaceDN w:val="0"/>
              <w:adjustRightInd w:val="0"/>
              <w:ind w:left="0" w:right="12" w:firstLine="0"/>
              <w:jc w:val="center"/>
              <w:rPr>
                <w:rFonts w:eastAsia="Times New Roman"/>
                <w:sz w:val="21"/>
                <w:szCs w:val="21"/>
              </w:rPr>
            </w:pPr>
            <w:r w:rsidRPr="00662249">
              <w:rPr>
                <w:rFonts w:eastAsia="Times New Roman"/>
                <w:sz w:val="21"/>
                <w:szCs w:val="21"/>
              </w:rPr>
              <w:t>Services techniques</w:t>
            </w:r>
          </w:p>
        </w:tc>
        <w:tc>
          <w:tcPr>
            <w:tcW w:w="0" w:type="auto"/>
            <w:shd w:val="clear" w:color="auto" w:fill="FFFFFF"/>
          </w:tcPr>
          <w:p w:rsidR="00206E2C" w:rsidRPr="00662249" w:rsidRDefault="00206E2C" w:rsidP="00A76F4A">
            <w:pPr>
              <w:numPr>
                <w:ilvl w:val="0"/>
                <w:numId w:val="92"/>
              </w:numPr>
              <w:ind w:left="64" w:right="12" w:hanging="141"/>
              <w:jc w:val="both"/>
              <w:rPr>
                <w:sz w:val="21"/>
                <w:szCs w:val="21"/>
              </w:rPr>
            </w:pPr>
            <w:r w:rsidRPr="00662249">
              <w:rPr>
                <w:sz w:val="21"/>
                <w:szCs w:val="21"/>
              </w:rPr>
              <w:t xml:space="preserve">La gestion des ressources naturelles et de l’environnement </w:t>
            </w:r>
          </w:p>
          <w:p w:rsidR="00206E2C" w:rsidRPr="00662249" w:rsidRDefault="00206E2C" w:rsidP="00A76F4A">
            <w:pPr>
              <w:numPr>
                <w:ilvl w:val="0"/>
                <w:numId w:val="92"/>
              </w:numPr>
              <w:ind w:left="64" w:right="12" w:hanging="141"/>
              <w:jc w:val="both"/>
              <w:rPr>
                <w:sz w:val="21"/>
                <w:szCs w:val="21"/>
              </w:rPr>
            </w:pPr>
            <w:r w:rsidRPr="00662249">
              <w:rPr>
                <w:sz w:val="21"/>
                <w:szCs w:val="21"/>
              </w:rPr>
              <w:t xml:space="preserve">Les enjeux environnementaux et sociaux relatifs à la réalisation </w:t>
            </w:r>
            <w:r w:rsidR="00E36C86" w:rsidRPr="00662249">
              <w:rPr>
                <w:sz w:val="21"/>
                <w:szCs w:val="21"/>
              </w:rPr>
              <w:t>des activités</w:t>
            </w:r>
          </w:p>
          <w:p w:rsidR="00206E2C" w:rsidRPr="00662249" w:rsidRDefault="00206E2C" w:rsidP="00A76F4A">
            <w:pPr>
              <w:numPr>
                <w:ilvl w:val="0"/>
                <w:numId w:val="92"/>
              </w:numPr>
              <w:ind w:left="64" w:right="12" w:hanging="141"/>
              <w:jc w:val="both"/>
              <w:rPr>
                <w:sz w:val="21"/>
                <w:szCs w:val="21"/>
              </w:rPr>
            </w:pPr>
            <w:r w:rsidRPr="00662249">
              <w:rPr>
                <w:sz w:val="21"/>
                <w:szCs w:val="21"/>
              </w:rPr>
              <w:t>Les réglementations environnementales et sociales adéquates ;</w:t>
            </w:r>
          </w:p>
          <w:p w:rsidR="00206E2C" w:rsidRPr="00662249" w:rsidRDefault="00206E2C" w:rsidP="00A76F4A">
            <w:pPr>
              <w:numPr>
                <w:ilvl w:val="0"/>
                <w:numId w:val="92"/>
              </w:numPr>
              <w:ind w:left="64" w:right="12" w:hanging="141"/>
              <w:jc w:val="both"/>
              <w:rPr>
                <w:sz w:val="21"/>
                <w:szCs w:val="21"/>
              </w:rPr>
            </w:pPr>
            <w:r w:rsidRPr="00662249">
              <w:rPr>
                <w:sz w:val="21"/>
                <w:szCs w:val="21"/>
              </w:rPr>
              <w:t>Les méthodes d'évaluation environnementale.</w:t>
            </w:r>
          </w:p>
          <w:p w:rsidR="00206E2C" w:rsidRPr="00662249" w:rsidRDefault="00206E2C" w:rsidP="00A76F4A">
            <w:pPr>
              <w:numPr>
                <w:ilvl w:val="0"/>
                <w:numId w:val="92"/>
              </w:numPr>
              <w:ind w:left="64" w:right="12" w:hanging="141"/>
              <w:jc w:val="both"/>
              <w:rPr>
                <w:sz w:val="21"/>
                <w:szCs w:val="21"/>
              </w:rPr>
            </w:pPr>
            <w:r w:rsidRPr="00662249">
              <w:rPr>
                <w:sz w:val="21"/>
                <w:szCs w:val="21"/>
              </w:rPr>
              <w:t>Les développements durables et le changement climatique</w:t>
            </w:r>
          </w:p>
        </w:tc>
        <w:tc>
          <w:tcPr>
            <w:tcW w:w="1750" w:type="dxa"/>
            <w:shd w:val="clear" w:color="auto" w:fill="FFFFFF"/>
            <w:vAlign w:val="center"/>
          </w:tcPr>
          <w:p w:rsidR="00206E2C" w:rsidRPr="00662249" w:rsidRDefault="00422AEA" w:rsidP="00A76F4A">
            <w:pPr>
              <w:ind w:right="12"/>
              <w:jc w:val="center"/>
              <w:rPr>
                <w:sz w:val="21"/>
                <w:szCs w:val="21"/>
              </w:rPr>
            </w:pPr>
            <w:r w:rsidRPr="00662249">
              <w:rPr>
                <w:sz w:val="21"/>
                <w:szCs w:val="21"/>
              </w:rPr>
              <w:t>9 ateliers de formation (1</w:t>
            </w:r>
            <w:r w:rsidR="00206E2C" w:rsidRPr="00662249">
              <w:rPr>
                <w:sz w:val="21"/>
                <w:szCs w:val="21"/>
              </w:rPr>
              <w:t xml:space="preserve"> ateliers par région)</w:t>
            </w:r>
          </w:p>
        </w:tc>
        <w:tc>
          <w:tcPr>
            <w:tcW w:w="1308" w:type="dxa"/>
            <w:shd w:val="clear" w:color="auto" w:fill="FFFFFF"/>
            <w:vAlign w:val="center"/>
          </w:tcPr>
          <w:p w:rsidR="00206E2C" w:rsidRPr="00662249" w:rsidRDefault="00743481" w:rsidP="00A76F4A">
            <w:pPr>
              <w:ind w:right="12"/>
              <w:jc w:val="center"/>
              <w:rPr>
                <w:sz w:val="21"/>
                <w:szCs w:val="21"/>
              </w:rPr>
            </w:pPr>
            <w:r w:rsidRPr="00662249">
              <w:rPr>
                <w:sz w:val="21"/>
                <w:szCs w:val="21"/>
              </w:rPr>
              <w:t>750 000</w:t>
            </w:r>
          </w:p>
        </w:tc>
        <w:tc>
          <w:tcPr>
            <w:tcW w:w="1312" w:type="dxa"/>
            <w:shd w:val="clear" w:color="auto" w:fill="FFFFFF"/>
            <w:vAlign w:val="center"/>
          </w:tcPr>
          <w:p w:rsidR="00206E2C" w:rsidRPr="00662249" w:rsidRDefault="00BB34DA" w:rsidP="00A76F4A">
            <w:pPr>
              <w:ind w:right="12"/>
              <w:jc w:val="center"/>
              <w:rPr>
                <w:sz w:val="21"/>
                <w:szCs w:val="21"/>
              </w:rPr>
            </w:pPr>
            <w:r w:rsidRPr="00662249">
              <w:rPr>
                <w:sz w:val="21"/>
                <w:szCs w:val="21"/>
              </w:rPr>
              <w:t>6 75</w:t>
            </w:r>
            <w:r w:rsidR="00206E2C" w:rsidRPr="00662249">
              <w:rPr>
                <w:sz w:val="21"/>
                <w:szCs w:val="21"/>
              </w:rPr>
              <w:t>0 000</w:t>
            </w:r>
          </w:p>
        </w:tc>
      </w:tr>
      <w:tr w:rsidR="00206E2C" w:rsidRPr="00662249" w:rsidTr="00960D00">
        <w:trPr>
          <w:cnfStyle w:val="000000100000" w:firstRow="0" w:lastRow="0" w:firstColumn="0" w:lastColumn="0" w:oddVBand="0" w:evenVBand="0" w:oddHBand="1" w:evenHBand="0" w:firstRowFirstColumn="0" w:firstRowLastColumn="0" w:lastRowFirstColumn="0" w:lastRowLastColumn="0"/>
          <w:trHeight w:val="58"/>
          <w:jc w:val="center"/>
        </w:trPr>
        <w:tc>
          <w:tcPr>
            <w:tcW w:w="9203" w:type="dxa"/>
            <w:gridSpan w:val="5"/>
          </w:tcPr>
          <w:p w:rsidR="00206E2C" w:rsidRPr="00662249" w:rsidRDefault="00206E2C" w:rsidP="00A76F4A">
            <w:pPr>
              <w:ind w:right="12"/>
              <w:jc w:val="center"/>
              <w:rPr>
                <w:sz w:val="21"/>
                <w:szCs w:val="21"/>
              </w:rPr>
            </w:pPr>
            <w:r w:rsidRPr="00662249">
              <w:rPr>
                <w:sz w:val="21"/>
                <w:szCs w:val="21"/>
              </w:rPr>
              <w:t>Information et sensibilisation</w:t>
            </w:r>
          </w:p>
        </w:tc>
      </w:tr>
      <w:tr w:rsidR="00232AAD" w:rsidRPr="00662249" w:rsidTr="00960D00">
        <w:trPr>
          <w:cnfStyle w:val="000000010000" w:firstRow="0" w:lastRow="0" w:firstColumn="0" w:lastColumn="0" w:oddVBand="0" w:evenVBand="0" w:oddHBand="0" w:evenHBand="1" w:firstRowFirstColumn="0" w:firstRowLastColumn="0" w:lastRowFirstColumn="0" w:lastRowLastColumn="0"/>
          <w:trHeight w:val="1781"/>
          <w:jc w:val="center"/>
        </w:trPr>
        <w:tc>
          <w:tcPr>
            <w:tcW w:w="0" w:type="auto"/>
            <w:shd w:val="clear" w:color="auto" w:fill="FFFFFF"/>
          </w:tcPr>
          <w:p w:rsidR="00206E2C" w:rsidRPr="00662249" w:rsidRDefault="00206E2C" w:rsidP="00A76F4A">
            <w:pPr>
              <w:autoSpaceDE w:val="0"/>
              <w:autoSpaceDN w:val="0"/>
              <w:adjustRightInd w:val="0"/>
              <w:ind w:right="12"/>
              <w:rPr>
                <w:rFonts w:eastAsia="Times New Roman"/>
                <w:sz w:val="21"/>
                <w:szCs w:val="21"/>
              </w:rPr>
            </w:pPr>
          </w:p>
          <w:p w:rsidR="00206E2C" w:rsidRPr="00662249" w:rsidRDefault="00206E2C" w:rsidP="00A76F4A">
            <w:pPr>
              <w:numPr>
                <w:ilvl w:val="0"/>
                <w:numId w:val="91"/>
              </w:numPr>
              <w:tabs>
                <w:tab w:val="left" w:pos="193"/>
              </w:tabs>
              <w:autoSpaceDE w:val="0"/>
              <w:autoSpaceDN w:val="0"/>
              <w:adjustRightInd w:val="0"/>
              <w:ind w:left="0" w:right="12" w:firstLine="0"/>
              <w:rPr>
                <w:rFonts w:eastAsia="Times New Roman"/>
                <w:sz w:val="21"/>
                <w:szCs w:val="21"/>
              </w:rPr>
            </w:pPr>
            <w:r w:rsidRPr="00662249">
              <w:rPr>
                <w:rFonts w:eastAsia="Times New Roman"/>
                <w:sz w:val="21"/>
                <w:szCs w:val="21"/>
              </w:rPr>
              <w:t xml:space="preserve">Populations, </w:t>
            </w:r>
          </w:p>
          <w:p w:rsidR="00206E2C" w:rsidRPr="00662249" w:rsidRDefault="00206E2C" w:rsidP="00A76F4A">
            <w:pPr>
              <w:numPr>
                <w:ilvl w:val="0"/>
                <w:numId w:val="91"/>
              </w:numPr>
              <w:tabs>
                <w:tab w:val="left" w:pos="193"/>
              </w:tabs>
              <w:autoSpaceDE w:val="0"/>
              <w:autoSpaceDN w:val="0"/>
              <w:adjustRightInd w:val="0"/>
              <w:ind w:left="0" w:right="12" w:firstLine="0"/>
              <w:rPr>
                <w:rFonts w:eastAsia="Times New Roman"/>
                <w:sz w:val="21"/>
                <w:szCs w:val="21"/>
              </w:rPr>
            </w:pPr>
            <w:r w:rsidRPr="00662249">
              <w:rPr>
                <w:rFonts w:eastAsia="Times New Roman"/>
                <w:sz w:val="21"/>
                <w:szCs w:val="21"/>
              </w:rPr>
              <w:t xml:space="preserve">Associations locales et OCB </w:t>
            </w:r>
          </w:p>
          <w:p w:rsidR="00206E2C" w:rsidRPr="00662249" w:rsidRDefault="00206E2C" w:rsidP="00A76F4A">
            <w:pPr>
              <w:tabs>
                <w:tab w:val="left" w:pos="193"/>
              </w:tabs>
              <w:autoSpaceDE w:val="0"/>
              <w:autoSpaceDN w:val="0"/>
              <w:adjustRightInd w:val="0"/>
              <w:ind w:right="12"/>
              <w:rPr>
                <w:color w:val="000000"/>
                <w:sz w:val="21"/>
                <w:szCs w:val="21"/>
              </w:rPr>
            </w:pPr>
          </w:p>
        </w:tc>
        <w:tc>
          <w:tcPr>
            <w:tcW w:w="0" w:type="auto"/>
            <w:shd w:val="clear" w:color="auto" w:fill="FFFFFF"/>
          </w:tcPr>
          <w:p w:rsidR="00206E2C" w:rsidRPr="00662249" w:rsidRDefault="00206E2C" w:rsidP="00A76F4A">
            <w:pPr>
              <w:numPr>
                <w:ilvl w:val="0"/>
                <w:numId w:val="91"/>
              </w:numPr>
              <w:tabs>
                <w:tab w:val="left" w:pos="193"/>
              </w:tabs>
              <w:autoSpaceDE w:val="0"/>
              <w:autoSpaceDN w:val="0"/>
              <w:adjustRightInd w:val="0"/>
              <w:ind w:left="0" w:right="12" w:firstLine="0"/>
              <w:jc w:val="both"/>
              <w:rPr>
                <w:rFonts w:eastAsia="Times New Roman"/>
                <w:sz w:val="21"/>
                <w:szCs w:val="21"/>
              </w:rPr>
            </w:pPr>
            <w:r w:rsidRPr="00662249">
              <w:rPr>
                <w:rFonts w:eastAsia="Times New Roman"/>
                <w:sz w:val="21"/>
                <w:szCs w:val="21"/>
              </w:rPr>
              <w:t xml:space="preserve">Campagnes d’information et de sensibilisation sur la nature des </w:t>
            </w:r>
            <w:r w:rsidR="006D7EBD" w:rsidRPr="00662249">
              <w:rPr>
                <w:rFonts w:eastAsia="Times New Roman"/>
                <w:sz w:val="21"/>
                <w:szCs w:val="21"/>
              </w:rPr>
              <w:t>activités du PUSA</w:t>
            </w:r>
            <w:r w:rsidRPr="00662249">
              <w:rPr>
                <w:rFonts w:eastAsia="Times New Roman"/>
                <w:sz w:val="21"/>
                <w:szCs w:val="21"/>
              </w:rPr>
              <w:t>, l’implication des acteurs locaux, les enjeux environnementaux et sociaux ;</w:t>
            </w:r>
          </w:p>
          <w:p w:rsidR="00206E2C" w:rsidRPr="00662249" w:rsidRDefault="00206E2C" w:rsidP="00A76F4A">
            <w:pPr>
              <w:numPr>
                <w:ilvl w:val="0"/>
                <w:numId w:val="91"/>
              </w:numPr>
              <w:tabs>
                <w:tab w:val="left" w:pos="193"/>
              </w:tabs>
              <w:autoSpaceDE w:val="0"/>
              <w:autoSpaceDN w:val="0"/>
              <w:adjustRightInd w:val="0"/>
              <w:ind w:left="0" w:right="12" w:firstLine="0"/>
              <w:jc w:val="both"/>
              <w:rPr>
                <w:rFonts w:eastAsia="Times New Roman"/>
                <w:sz w:val="21"/>
                <w:szCs w:val="21"/>
              </w:rPr>
            </w:pPr>
            <w:r w:rsidRPr="00662249">
              <w:rPr>
                <w:rFonts w:eastAsia="Times New Roman"/>
                <w:sz w:val="21"/>
                <w:szCs w:val="21"/>
              </w:rPr>
              <w:t xml:space="preserve">Sensibilisation sur la sécurité et l’hygiène lors des travaux </w:t>
            </w:r>
          </w:p>
        </w:tc>
        <w:tc>
          <w:tcPr>
            <w:tcW w:w="1750" w:type="dxa"/>
            <w:shd w:val="clear" w:color="auto" w:fill="FFFFFF"/>
            <w:vAlign w:val="center"/>
          </w:tcPr>
          <w:p w:rsidR="00206E2C" w:rsidRPr="00662249" w:rsidRDefault="006D7EBD" w:rsidP="00A76F4A">
            <w:pPr>
              <w:ind w:right="12"/>
              <w:jc w:val="center"/>
              <w:rPr>
                <w:sz w:val="21"/>
                <w:szCs w:val="21"/>
              </w:rPr>
            </w:pPr>
            <w:r w:rsidRPr="00662249">
              <w:rPr>
                <w:sz w:val="21"/>
                <w:szCs w:val="21"/>
              </w:rPr>
              <w:t>10</w:t>
            </w:r>
            <w:r w:rsidR="00074A9B" w:rsidRPr="00662249">
              <w:rPr>
                <w:sz w:val="21"/>
                <w:szCs w:val="21"/>
              </w:rPr>
              <w:t xml:space="preserve"> </w:t>
            </w:r>
            <w:r w:rsidRPr="00662249">
              <w:rPr>
                <w:sz w:val="21"/>
                <w:szCs w:val="21"/>
              </w:rPr>
              <w:t>Campagnes de sensibilisation</w:t>
            </w:r>
          </w:p>
        </w:tc>
        <w:tc>
          <w:tcPr>
            <w:tcW w:w="1308" w:type="dxa"/>
            <w:shd w:val="clear" w:color="auto" w:fill="FFFFFF"/>
            <w:vAlign w:val="center"/>
          </w:tcPr>
          <w:p w:rsidR="00206E2C" w:rsidRPr="00662249" w:rsidRDefault="00206E2C" w:rsidP="00A76F4A">
            <w:pPr>
              <w:ind w:right="12"/>
              <w:jc w:val="center"/>
              <w:rPr>
                <w:sz w:val="21"/>
                <w:szCs w:val="21"/>
              </w:rPr>
            </w:pPr>
            <w:r w:rsidRPr="00662249">
              <w:rPr>
                <w:sz w:val="21"/>
                <w:szCs w:val="21"/>
              </w:rPr>
              <w:t xml:space="preserve">1 </w:t>
            </w:r>
            <w:r w:rsidR="00BB34DA" w:rsidRPr="00662249">
              <w:rPr>
                <w:sz w:val="21"/>
                <w:szCs w:val="21"/>
              </w:rPr>
              <w:t>0</w:t>
            </w:r>
            <w:r w:rsidRPr="00662249">
              <w:rPr>
                <w:sz w:val="21"/>
                <w:szCs w:val="21"/>
              </w:rPr>
              <w:t>00 000</w:t>
            </w:r>
          </w:p>
        </w:tc>
        <w:tc>
          <w:tcPr>
            <w:tcW w:w="1312" w:type="dxa"/>
            <w:shd w:val="clear" w:color="auto" w:fill="FFFFFF"/>
            <w:vAlign w:val="center"/>
          </w:tcPr>
          <w:p w:rsidR="00206E2C" w:rsidRPr="00662249" w:rsidRDefault="00074A9B" w:rsidP="00A76F4A">
            <w:pPr>
              <w:ind w:right="12"/>
              <w:jc w:val="center"/>
              <w:rPr>
                <w:sz w:val="21"/>
                <w:szCs w:val="21"/>
              </w:rPr>
            </w:pPr>
            <w:r w:rsidRPr="00662249">
              <w:rPr>
                <w:sz w:val="21"/>
                <w:szCs w:val="21"/>
              </w:rPr>
              <w:t>1</w:t>
            </w:r>
            <w:r w:rsidR="00BB34DA" w:rsidRPr="00662249">
              <w:rPr>
                <w:sz w:val="21"/>
                <w:szCs w:val="21"/>
              </w:rPr>
              <w:t>0</w:t>
            </w:r>
            <w:r w:rsidR="00206E2C" w:rsidRPr="00662249">
              <w:rPr>
                <w:sz w:val="21"/>
                <w:szCs w:val="21"/>
              </w:rPr>
              <w:t xml:space="preserve"> 000 000</w:t>
            </w:r>
          </w:p>
        </w:tc>
      </w:tr>
      <w:tr w:rsidR="00922C95" w:rsidRPr="00662249" w:rsidTr="00960D00">
        <w:trPr>
          <w:cnfStyle w:val="000000100000" w:firstRow="0" w:lastRow="0" w:firstColumn="0" w:lastColumn="0" w:oddVBand="0" w:evenVBand="0" w:oddHBand="1" w:evenHBand="0" w:firstRowFirstColumn="0" w:firstRowLastColumn="0" w:lastRowFirstColumn="0" w:lastRowLastColumn="0"/>
          <w:trHeight w:val="60"/>
          <w:jc w:val="center"/>
        </w:trPr>
        <w:tc>
          <w:tcPr>
            <w:tcW w:w="7891" w:type="dxa"/>
            <w:gridSpan w:val="4"/>
            <w:shd w:val="clear" w:color="auto" w:fill="E2EFD9" w:themeFill="accent6" w:themeFillTint="33"/>
          </w:tcPr>
          <w:p w:rsidR="00206E2C" w:rsidRPr="00662249" w:rsidRDefault="00206E2C" w:rsidP="00A76F4A">
            <w:pPr>
              <w:ind w:right="12"/>
              <w:jc w:val="center"/>
              <w:rPr>
                <w:b/>
                <w:color w:val="FF0000"/>
                <w:sz w:val="21"/>
                <w:szCs w:val="21"/>
                <w:highlight w:val="yellow"/>
              </w:rPr>
            </w:pPr>
            <w:r w:rsidRPr="00662249">
              <w:rPr>
                <w:b/>
                <w:color w:val="FF0000"/>
                <w:sz w:val="21"/>
                <w:szCs w:val="21"/>
              </w:rPr>
              <w:t xml:space="preserve">Sous total </w:t>
            </w:r>
            <w:r w:rsidR="00C15BB0" w:rsidRPr="00662249">
              <w:rPr>
                <w:b/>
                <w:color w:val="FF0000"/>
                <w:sz w:val="21"/>
                <w:szCs w:val="21"/>
              </w:rPr>
              <w:t>3</w:t>
            </w:r>
          </w:p>
        </w:tc>
        <w:tc>
          <w:tcPr>
            <w:tcW w:w="1312" w:type="dxa"/>
            <w:shd w:val="clear" w:color="auto" w:fill="E2EFD9" w:themeFill="accent6" w:themeFillTint="33"/>
          </w:tcPr>
          <w:p w:rsidR="00206E2C" w:rsidRPr="00662249" w:rsidRDefault="00743E08" w:rsidP="00A76F4A">
            <w:pPr>
              <w:ind w:right="12"/>
              <w:jc w:val="center"/>
              <w:rPr>
                <w:b/>
                <w:color w:val="FF0000"/>
                <w:sz w:val="21"/>
                <w:szCs w:val="21"/>
              </w:rPr>
            </w:pPr>
            <w:r w:rsidRPr="00662249">
              <w:rPr>
                <w:b/>
                <w:color w:val="FF0000"/>
                <w:sz w:val="21"/>
                <w:szCs w:val="21"/>
              </w:rPr>
              <w:t>3</w:t>
            </w:r>
            <w:r w:rsidR="001671A6" w:rsidRPr="00662249">
              <w:rPr>
                <w:b/>
                <w:color w:val="FF0000"/>
                <w:sz w:val="21"/>
                <w:szCs w:val="21"/>
              </w:rPr>
              <w:t>1</w:t>
            </w:r>
            <w:r w:rsidRPr="00662249">
              <w:rPr>
                <w:b/>
                <w:color w:val="FF0000"/>
                <w:sz w:val="21"/>
                <w:szCs w:val="21"/>
              </w:rPr>
              <w:t xml:space="preserve"> 75</w:t>
            </w:r>
            <w:r w:rsidR="00206E2C" w:rsidRPr="00662249">
              <w:rPr>
                <w:b/>
                <w:color w:val="FF0000"/>
                <w:sz w:val="21"/>
                <w:szCs w:val="21"/>
              </w:rPr>
              <w:t>0 000</w:t>
            </w:r>
          </w:p>
        </w:tc>
      </w:tr>
      <w:tr w:rsidR="00922C95" w:rsidRPr="00662249" w:rsidTr="00960D00">
        <w:trPr>
          <w:cnfStyle w:val="000000010000" w:firstRow="0" w:lastRow="0" w:firstColumn="0" w:lastColumn="0" w:oddVBand="0" w:evenVBand="0" w:oddHBand="0" w:evenHBand="1" w:firstRowFirstColumn="0" w:firstRowLastColumn="0" w:lastRowFirstColumn="0" w:lastRowLastColumn="0"/>
          <w:trHeight w:val="60"/>
          <w:jc w:val="center"/>
        </w:trPr>
        <w:tc>
          <w:tcPr>
            <w:tcW w:w="7891" w:type="dxa"/>
            <w:gridSpan w:val="4"/>
            <w:shd w:val="clear" w:color="auto" w:fill="DEEAF6" w:themeFill="accent1" w:themeFillTint="33"/>
            <w:vAlign w:val="center"/>
          </w:tcPr>
          <w:p w:rsidR="00206E2C" w:rsidRPr="00662249" w:rsidRDefault="00206E2C" w:rsidP="00A76F4A">
            <w:pPr>
              <w:ind w:right="12"/>
              <w:jc w:val="center"/>
              <w:rPr>
                <w:sz w:val="21"/>
                <w:szCs w:val="21"/>
              </w:rPr>
            </w:pPr>
            <w:r w:rsidRPr="00662249">
              <w:rPr>
                <w:sz w:val="21"/>
                <w:szCs w:val="21"/>
              </w:rPr>
              <w:t>TOTAL GENERAL</w:t>
            </w:r>
          </w:p>
        </w:tc>
        <w:tc>
          <w:tcPr>
            <w:tcW w:w="1312" w:type="dxa"/>
            <w:shd w:val="clear" w:color="auto" w:fill="DEEAF6" w:themeFill="accent1" w:themeFillTint="33"/>
            <w:vAlign w:val="center"/>
          </w:tcPr>
          <w:p w:rsidR="00206E2C" w:rsidRPr="00662249" w:rsidRDefault="00343A6B" w:rsidP="00A76F4A">
            <w:pPr>
              <w:ind w:right="12"/>
              <w:jc w:val="center"/>
              <w:rPr>
                <w:b/>
                <w:sz w:val="21"/>
                <w:szCs w:val="21"/>
              </w:rPr>
            </w:pPr>
            <w:r w:rsidRPr="00662249">
              <w:rPr>
                <w:b/>
                <w:sz w:val="21"/>
                <w:szCs w:val="21"/>
              </w:rPr>
              <w:t>1</w:t>
            </w:r>
            <w:r w:rsidR="00F92390">
              <w:rPr>
                <w:b/>
                <w:sz w:val="21"/>
                <w:szCs w:val="21"/>
              </w:rPr>
              <w:t>1</w:t>
            </w:r>
            <w:r w:rsidRPr="00662249">
              <w:rPr>
                <w:b/>
                <w:sz w:val="21"/>
                <w:szCs w:val="21"/>
              </w:rPr>
              <w:t xml:space="preserve">3 </w:t>
            </w:r>
            <w:r w:rsidR="00716C7D" w:rsidRPr="00662249">
              <w:rPr>
                <w:b/>
                <w:sz w:val="21"/>
                <w:szCs w:val="21"/>
              </w:rPr>
              <w:t>75</w:t>
            </w:r>
            <w:r w:rsidR="00206E2C" w:rsidRPr="00662249">
              <w:rPr>
                <w:b/>
                <w:sz w:val="21"/>
                <w:szCs w:val="21"/>
              </w:rPr>
              <w:t>0 000</w:t>
            </w:r>
          </w:p>
        </w:tc>
      </w:tr>
      <w:tr w:rsidR="00206E2C" w:rsidRPr="00662249" w:rsidTr="00960D00">
        <w:trPr>
          <w:cnfStyle w:val="000000100000" w:firstRow="0" w:lastRow="0" w:firstColumn="0" w:lastColumn="0" w:oddVBand="0" w:evenVBand="0" w:oddHBand="1" w:evenHBand="0" w:firstRowFirstColumn="0" w:firstRowLastColumn="0" w:lastRowFirstColumn="0" w:lastRowLastColumn="0"/>
          <w:trHeight w:val="573"/>
          <w:jc w:val="center"/>
        </w:trPr>
        <w:tc>
          <w:tcPr>
            <w:tcW w:w="9203" w:type="dxa"/>
            <w:gridSpan w:val="5"/>
          </w:tcPr>
          <w:p w:rsidR="00206E2C" w:rsidRPr="00662249" w:rsidRDefault="00206E2C" w:rsidP="00A76F4A">
            <w:pPr>
              <w:autoSpaceDE w:val="0"/>
              <w:autoSpaceDN w:val="0"/>
              <w:adjustRightInd w:val="0"/>
              <w:ind w:right="12"/>
              <w:jc w:val="center"/>
              <w:rPr>
                <w:rFonts w:eastAsia="Times New Roman"/>
                <w:sz w:val="21"/>
                <w:szCs w:val="21"/>
              </w:rPr>
            </w:pPr>
            <w:r w:rsidRPr="00662249">
              <w:rPr>
                <w:rFonts w:eastAsia="Times New Roman"/>
                <w:bCs/>
                <w:sz w:val="21"/>
                <w:szCs w:val="21"/>
              </w:rPr>
              <w:t xml:space="preserve">Coût total de mise en œuvre du PCGES : </w:t>
            </w:r>
            <w:r w:rsidR="00343A6B" w:rsidRPr="00662249">
              <w:rPr>
                <w:rFonts w:eastAsiaTheme="minorHAnsi"/>
                <w:b/>
                <w:color w:val="000000"/>
                <w:sz w:val="21"/>
                <w:szCs w:val="21"/>
              </w:rPr>
              <w:t>1</w:t>
            </w:r>
            <w:r w:rsidR="00F92390">
              <w:rPr>
                <w:rFonts w:eastAsiaTheme="minorHAnsi"/>
                <w:b/>
                <w:color w:val="000000"/>
                <w:sz w:val="21"/>
                <w:szCs w:val="21"/>
              </w:rPr>
              <w:t>1</w:t>
            </w:r>
            <w:r w:rsidR="00343A6B" w:rsidRPr="00662249">
              <w:rPr>
                <w:rFonts w:eastAsiaTheme="minorHAnsi"/>
                <w:b/>
                <w:color w:val="000000"/>
                <w:sz w:val="21"/>
                <w:szCs w:val="21"/>
              </w:rPr>
              <w:t>3</w:t>
            </w:r>
            <w:r w:rsidR="001671A6" w:rsidRPr="00662249">
              <w:rPr>
                <w:rFonts w:eastAsiaTheme="minorHAnsi"/>
                <w:b/>
                <w:color w:val="000000"/>
                <w:sz w:val="21"/>
                <w:szCs w:val="21"/>
              </w:rPr>
              <w:t xml:space="preserve"> 75</w:t>
            </w:r>
            <w:r w:rsidRPr="00662249">
              <w:rPr>
                <w:rFonts w:eastAsiaTheme="minorHAnsi"/>
                <w:b/>
                <w:color w:val="000000"/>
                <w:sz w:val="21"/>
                <w:szCs w:val="21"/>
              </w:rPr>
              <w:t>0</w:t>
            </w:r>
            <w:r w:rsidR="001671A6" w:rsidRPr="00662249">
              <w:rPr>
                <w:rFonts w:eastAsiaTheme="minorHAnsi"/>
                <w:b/>
                <w:color w:val="000000"/>
                <w:sz w:val="21"/>
                <w:szCs w:val="21"/>
              </w:rPr>
              <w:t> </w:t>
            </w:r>
            <w:r w:rsidRPr="00662249">
              <w:rPr>
                <w:rFonts w:eastAsiaTheme="minorHAnsi"/>
                <w:b/>
                <w:color w:val="000000"/>
                <w:sz w:val="21"/>
                <w:szCs w:val="21"/>
              </w:rPr>
              <w:t>000</w:t>
            </w:r>
            <w:r w:rsidR="001671A6" w:rsidRPr="00662249">
              <w:rPr>
                <w:color w:val="000000"/>
                <w:sz w:val="21"/>
                <w:szCs w:val="21"/>
              </w:rPr>
              <w:t xml:space="preserve"> </w:t>
            </w:r>
            <w:r w:rsidRPr="00662249">
              <w:rPr>
                <w:rFonts w:eastAsia="Times New Roman"/>
                <w:bCs/>
                <w:sz w:val="21"/>
                <w:szCs w:val="21"/>
              </w:rPr>
              <w:t>FCFA</w:t>
            </w:r>
          </w:p>
          <w:p w:rsidR="00206E2C" w:rsidRPr="00662249" w:rsidRDefault="00206E2C" w:rsidP="00A76F4A">
            <w:pPr>
              <w:ind w:right="12"/>
              <w:jc w:val="center"/>
              <w:rPr>
                <w:sz w:val="21"/>
                <w:szCs w:val="21"/>
              </w:rPr>
            </w:pPr>
            <w:r w:rsidRPr="00662249">
              <w:rPr>
                <w:rFonts w:eastAsiaTheme="minorHAnsi"/>
                <w:b/>
                <w:sz w:val="21"/>
                <w:szCs w:val="21"/>
              </w:rPr>
              <w:t>NOTA</w:t>
            </w:r>
            <w:r w:rsidRPr="00662249">
              <w:rPr>
                <w:sz w:val="21"/>
                <w:szCs w:val="21"/>
              </w:rPr>
              <w:t xml:space="preserve"> : Tous ces coûts devront être inclus dans les coûts du projet</w:t>
            </w:r>
          </w:p>
        </w:tc>
      </w:tr>
    </w:tbl>
    <w:p w:rsidR="00F04377" w:rsidRDefault="00F04377" w:rsidP="00A76F4A">
      <w:pPr>
        <w:ind w:right="12"/>
      </w:pPr>
    </w:p>
    <w:p w:rsidR="00662249" w:rsidRPr="00A05698" w:rsidRDefault="00662249" w:rsidP="00A76F4A">
      <w:pPr>
        <w:ind w:right="12"/>
      </w:pPr>
    </w:p>
    <w:p w:rsidR="00F04377" w:rsidRPr="00045EAE" w:rsidRDefault="00F04377"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390" w:name="_Toc75432321"/>
      <w:r w:rsidRPr="00045EAE">
        <w:rPr>
          <w:rFonts w:ascii="Times New Roman" w:hAnsi="Times New Roman"/>
          <w:b/>
          <w:bCs/>
          <w:sz w:val="24"/>
          <w:szCs w:val="24"/>
        </w:rPr>
        <w:t>CONSULTATION DU PUBLIC</w:t>
      </w:r>
      <w:bookmarkEnd w:id="390"/>
    </w:p>
    <w:p w:rsidR="00F04377" w:rsidRDefault="00F04377" w:rsidP="00A76F4A">
      <w:pPr>
        <w:ind w:right="12"/>
        <w:jc w:val="both"/>
      </w:pPr>
      <w:r w:rsidRPr="00A05698">
        <w:t>La consultation du public est une étape importante du processus d’évaluation</w:t>
      </w:r>
      <w:r w:rsidR="00C439F9" w:rsidRPr="00A05698">
        <w:t xml:space="preserve"> environnementale. Elle procède </w:t>
      </w:r>
      <w:r w:rsidRPr="00A05698">
        <w:t xml:space="preserve">d’une disposition légale du Code de l’environnement </w:t>
      </w:r>
      <w:r w:rsidR="004659FC">
        <w:t xml:space="preserve">et de la norme NES N°10 </w:t>
      </w:r>
      <w:r w:rsidRPr="00A05698">
        <w:t xml:space="preserve">qui stipule l’implication des acteurs institutionnels et non institutionnels issus de la société civile dans le processus d’évaluation environnementale. </w:t>
      </w:r>
    </w:p>
    <w:p w:rsidR="0060566C" w:rsidRPr="00A05698" w:rsidRDefault="0060566C" w:rsidP="00A76F4A">
      <w:pPr>
        <w:autoSpaceDE w:val="0"/>
        <w:autoSpaceDN w:val="0"/>
        <w:adjustRightInd w:val="0"/>
        <w:ind w:left="142" w:right="12"/>
        <w:jc w:val="both"/>
      </w:pPr>
    </w:p>
    <w:p w:rsidR="00F04377" w:rsidRPr="00A05698" w:rsidRDefault="008142E8"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391" w:name="_Toc75432322"/>
      <w:bookmarkStart w:id="392" w:name="_Toc477948857"/>
      <w:bookmarkStart w:id="393" w:name="_Toc512872012"/>
      <w:bookmarkStart w:id="394" w:name="_Toc4070793"/>
      <w:bookmarkStart w:id="395" w:name="_Toc53716654"/>
      <w:r w:rsidRPr="00A05698">
        <w:rPr>
          <w:rFonts w:ascii="Times New Roman" w:hAnsi="Times New Roman"/>
          <w:b/>
          <w:bCs/>
          <w:sz w:val="24"/>
          <w:szCs w:val="24"/>
        </w:rPr>
        <w:t>Objectifs de la consultation</w:t>
      </w:r>
      <w:bookmarkEnd w:id="391"/>
      <w:r w:rsidRPr="00A05698">
        <w:rPr>
          <w:rFonts w:ascii="Times New Roman" w:hAnsi="Times New Roman"/>
          <w:b/>
          <w:bCs/>
          <w:sz w:val="24"/>
          <w:szCs w:val="24"/>
        </w:rPr>
        <w:t xml:space="preserve"> </w:t>
      </w:r>
      <w:bookmarkEnd w:id="392"/>
      <w:bookmarkEnd w:id="393"/>
      <w:bookmarkEnd w:id="394"/>
      <w:bookmarkEnd w:id="395"/>
    </w:p>
    <w:p w:rsidR="00F04377" w:rsidRPr="00A05698" w:rsidRDefault="00F04377" w:rsidP="00A76F4A">
      <w:pPr>
        <w:ind w:right="12"/>
        <w:jc w:val="both"/>
      </w:pPr>
      <w:r w:rsidRPr="00A05698">
        <w:t>De façon pratique, l’objectif des consultations est d’identifier toutes les personnes et les institutions ayant un intérêt dans la mise en œuvre du PUSA, sachant que, celles-ci sont capables de mener des actions (individuelles et/ou collectives) dans le but de faire correspondre l’orientation dudit projet.</w:t>
      </w:r>
    </w:p>
    <w:p w:rsidR="00F04377" w:rsidRPr="00A05698" w:rsidRDefault="00F04377" w:rsidP="00A76F4A">
      <w:pPr>
        <w:ind w:right="12"/>
        <w:jc w:val="both"/>
      </w:pPr>
      <w:r w:rsidRPr="00A05698">
        <w:t>Ces consultations publiques visaient les objectifs suivants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714" w:right="12" w:hanging="357"/>
        <w:jc w:val="both"/>
        <w:rPr>
          <w:rFonts w:ascii="Times New Roman" w:hAnsi="Times New Roman"/>
          <w:sz w:val="22"/>
          <w:szCs w:val="22"/>
        </w:rPr>
      </w:pPr>
      <w:r w:rsidRPr="00F6587F">
        <w:rPr>
          <w:rFonts w:ascii="Times New Roman" w:hAnsi="Times New Roman"/>
          <w:sz w:val="22"/>
          <w:szCs w:val="22"/>
        </w:rPr>
        <w:t>Présenter le projet de sécurité alimentaire d’urgence et ses activités et sous projets prévus aux différentes parties prenantes afin de leur permettre de mieux s’imprégner du projet et d’avoir une meilleure compréhension de ses enjeux,</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714" w:right="12" w:hanging="357"/>
        <w:jc w:val="both"/>
        <w:rPr>
          <w:rFonts w:ascii="Times New Roman" w:hAnsi="Times New Roman"/>
          <w:sz w:val="22"/>
          <w:szCs w:val="22"/>
        </w:rPr>
      </w:pPr>
      <w:r w:rsidRPr="00F6587F">
        <w:rPr>
          <w:rFonts w:ascii="Times New Roman" w:hAnsi="Times New Roman"/>
          <w:sz w:val="22"/>
          <w:szCs w:val="22"/>
        </w:rPr>
        <w:t xml:space="preserve">Recueillir les informations pertinentes à prendre en compte dans la conduite de l’étude surtout la situation de référence actuelle au niveau de l’agriculture et la santé dont la situation de la pandémie </w:t>
      </w:r>
      <w:r w:rsidR="00784A94" w:rsidRPr="00F6587F">
        <w:rPr>
          <w:rFonts w:ascii="Times New Roman" w:hAnsi="Times New Roman"/>
          <w:sz w:val="22"/>
          <w:szCs w:val="22"/>
        </w:rPr>
        <w:t>de la Covid</w:t>
      </w:r>
      <w:r w:rsidRPr="00F6587F">
        <w:rPr>
          <w:rFonts w:ascii="Times New Roman" w:hAnsi="Times New Roman"/>
          <w:sz w:val="22"/>
          <w:szCs w:val="22"/>
        </w:rPr>
        <w:t xml:space="preserve"> 19 a si bien impacté ;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714" w:right="12" w:hanging="357"/>
        <w:jc w:val="both"/>
        <w:rPr>
          <w:rFonts w:ascii="Times New Roman" w:hAnsi="Times New Roman"/>
          <w:sz w:val="22"/>
          <w:szCs w:val="22"/>
        </w:rPr>
      </w:pPr>
      <w:r w:rsidRPr="00F6587F">
        <w:rPr>
          <w:rFonts w:ascii="Times New Roman" w:hAnsi="Times New Roman"/>
          <w:sz w:val="22"/>
          <w:szCs w:val="22"/>
        </w:rPr>
        <w:t>Permettre aux parties prenantes de s’exprimer, de faire part de leurs préoccupations, de leurs appréhensions et de leurs attentes vis à vis du projet par rapport au nombreux impact</w:t>
      </w:r>
      <w:r w:rsidR="00675308" w:rsidRPr="00F6587F">
        <w:rPr>
          <w:rFonts w:ascii="Times New Roman" w:hAnsi="Times New Roman"/>
          <w:sz w:val="22"/>
          <w:szCs w:val="22"/>
        </w:rPr>
        <w:t>s causé par la pandémie d</w:t>
      </w:r>
      <w:r w:rsidR="00FB224D" w:rsidRPr="00F6587F">
        <w:rPr>
          <w:rFonts w:ascii="Times New Roman" w:hAnsi="Times New Roman"/>
          <w:sz w:val="22"/>
          <w:szCs w:val="22"/>
        </w:rPr>
        <w:t>e la</w:t>
      </w:r>
      <w:r w:rsidR="00675308" w:rsidRPr="00F6587F">
        <w:rPr>
          <w:rFonts w:ascii="Times New Roman" w:hAnsi="Times New Roman"/>
          <w:sz w:val="22"/>
          <w:szCs w:val="22"/>
        </w:rPr>
        <w:t xml:space="preserve"> Covid</w:t>
      </w:r>
      <w:r w:rsidRPr="00F6587F">
        <w:rPr>
          <w:rFonts w:ascii="Times New Roman" w:hAnsi="Times New Roman"/>
          <w:sz w:val="22"/>
          <w:szCs w:val="22"/>
        </w:rPr>
        <w:t xml:space="preserve"> 19 ;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714" w:right="12" w:hanging="357"/>
        <w:jc w:val="both"/>
        <w:rPr>
          <w:rFonts w:ascii="Times New Roman" w:hAnsi="Times New Roman"/>
          <w:sz w:val="22"/>
          <w:szCs w:val="22"/>
        </w:rPr>
      </w:pPr>
      <w:r w:rsidRPr="00F6587F">
        <w:rPr>
          <w:rFonts w:ascii="Times New Roman" w:hAnsi="Times New Roman"/>
          <w:sz w:val="22"/>
          <w:szCs w:val="22"/>
        </w:rPr>
        <w:t>Anticiper sur les problèmes futurs que pourrait engendrer le projet PUSA et y trouver précocement des solutions en intégrant les points de vue des directions ou services techniques et des producteurs ou des fédérations de producteur et des populations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714" w:right="12" w:hanging="357"/>
        <w:jc w:val="both"/>
        <w:rPr>
          <w:rFonts w:ascii="Times New Roman" w:hAnsi="Times New Roman"/>
          <w:sz w:val="22"/>
          <w:szCs w:val="22"/>
        </w:rPr>
      </w:pPr>
      <w:r w:rsidRPr="00F6587F">
        <w:rPr>
          <w:rFonts w:ascii="Times New Roman" w:hAnsi="Times New Roman"/>
          <w:sz w:val="22"/>
          <w:szCs w:val="22"/>
        </w:rPr>
        <w:t xml:space="preserve">Compléter l’identification des impacts du projet et envisager avec les parties intéressées, les mesures d’atténuation adaptées au contexte.  </w:t>
      </w:r>
    </w:p>
    <w:p w:rsidR="001160AC" w:rsidRPr="00A05698" w:rsidRDefault="001160AC" w:rsidP="00A76F4A">
      <w:pPr>
        <w:pStyle w:val="PargrafodaLista"/>
        <w:widowControl w:val="0"/>
        <w:tabs>
          <w:tab w:val="left" w:pos="220"/>
          <w:tab w:val="left" w:pos="720"/>
        </w:tabs>
        <w:autoSpaceDE w:val="0"/>
        <w:autoSpaceDN w:val="0"/>
        <w:adjustRightInd w:val="0"/>
        <w:spacing w:after="0" w:line="240" w:lineRule="auto"/>
        <w:ind w:left="714" w:right="12"/>
        <w:jc w:val="both"/>
        <w:rPr>
          <w:rFonts w:ascii="Times New Roman" w:hAnsi="Times New Roman"/>
          <w:sz w:val="24"/>
          <w:szCs w:val="24"/>
        </w:rPr>
      </w:pPr>
    </w:p>
    <w:p w:rsidR="00F04377" w:rsidRPr="00A05698" w:rsidRDefault="00F04377"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396" w:name="_Toc515981049"/>
      <w:bookmarkStart w:id="397" w:name="_Toc17385845"/>
      <w:bookmarkStart w:id="398" w:name="_Toc75432323"/>
      <w:r w:rsidRPr="00A05698">
        <w:rPr>
          <w:rFonts w:ascii="Times New Roman" w:hAnsi="Times New Roman"/>
          <w:b/>
          <w:bCs/>
          <w:sz w:val="24"/>
          <w:szCs w:val="24"/>
        </w:rPr>
        <w:t>METHODOLOGIE ET MISE EN ŒUVRE DE LA CONSULTATION</w:t>
      </w:r>
      <w:bookmarkEnd w:id="396"/>
      <w:bookmarkEnd w:id="397"/>
      <w:bookmarkEnd w:id="398"/>
    </w:p>
    <w:p w:rsidR="00F04377" w:rsidRPr="00A05698" w:rsidRDefault="00F04377" w:rsidP="00A76F4A">
      <w:pPr>
        <w:ind w:right="12"/>
        <w:jc w:val="both"/>
      </w:pPr>
      <w:r w:rsidRPr="00A05698">
        <w:t>L’approche consultative a permis de recueillir des informations sur les activités du projet PUSA. Elle a également permis de mieux comprendre les ressentis et les perceptions des acteurs durant toute la période de mise en œuvre des activités.</w:t>
      </w:r>
    </w:p>
    <w:p w:rsidR="00F04377" w:rsidRPr="00A05698" w:rsidRDefault="00F04377" w:rsidP="00A76F4A">
      <w:pPr>
        <w:ind w:right="12"/>
        <w:jc w:val="both"/>
      </w:pPr>
      <w:r w:rsidRPr="00A05698">
        <w:t>Les thèmes suivants ont été abordés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993" w:right="12" w:hanging="357"/>
        <w:jc w:val="both"/>
        <w:rPr>
          <w:rFonts w:ascii="Times New Roman" w:hAnsi="Times New Roman"/>
          <w:sz w:val="22"/>
          <w:szCs w:val="22"/>
        </w:rPr>
      </w:pPr>
      <w:r w:rsidRPr="00F6587F">
        <w:rPr>
          <w:rFonts w:ascii="Times New Roman" w:hAnsi="Times New Roman"/>
          <w:sz w:val="22"/>
          <w:szCs w:val="22"/>
        </w:rPr>
        <w:lastRenderedPageBreak/>
        <w:t>Leur connaissance par rapport au projet PUSA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993" w:right="12" w:hanging="357"/>
        <w:jc w:val="both"/>
        <w:rPr>
          <w:rFonts w:ascii="Times New Roman" w:hAnsi="Times New Roman"/>
          <w:sz w:val="22"/>
          <w:szCs w:val="22"/>
        </w:rPr>
      </w:pPr>
      <w:r w:rsidRPr="00F6587F">
        <w:rPr>
          <w:rFonts w:ascii="Times New Roman" w:hAnsi="Times New Roman"/>
          <w:sz w:val="22"/>
          <w:szCs w:val="22"/>
        </w:rPr>
        <w:t>La situation de référence du secteur concerné</w:t>
      </w:r>
      <w:r w:rsidR="007E38A7" w:rsidRPr="00F6587F">
        <w:rPr>
          <w:rFonts w:ascii="Times New Roman" w:hAnsi="Times New Roman"/>
          <w:sz w:val="22"/>
          <w:szCs w:val="22"/>
        </w:rPr>
        <w:t xml:space="preserve"> par rapport à la pandémie de la Covid</w:t>
      </w:r>
      <w:r w:rsidRPr="00F6587F">
        <w:rPr>
          <w:rFonts w:ascii="Times New Roman" w:hAnsi="Times New Roman"/>
          <w:sz w:val="22"/>
          <w:szCs w:val="22"/>
        </w:rPr>
        <w:t xml:space="preserve"> 19</w:t>
      </w:r>
      <w:r w:rsidR="007E38A7" w:rsidRPr="00F6587F">
        <w:rPr>
          <w:rFonts w:ascii="Times New Roman" w:hAnsi="Times New Roman"/>
          <w:sz w:val="22"/>
          <w:szCs w:val="22"/>
        </w:rPr>
        <w:t>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993" w:right="12" w:hanging="357"/>
        <w:jc w:val="both"/>
        <w:rPr>
          <w:rFonts w:ascii="Times New Roman" w:hAnsi="Times New Roman"/>
          <w:sz w:val="22"/>
          <w:szCs w:val="22"/>
        </w:rPr>
      </w:pPr>
      <w:r w:rsidRPr="00F6587F">
        <w:rPr>
          <w:rFonts w:ascii="Times New Roman" w:hAnsi="Times New Roman"/>
          <w:sz w:val="22"/>
          <w:szCs w:val="22"/>
        </w:rPr>
        <w:t>La perception et l’appréciation par rapport aux activités prévues par le PUSA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993" w:right="12" w:hanging="357"/>
        <w:jc w:val="both"/>
        <w:rPr>
          <w:rFonts w:ascii="Times New Roman" w:hAnsi="Times New Roman"/>
          <w:sz w:val="22"/>
          <w:szCs w:val="22"/>
        </w:rPr>
      </w:pPr>
      <w:r w:rsidRPr="00F6587F">
        <w:rPr>
          <w:rFonts w:ascii="Times New Roman" w:hAnsi="Times New Roman"/>
          <w:sz w:val="22"/>
          <w:szCs w:val="22"/>
        </w:rPr>
        <w:t xml:space="preserve">Les enjeux environnementaux, sociaux économiques actuelle et futur par rapport à la mise en œuvre du projet ;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993" w:right="12" w:hanging="357"/>
        <w:jc w:val="both"/>
        <w:rPr>
          <w:rFonts w:ascii="Times New Roman" w:hAnsi="Times New Roman"/>
          <w:sz w:val="22"/>
          <w:szCs w:val="22"/>
        </w:rPr>
      </w:pPr>
      <w:r w:rsidRPr="00F6587F">
        <w:rPr>
          <w:rFonts w:ascii="Times New Roman" w:hAnsi="Times New Roman"/>
          <w:sz w:val="22"/>
          <w:szCs w:val="22"/>
        </w:rPr>
        <w:t>Les attentes vis-à-vis du PUSA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993" w:right="12" w:hanging="357"/>
        <w:jc w:val="both"/>
        <w:rPr>
          <w:rFonts w:ascii="Times New Roman" w:hAnsi="Times New Roman"/>
          <w:sz w:val="22"/>
          <w:szCs w:val="22"/>
        </w:rPr>
      </w:pPr>
      <w:r w:rsidRPr="00F6587F">
        <w:rPr>
          <w:rFonts w:ascii="Times New Roman" w:hAnsi="Times New Roman"/>
          <w:sz w:val="22"/>
          <w:szCs w:val="22"/>
        </w:rPr>
        <w:t xml:space="preserve">Les contraintes à la mise en œuvre </w:t>
      </w:r>
      <w:r w:rsidR="00955C47" w:rsidRPr="00F6587F">
        <w:rPr>
          <w:rFonts w:ascii="Times New Roman" w:hAnsi="Times New Roman"/>
          <w:sz w:val="22"/>
          <w:szCs w:val="22"/>
        </w:rPr>
        <w:t>PUSA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993" w:right="12" w:hanging="357"/>
        <w:jc w:val="both"/>
        <w:rPr>
          <w:rFonts w:ascii="Times New Roman" w:hAnsi="Times New Roman"/>
          <w:sz w:val="22"/>
          <w:szCs w:val="22"/>
        </w:rPr>
      </w:pPr>
      <w:r w:rsidRPr="00F6587F">
        <w:rPr>
          <w:rFonts w:ascii="Times New Roman" w:hAnsi="Times New Roman"/>
          <w:sz w:val="22"/>
          <w:szCs w:val="22"/>
        </w:rPr>
        <w:t>Les impacts négatifs potentiels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993" w:right="12" w:hanging="357"/>
        <w:jc w:val="both"/>
        <w:rPr>
          <w:rFonts w:ascii="Times New Roman" w:hAnsi="Times New Roman"/>
          <w:sz w:val="22"/>
          <w:szCs w:val="22"/>
        </w:rPr>
      </w:pPr>
      <w:r w:rsidRPr="00F6587F">
        <w:rPr>
          <w:rFonts w:ascii="Times New Roman" w:hAnsi="Times New Roman"/>
          <w:sz w:val="22"/>
          <w:szCs w:val="22"/>
        </w:rPr>
        <w:t>Les impacts positifs potentiels ;</w:t>
      </w:r>
    </w:p>
    <w:p w:rsidR="00F04377" w:rsidRPr="00F6587F" w:rsidRDefault="00F04377" w:rsidP="00A76F4A">
      <w:pPr>
        <w:pStyle w:val="PargrafodaLista"/>
        <w:widowControl w:val="0"/>
        <w:numPr>
          <w:ilvl w:val="0"/>
          <w:numId w:val="26"/>
        </w:numPr>
        <w:tabs>
          <w:tab w:val="left" w:pos="220"/>
          <w:tab w:val="left" w:pos="720"/>
        </w:tabs>
        <w:autoSpaceDE w:val="0"/>
        <w:autoSpaceDN w:val="0"/>
        <w:adjustRightInd w:val="0"/>
        <w:spacing w:after="0" w:line="240" w:lineRule="auto"/>
        <w:ind w:left="993" w:right="12" w:hanging="357"/>
        <w:jc w:val="both"/>
        <w:rPr>
          <w:rFonts w:ascii="Times New Roman" w:hAnsi="Times New Roman"/>
          <w:sz w:val="22"/>
          <w:szCs w:val="22"/>
        </w:rPr>
      </w:pPr>
      <w:r w:rsidRPr="00F6587F">
        <w:rPr>
          <w:rFonts w:ascii="Times New Roman" w:hAnsi="Times New Roman"/>
          <w:sz w:val="22"/>
          <w:szCs w:val="22"/>
        </w:rPr>
        <w:t>Le genre c’est-à-dire l’implication des couches vulnérables ;</w:t>
      </w:r>
    </w:p>
    <w:p w:rsidR="00CE79D3" w:rsidRDefault="00CE79D3" w:rsidP="00A76F4A">
      <w:pPr>
        <w:pStyle w:val="Listacommarcas2"/>
        <w:numPr>
          <w:ilvl w:val="0"/>
          <w:numId w:val="0"/>
        </w:numPr>
        <w:spacing w:line="240" w:lineRule="auto"/>
        <w:ind w:left="720" w:right="12"/>
        <w:rPr>
          <w:rFonts w:ascii="Times New Roman" w:hAnsi="Times New Roman"/>
          <w:sz w:val="24"/>
          <w:lang w:val="fr-FR"/>
        </w:rPr>
      </w:pPr>
    </w:p>
    <w:p w:rsidR="004215B1" w:rsidRPr="00486A3F" w:rsidRDefault="00F04377" w:rsidP="00486A3F">
      <w:pPr>
        <w:pStyle w:val="PargrafodaLista"/>
        <w:numPr>
          <w:ilvl w:val="0"/>
          <w:numId w:val="61"/>
        </w:numPr>
        <w:spacing w:after="120"/>
        <w:ind w:right="12"/>
        <w:outlineLvl w:val="1"/>
        <w:rPr>
          <w:rFonts w:ascii="Times New Roman" w:hAnsi="Times New Roman"/>
          <w:b/>
          <w:bCs/>
        </w:rPr>
      </w:pPr>
      <w:bookmarkStart w:id="399" w:name="_Toc515981050"/>
      <w:bookmarkStart w:id="400" w:name="_Toc17385846"/>
      <w:bookmarkStart w:id="401" w:name="_Toc67508528"/>
      <w:bookmarkStart w:id="402" w:name="_Toc73459767"/>
      <w:bookmarkStart w:id="403" w:name="_Toc75432324"/>
      <w:r w:rsidRPr="00662249">
        <w:rPr>
          <w:rFonts w:ascii="Times New Roman" w:hAnsi="Times New Roman"/>
          <w:b/>
          <w:bCs/>
        </w:rPr>
        <w:t>DEROULEMENT DE LA CONSULTATION</w:t>
      </w:r>
      <w:bookmarkEnd w:id="399"/>
      <w:bookmarkEnd w:id="400"/>
      <w:bookmarkEnd w:id="401"/>
      <w:bookmarkEnd w:id="402"/>
      <w:bookmarkEnd w:id="403"/>
    </w:p>
    <w:p w:rsidR="00F04377" w:rsidRPr="00A05698" w:rsidRDefault="004215B1" w:rsidP="00A76F4A">
      <w:pPr>
        <w:ind w:right="12"/>
        <w:jc w:val="both"/>
      </w:pPr>
      <w:r>
        <w:t>Ainsi, u</w:t>
      </w:r>
      <w:r w:rsidR="00F04377" w:rsidRPr="00A05698">
        <w:t xml:space="preserve">n large processus de consultations et de rencontres institutionnelles </w:t>
      </w:r>
      <w:r w:rsidR="00686C33" w:rsidRPr="00A05698">
        <w:t xml:space="preserve">a </w:t>
      </w:r>
      <w:r w:rsidR="0087736C" w:rsidRPr="00A05698">
        <w:t>été</w:t>
      </w:r>
      <w:r w:rsidR="00F04377" w:rsidRPr="00A05698">
        <w:t xml:space="preserve"> </w:t>
      </w:r>
      <w:r w:rsidR="00686C33" w:rsidRPr="00A05698">
        <w:t>effectué entre</w:t>
      </w:r>
      <w:r w:rsidR="00F04377" w:rsidRPr="00A05698">
        <w:t xml:space="preserve"> le 14 </w:t>
      </w:r>
      <w:r w:rsidR="001160AC">
        <w:t xml:space="preserve">et 31 </w:t>
      </w:r>
      <w:r w:rsidR="00F04377" w:rsidRPr="00A05698">
        <w:t>décembre 2020 pour consulter l’ensemble des acteurs concernés par la mise en œuvre du PUSA.</w:t>
      </w:r>
    </w:p>
    <w:p w:rsidR="00021796" w:rsidRPr="00EB5EDA" w:rsidRDefault="00F04377" w:rsidP="00A76F4A">
      <w:pPr>
        <w:ind w:right="12"/>
        <w:jc w:val="both"/>
      </w:pPr>
      <w:bookmarkStart w:id="404" w:name="_Toc515981051"/>
      <w:r w:rsidRPr="00A05698">
        <w:t xml:space="preserve">Ainsi, la liste ci-dessous </w:t>
      </w:r>
      <w:r w:rsidR="00F10330" w:rsidRPr="00A05698">
        <w:t xml:space="preserve">et en annexe </w:t>
      </w:r>
      <w:r w:rsidRPr="00A05698">
        <w:t xml:space="preserve">présente l’ensemble des acteurs </w:t>
      </w:r>
      <w:r w:rsidR="0022238E" w:rsidRPr="00A05698">
        <w:t>consultés</w:t>
      </w:r>
      <w:r w:rsidRPr="00A05698">
        <w:t xml:space="preserve"> dans le cadre du PUSA :</w:t>
      </w:r>
      <w:bookmarkEnd w:id="404"/>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 xml:space="preserve">Bureau du FAO </w:t>
      </w:r>
      <w:r w:rsidR="002465AF" w:rsidRPr="00A05698">
        <w:rPr>
          <w:rFonts w:ascii="Times New Roman" w:hAnsi="Times New Roman"/>
          <w:sz w:val="24"/>
          <w:szCs w:val="24"/>
        </w:rPr>
        <w:t>à Bissau </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Coordinateur du PUSA</w:t>
      </w:r>
      <w:r w:rsidR="004D479B" w:rsidRPr="00A05698">
        <w:rPr>
          <w:rFonts w:ascii="Times New Roman" w:hAnsi="Times New Roman"/>
          <w:sz w:val="24"/>
          <w:szCs w:val="24"/>
        </w:rPr>
        <w:t xml:space="preserve"> en intérim</w:t>
      </w:r>
      <w:r w:rsidR="002465AF" w:rsidRPr="00A05698">
        <w:rPr>
          <w:rFonts w:ascii="Times New Roman" w:hAnsi="Times New Roman"/>
          <w:sz w:val="24"/>
          <w:szCs w:val="24"/>
        </w:rPr>
        <w:t> </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Directeur général de l’</w:t>
      </w:r>
      <w:r w:rsidR="002465AF" w:rsidRPr="00A05698">
        <w:rPr>
          <w:rFonts w:ascii="Times New Roman" w:hAnsi="Times New Roman"/>
          <w:sz w:val="24"/>
          <w:szCs w:val="24"/>
        </w:rPr>
        <w:t>agriculture </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Direct</w:t>
      </w:r>
      <w:r w:rsidR="002465AF" w:rsidRPr="00A05698">
        <w:rPr>
          <w:rFonts w:ascii="Times New Roman" w:hAnsi="Times New Roman"/>
          <w:sz w:val="24"/>
          <w:szCs w:val="24"/>
        </w:rPr>
        <w:t>ion de protection des végétaux </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Direction nationale de statistique agricole</w:t>
      </w:r>
      <w:r w:rsidR="00A94FDC" w:rsidRPr="00A05698">
        <w:rPr>
          <w:rFonts w:ascii="Times New Roman" w:hAnsi="Times New Roman"/>
          <w:sz w:val="24"/>
          <w:szCs w:val="24"/>
        </w:rPr>
        <w:t> </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Autorité d’Evaluation Environnementale Compétente de Bissau (AAAC)</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Institut National de la Statistique de Bissau</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Service National de la Protection Civile de Bissau</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Direction Générale de l’Aménagement du Territoire Bissau</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Direction Générale de la Faune et Flore</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 xml:space="preserve">Ministère de la Santé Publique </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Direction générale du travail</w:t>
      </w:r>
    </w:p>
    <w:p w:rsidR="00F04377"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 xml:space="preserve">Ministère de la femme </w:t>
      </w:r>
    </w:p>
    <w:p w:rsidR="00F04377" w:rsidRPr="00A05698" w:rsidRDefault="00E616E4"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 xml:space="preserve">Programme </w:t>
      </w:r>
      <w:r w:rsidR="004A04FE" w:rsidRPr="00A05698">
        <w:rPr>
          <w:rFonts w:ascii="Times New Roman" w:hAnsi="Times New Roman"/>
          <w:sz w:val="24"/>
          <w:szCs w:val="24"/>
        </w:rPr>
        <w:t>alimentaire mo</w:t>
      </w:r>
      <w:r w:rsidR="002465AF" w:rsidRPr="00A05698">
        <w:rPr>
          <w:rFonts w:ascii="Times New Roman" w:hAnsi="Times New Roman"/>
          <w:sz w:val="24"/>
          <w:szCs w:val="24"/>
        </w:rPr>
        <w:t>ndiale</w:t>
      </w:r>
    </w:p>
    <w:p w:rsidR="00F44306" w:rsidRPr="00A05698" w:rsidRDefault="00F44306"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AN</w:t>
      </w:r>
      <w:r w:rsidR="002E2C37" w:rsidRPr="00A05698">
        <w:rPr>
          <w:rFonts w:ascii="Times New Roman" w:hAnsi="Times New Roman"/>
          <w:sz w:val="24"/>
          <w:szCs w:val="24"/>
        </w:rPr>
        <w:t>CA-GB</w:t>
      </w:r>
    </w:p>
    <w:p w:rsidR="00790E5E" w:rsidRPr="00A05698" w:rsidRDefault="00F04377"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ANAG</w:t>
      </w:r>
    </w:p>
    <w:p w:rsidR="00F04377" w:rsidRPr="00A05698" w:rsidRDefault="00790E5E"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AMAE</w:t>
      </w:r>
    </w:p>
    <w:p w:rsidR="008713B8" w:rsidRPr="00A05698" w:rsidRDefault="005903F2"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Association</w:t>
      </w:r>
      <w:r w:rsidR="005165F9" w:rsidRPr="00A05698">
        <w:rPr>
          <w:rFonts w:ascii="Times New Roman" w:hAnsi="Times New Roman"/>
          <w:sz w:val="24"/>
          <w:szCs w:val="24"/>
        </w:rPr>
        <w:t xml:space="preserve"> </w:t>
      </w:r>
      <w:r w:rsidR="000E1A4B" w:rsidRPr="00A05698">
        <w:rPr>
          <w:rFonts w:ascii="Times New Roman" w:hAnsi="Times New Roman"/>
          <w:sz w:val="24"/>
          <w:szCs w:val="24"/>
        </w:rPr>
        <w:t>d’import/export</w:t>
      </w:r>
      <w:r w:rsidR="00E96A43" w:rsidRPr="00A05698">
        <w:rPr>
          <w:rFonts w:ascii="Times New Roman" w:hAnsi="Times New Roman"/>
          <w:sz w:val="24"/>
          <w:szCs w:val="24"/>
        </w:rPr>
        <w:t xml:space="preserve"> (</w:t>
      </w:r>
      <w:r w:rsidR="00AC0AE9" w:rsidRPr="00A05698">
        <w:rPr>
          <w:rFonts w:ascii="Times New Roman" w:hAnsi="Times New Roman"/>
          <w:sz w:val="24"/>
          <w:szCs w:val="24"/>
        </w:rPr>
        <w:t>InvestCaju.sa)</w:t>
      </w:r>
    </w:p>
    <w:p w:rsidR="003E62CF" w:rsidRPr="00A05698" w:rsidRDefault="003E62CF"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 xml:space="preserve">Association des </w:t>
      </w:r>
      <w:r w:rsidR="00486A5E" w:rsidRPr="00A05698">
        <w:rPr>
          <w:rFonts w:ascii="Times New Roman" w:hAnsi="Times New Roman"/>
          <w:sz w:val="24"/>
          <w:szCs w:val="24"/>
        </w:rPr>
        <w:t>commerçants</w:t>
      </w:r>
    </w:p>
    <w:p w:rsidR="007E3BF7" w:rsidRPr="00A05698" w:rsidRDefault="003E62CF" w:rsidP="00A76F4A">
      <w:pPr>
        <w:pStyle w:val="PargrafodaLista"/>
        <w:numPr>
          <w:ilvl w:val="0"/>
          <w:numId w:val="31"/>
        </w:numPr>
        <w:spacing w:line="240" w:lineRule="auto"/>
        <w:ind w:left="1276" w:right="12"/>
        <w:jc w:val="both"/>
        <w:rPr>
          <w:rFonts w:ascii="Times New Roman" w:hAnsi="Times New Roman"/>
          <w:sz w:val="24"/>
          <w:szCs w:val="24"/>
        </w:rPr>
      </w:pPr>
      <w:r w:rsidRPr="00A05698">
        <w:rPr>
          <w:rFonts w:ascii="Times New Roman" w:hAnsi="Times New Roman"/>
          <w:sz w:val="24"/>
          <w:szCs w:val="24"/>
        </w:rPr>
        <w:t>Association des int</w:t>
      </w:r>
      <w:r w:rsidR="0082611E" w:rsidRPr="00A05698">
        <w:rPr>
          <w:rFonts w:ascii="Times New Roman" w:hAnsi="Times New Roman"/>
          <w:sz w:val="24"/>
          <w:szCs w:val="24"/>
        </w:rPr>
        <w:t>ermédiaire</w:t>
      </w:r>
      <w:r w:rsidR="00433C08" w:rsidRPr="00A05698">
        <w:rPr>
          <w:rFonts w:ascii="Times New Roman" w:hAnsi="Times New Roman"/>
          <w:sz w:val="24"/>
          <w:szCs w:val="24"/>
        </w:rPr>
        <w:t>s</w:t>
      </w:r>
      <w:r w:rsidR="0082611E" w:rsidRPr="00A05698">
        <w:rPr>
          <w:rFonts w:ascii="Times New Roman" w:hAnsi="Times New Roman"/>
          <w:sz w:val="24"/>
          <w:szCs w:val="24"/>
        </w:rPr>
        <w:t xml:space="preserve"> </w:t>
      </w:r>
    </w:p>
    <w:p w:rsidR="00F75FAE" w:rsidRPr="00A05698" w:rsidRDefault="00F75FAE" w:rsidP="00A76F4A">
      <w:pPr>
        <w:pStyle w:val="PargrafodaLista"/>
        <w:spacing w:line="240" w:lineRule="auto"/>
        <w:ind w:left="1276" w:right="12"/>
        <w:jc w:val="both"/>
      </w:pPr>
    </w:p>
    <w:p w:rsidR="00606D95" w:rsidRPr="00A05698" w:rsidRDefault="00DA2C7C"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05" w:name="_Toc55460146"/>
      <w:bookmarkStart w:id="406" w:name="_Toc55465539"/>
      <w:bookmarkStart w:id="407" w:name="_Toc75432325"/>
      <w:r w:rsidRPr="00A05698">
        <w:rPr>
          <w:rFonts w:ascii="Times New Roman" w:hAnsi="Times New Roman"/>
          <w:b/>
          <w:bCs/>
          <w:sz w:val="24"/>
          <w:szCs w:val="24"/>
        </w:rPr>
        <w:t xml:space="preserve">AVIS ET PERCEPTIONS </w:t>
      </w:r>
      <w:r w:rsidR="00785AE7" w:rsidRPr="00A05698">
        <w:rPr>
          <w:rFonts w:ascii="Times New Roman" w:hAnsi="Times New Roman"/>
          <w:b/>
          <w:bCs/>
          <w:sz w:val="24"/>
          <w:szCs w:val="24"/>
        </w:rPr>
        <w:t>INSTITUTIONNEL</w:t>
      </w:r>
      <w:r w:rsidR="00947A87">
        <w:rPr>
          <w:rFonts w:ascii="Times New Roman" w:hAnsi="Times New Roman"/>
          <w:b/>
          <w:bCs/>
          <w:sz w:val="24"/>
          <w:szCs w:val="24"/>
        </w:rPr>
        <w:t>S</w:t>
      </w:r>
      <w:r w:rsidR="00785AE7" w:rsidRPr="00A05698">
        <w:rPr>
          <w:rFonts w:ascii="Times New Roman" w:hAnsi="Times New Roman"/>
          <w:b/>
          <w:bCs/>
          <w:sz w:val="24"/>
          <w:szCs w:val="24"/>
        </w:rPr>
        <w:t xml:space="preserve"> </w:t>
      </w:r>
      <w:r w:rsidR="00B205E1" w:rsidRPr="00A05698">
        <w:rPr>
          <w:rFonts w:ascii="Times New Roman" w:hAnsi="Times New Roman"/>
          <w:b/>
          <w:bCs/>
          <w:sz w:val="24"/>
          <w:szCs w:val="24"/>
        </w:rPr>
        <w:t>ET SOCI</w:t>
      </w:r>
      <w:r w:rsidR="00947A87">
        <w:rPr>
          <w:rFonts w:ascii="Times New Roman" w:hAnsi="Times New Roman"/>
          <w:b/>
          <w:bCs/>
          <w:sz w:val="24"/>
          <w:szCs w:val="24"/>
        </w:rPr>
        <w:t xml:space="preserve">AUX </w:t>
      </w:r>
      <w:r w:rsidR="00785AE7" w:rsidRPr="00A05698">
        <w:rPr>
          <w:rFonts w:ascii="Times New Roman" w:hAnsi="Times New Roman"/>
          <w:b/>
          <w:bCs/>
          <w:sz w:val="24"/>
          <w:szCs w:val="24"/>
        </w:rPr>
        <w:t>DU PROJET</w:t>
      </w:r>
      <w:bookmarkEnd w:id="405"/>
      <w:bookmarkEnd w:id="406"/>
      <w:bookmarkEnd w:id="407"/>
    </w:p>
    <w:p w:rsidR="000D5378" w:rsidRDefault="00B326ED" w:rsidP="00A76F4A">
      <w:pPr>
        <w:autoSpaceDE w:val="0"/>
        <w:autoSpaceDN w:val="0"/>
        <w:adjustRightInd w:val="0"/>
        <w:ind w:right="12"/>
        <w:jc w:val="both"/>
      </w:pPr>
      <w:r w:rsidRPr="00A05698">
        <w:t xml:space="preserve">Au </w:t>
      </w:r>
      <w:r w:rsidR="0000442D" w:rsidRPr="00A05698">
        <w:t>cours de ces consultations</w:t>
      </w:r>
      <w:r w:rsidR="00BB2615" w:rsidRPr="00A05698">
        <w:t>,</w:t>
      </w:r>
      <w:r w:rsidR="00785AE7" w:rsidRPr="00A05698">
        <w:t xml:space="preserve"> l’ensemble des acteurs </w:t>
      </w:r>
      <w:bookmarkStart w:id="408" w:name="_Toc55460147"/>
      <w:bookmarkStart w:id="409" w:name="_Toc55465540"/>
      <w:r w:rsidR="007A484C" w:rsidRPr="00A05698">
        <w:t xml:space="preserve">rencontrés </w:t>
      </w:r>
      <w:r w:rsidR="00D0070F" w:rsidRPr="00A05698">
        <w:t>on</w:t>
      </w:r>
      <w:r w:rsidR="009E494C" w:rsidRPr="00A05698">
        <w:t>t</w:t>
      </w:r>
      <w:r w:rsidR="00D0070F" w:rsidRPr="00A05698">
        <w:t xml:space="preserve"> </w:t>
      </w:r>
      <w:r w:rsidR="009E494C" w:rsidRPr="00A05698">
        <w:t xml:space="preserve">exprimés </w:t>
      </w:r>
      <w:r w:rsidR="002C11FA" w:rsidRPr="00A05698">
        <w:t xml:space="preserve">leurs </w:t>
      </w:r>
      <w:r w:rsidR="00C45563" w:rsidRPr="00A05698">
        <w:t>avis</w:t>
      </w:r>
      <w:r w:rsidR="004B5040" w:rsidRPr="00A05698">
        <w:t xml:space="preserve"> et perception</w:t>
      </w:r>
      <w:r w:rsidR="00B43F62" w:rsidRPr="00A05698">
        <w:t>s</w:t>
      </w:r>
      <w:r w:rsidR="004B5040" w:rsidRPr="00A05698">
        <w:t xml:space="preserve"> par</w:t>
      </w:r>
      <w:r w:rsidR="00585DD0" w:rsidRPr="00A05698">
        <w:t xml:space="preserve"> rapport à la mise en</w:t>
      </w:r>
      <w:r w:rsidR="00365901" w:rsidRPr="00A05698">
        <w:t xml:space="preserve"> œuvre </w:t>
      </w:r>
      <w:r w:rsidR="00BF4F49" w:rsidRPr="00A05698">
        <w:t>du pro</w:t>
      </w:r>
      <w:r w:rsidR="0032056D" w:rsidRPr="00A05698">
        <w:t>jet</w:t>
      </w:r>
      <w:r w:rsidR="000037C8" w:rsidRPr="00A05698">
        <w:t xml:space="preserve"> PUSA.</w:t>
      </w:r>
      <w:r w:rsidR="00DE1B3D" w:rsidRPr="00A05698">
        <w:t xml:space="preserve"> L’ensemble de ces </w:t>
      </w:r>
      <w:r w:rsidR="00D577ED" w:rsidRPr="00A05698">
        <w:t>acteurs trouvent que</w:t>
      </w:r>
      <w:r w:rsidR="00ED4749" w:rsidRPr="00A05698">
        <w:t xml:space="preserve"> c’</w:t>
      </w:r>
      <w:r w:rsidR="00F9319A" w:rsidRPr="00A05698">
        <w:t>est un bon</w:t>
      </w:r>
      <w:r w:rsidR="00ED4749" w:rsidRPr="00A05698">
        <w:t xml:space="preserve"> projet qui vi</w:t>
      </w:r>
      <w:r w:rsidR="00F9319A" w:rsidRPr="00A05698">
        <w:t xml:space="preserve">ent à son heure pour soutenir les populations </w:t>
      </w:r>
      <w:r w:rsidR="00F55AB8" w:rsidRPr="00A05698">
        <w:t>en ce</w:t>
      </w:r>
      <w:r w:rsidR="00947A87">
        <w:t>s</w:t>
      </w:r>
      <w:r w:rsidR="00F55AB8" w:rsidRPr="00A05698">
        <w:t xml:space="preserve"> mom</w:t>
      </w:r>
      <w:r w:rsidR="00480DE8" w:rsidRPr="00A05698">
        <w:t>ent</w:t>
      </w:r>
      <w:r w:rsidR="00947A87">
        <w:t>s</w:t>
      </w:r>
      <w:r w:rsidR="00480DE8" w:rsidRPr="00A05698">
        <w:t xml:space="preserve"> </w:t>
      </w:r>
      <w:r w:rsidR="00947A87">
        <w:t>difficiles</w:t>
      </w:r>
      <w:r w:rsidR="00F55AB8" w:rsidRPr="00A05698">
        <w:t xml:space="preserve"> </w:t>
      </w:r>
      <w:r w:rsidR="00947A87">
        <w:t xml:space="preserve">causés </w:t>
      </w:r>
      <w:r w:rsidR="00F55AB8" w:rsidRPr="00A05698">
        <w:t xml:space="preserve">par la </w:t>
      </w:r>
      <w:r w:rsidR="004A18B4" w:rsidRPr="00A05698">
        <w:t>pandémie</w:t>
      </w:r>
      <w:r w:rsidR="00F55AB8" w:rsidRPr="00A05698">
        <w:t xml:space="preserve"> de la Covid 19</w:t>
      </w:r>
      <w:r w:rsidR="00A23C0F" w:rsidRPr="00A05698">
        <w:t xml:space="preserve"> surtout </w:t>
      </w:r>
      <w:r w:rsidR="000363BA" w:rsidRPr="00A05698">
        <w:t>pendant</w:t>
      </w:r>
      <w:r w:rsidR="00623C5C" w:rsidRPr="00A05698">
        <w:t xml:space="preserve"> les </w:t>
      </w:r>
      <w:r w:rsidR="00D1709A" w:rsidRPr="00A05698">
        <w:t>périodes</w:t>
      </w:r>
      <w:r w:rsidR="00623C5C" w:rsidRPr="00A05698">
        <w:t xml:space="preserve"> de confine</w:t>
      </w:r>
      <w:r w:rsidR="00D36234" w:rsidRPr="00A05698">
        <w:t>ment</w:t>
      </w:r>
      <w:r w:rsidR="00947A87">
        <w:t>,</w:t>
      </w:r>
      <w:r w:rsidR="00D36234" w:rsidRPr="00A05698">
        <w:t xml:space="preserve"> </w:t>
      </w:r>
      <w:r w:rsidR="00947A87">
        <w:t>ainsi,</w:t>
      </w:r>
      <w:r w:rsidR="00D36234" w:rsidRPr="00A05698">
        <w:t xml:space="preserve"> les principales activités </w:t>
      </w:r>
      <w:r w:rsidR="00947A87">
        <w:t>qui soutiennent</w:t>
      </w:r>
      <w:r w:rsidR="005F4F35" w:rsidRPr="00A05698">
        <w:t xml:space="preserve"> </w:t>
      </w:r>
      <w:r w:rsidR="00947A87">
        <w:t>l</w:t>
      </w:r>
      <w:r w:rsidR="005F4F35" w:rsidRPr="00A05698">
        <w:t>’</w:t>
      </w:r>
      <w:r w:rsidR="00FD32D0" w:rsidRPr="00A05698">
        <w:t xml:space="preserve">économie du pays </w:t>
      </w:r>
      <w:r w:rsidR="00947A87">
        <w:t>sont</w:t>
      </w:r>
      <w:r w:rsidR="00FD32D0" w:rsidRPr="00A05698">
        <w:t xml:space="preserve"> soit </w:t>
      </w:r>
      <w:r w:rsidR="00947A87">
        <w:t>au</w:t>
      </w:r>
      <w:r w:rsidR="00FD32D0" w:rsidRPr="00A05698">
        <w:t xml:space="preserve"> ralenti ou à l’arrêt</w:t>
      </w:r>
      <w:r w:rsidR="00947A87">
        <w:t>, c’est l’exemple de</w:t>
      </w:r>
      <w:r w:rsidR="00A51B9C" w:rsidRPr="00A05698">
        <w:t xml:space="preserve"> la commercialisation des noix de cajou</w:t>
      </w:r>
      <w:r w:rsidR="003D7FE4" w:rsidRPr="00A05698">
        <w:t xml:space="preserve"> (produit phare de la guin</w:t>
      </w:r>
      <w:r w:rsidR="00A25837" w:rsidRPr="00A05698">
        <w:t>ée Bissau qui constitue</w:t>
      </w:r>
      <w:r w:rsidR="00FF33C1" w:rsidRPr="00A05698">
        <w:t> envoie 80% des sources de revenus de la population</w:t>
      </w:r>
      <w:r w:rsidR="004D4537" w:rsidRPr="00A05698">
        <w:t>).</w:t>
      </w:r>
    </w:p>
    <w:p w:rsidR="00BB493C" w:rsidRPr="00A05698" w:rsidRDefault="00BB493C" w:rsidP="00A76F4A">
      <w:pPr>
        <w:autoSpaceDE w:val="0"/>
        <w:autoSpaceDN w:val="0"/>
        <w:adjustRightInd w:val="0"/>
        <w:ind w:right="12"/>
        <w:jc w:val="both"/>
      </w:pPr>
    </w:p>
    <w:p w:rsidR="00947A87" w:rsidRDefault="000F47B6" w:rsidP="00A76F4A">
      <w:pPr>
        <w:autoSpaceDE w:val="0"/>
        <w:autoSpaceDN w:val="0"/>
        <w:adjustRightInd w:val="0"/>
        <w:ind w:right="12"/>
        <w:jc w:val="both"/>
      </w:pPr>
      <w:r w:rsidRPr="00A05698">
        <w:lastRenderedPageBreak/>
        <w:t xml:space="preserve">De plus, </w:t>
      </w:r>
      <w:r w:rsidR="00725B6F" w:rsidRPr="00A05698">
        <w:t xml:space="preserve">c’est un projet qui vient </w:t>
      </w:r>
      <w:r w:rsidR="00162C75" w:rsidRPr="00A05698">
        <w:t xml:space="preserve">à son jour et qui pourrait aider l’Etat à lutter contre cette </w:t>
      </w:r>
      <w:r w:rsidR="00F60972" w:rsidRPr="00A05698">
        <w:t xml:space="preserve">situation </w:t>
      </w:r>
      <w:r w:rsidR="00DE3297">
        <w:t>d’</w:t>
      </w:r>
      <w:r w:rsidR="00F60972" w:rsidRPr="00A05698">
        <w:t xml:space="preserve">insécurité alimentaire </w:t>
      </w:r>
      <w:r w:rsidR="00251EEB" w:rsidRPr="00A05698">
        <w:t>dans le pays en se focalisant da</w:t>
      </w:r>
      <w:r w:rsidR="00F60972" w:rsidRPr="00A05698">
        <w:t xml:space="preserve">ns les autres cultures </w:t>
      </w:r>
      <w:r w:rsidR="006B2185" w:rsidRPr="00A05698">
        <w:t xml:space="preserve">vivrières </w:t>
      </w:r>
      <w:r w:rsidR="00F60972" w:rsidRPr="00A05698">
        <w:t xml:space="preserve">comme la riziculture </w:t>
      </w:r>
      <w:r w:rsidR="00DE3297">
        <w:t>très pratiquées</w:t>
      </w:r>
      <w:r w:rsidR="00267D0E" w:rsidRPr="00A05698">
        <w:t xml:space="preserve"> dans l’intérieur</w:t>
      </w:r>
      <w:r w:rsidR="00251EEB" w:rsidRPr="00A05698">
        <w:t xml:space="preserve"> du pays mais </w:t>
      </w:r>
      <w:r w:rsidR="00DE3297">
        <w:t>marquées</w:t>
      </w:r>
      <w:r w:rsidR="00251EEB" w:rsidRPr="00A05698">
        <w:t xml:space="preserve"> par des inondations </w:t>
      </w:r>
      <w:r w:rsidR="001D6E6B" w:rsidRPr="00A05698">
        <w:t>très</w:t>
      </w:r>
      <w:r w:rsidR="00AE185B" w:rsidRPr="00A05698">
        <w:t xml:space="preserve"> important</w:t>
      </w:r>
      <w:r w:rsidR="00DE3297">
        <w:t>es</w:t>
      </w:r>
      <w:r w:rsidR="00AE185B" w:rsidRPr="00A05698">
        <w:t xml:space="preserve"> au niveau des </w:t>
      </w:r>
      <w:r w:rsidR="001D6E6B" w:rsidRPr="00A05698">
        <w:t>rizières</w:t>
      </w:r>
      <w:r w:rsidR="00B91FB2" w:rsidRPr="00A05698">
        <w:t xml:space="preserve"> </w:t>
      </w:r>
      <w:r w:rsidR="00DE3297">
        <w:t xml:space="preserve">ruinant </w:t>
      </w:r>
      <w:r w:rsidR="00B91FB2" w:rsidRPr="00A05698">
        <w:t>beaucoup d’</w:t>
      </w:r>
      <w:r w:rsidR="00DE3297">
        <w:t>espoirs</w:t>
      </w:r>
      <w:r w:rsidR="00B91FB2" w:rsidRPr="00A05698">
        <w:t xml:space="preserve"> pour la population.</w:t>
      </w:r>
    </w:p>
    <w:p w:rsidR="00C52D9E" w:rsidRDefault="00C52D9E" w:rsidP="00A76F4A">
      <w:pPr>
        <w:autoSpaceDE w:val="0"/>
        <w:autoSpaceDN w:val="0"/>
        <w:adjustRightInd w:val="0"/>
        <w:ind w:right="12"/>
        <w:jc w:val="both"/>
      </w:pPr>
      <w:r w:rsidRPr="00A05698">
        <w:t>Les éléments d’analyse des échanges issus des consultations avec les acteurs institutionnels et socia</w:t>
      </w:r>
      <w:r w:rsidR="00DE3297">
        <w:t>ux</w:t>
      </w:r>
      <w:r w:rsidR="004F4487" w:rsidRPr="00A05698">
        <w:t xml:space="preserve"> dans le cadre du</w:t>
      </w:r>
      <w:r w:rsidRPr="00A05698">
        <w:t xml:space="preserve"> projet de sécurité alimentaire</w:t>
      </w:r>
      <w:r w:rsidR="00C458B1">
        <w:t xml:space="preserve"> </w:t>
      </w:r>
      <w:r w:rsidR="00C458B1" w:rsidRPr="00A05698">
        <w:t>d’urgence</w:t>
      </w:r>
      <w:r w:rsidRPr="00A05698">
        <w:t xml:space="preserve"> montrent une forte acceptabilité institutionnelle. Cette acceptabilité démontre aussi une bonne compréhension des enjeux sociaux, environnementaux qu’implique la mise en œuvre des différentes activités pour chaque composante du projet PUSA. </w:t>
      </w:r>
    </w:p>
    <w:p w:rsidR="00B42A09" w:rsidRPr="00A05698" w:rsidRDefault="00785AE7"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10" w:name="_Toc75432326"/>
      <w:r w:rsidRPr="00A05698">
        <w:rPr>
          <w:rFonts w:ascii="Times New Roman" w:hAnsi="Times New Roman"/>
          <w:b/>
          <w:bCs/>
          <w:sz w:val="24"/>
          <w:szCs w:val="24"/>
        </w:rPr>
        <w:t xml:space="preserve">LES PREOCCUPATIONS DES ACTEURS </w:t>
      </w:r>
      <w:r w:rsidR="00B42A09" w:rsidRPr="00A05698">
        <w:rPr>
          <w:rFonts w:ascii="Times New Roman" w:hAnsi="Times New Roman"/>
          <w:b/>
          <w:bCs/>
          <w:sz w:val="24"/>
          <w:szCs w:val="24"/>
        </w:rPr>
        <w:t>RENCONTRES</w:t>
      </w:r>
      <w:bookmarkEnd w:id="410"/>
      <w:r w:rsidR="00B42A09" w:rsidRPr="00A05698">
        <w:rPr>
          <w:rFonts w:ascii="Times New Roman" w:hAnsi="Times New Roman"/>
          <w:b/>
          <w:bCs/>
          <w:sz w:val="24"/>
          <w:szCs w:val="24"/>
        </w:rPr>
        <w:t xml:space="preserve"> </w:t>
      </w:r>
      <w:bookmarkEnd w:id="408"/>
      <w:bookmarkEnd w:id="409"/>
    </w:p>
    <w:p w:rsidR="00785AE7" w:rsidRPr="00A05698" w:rsidRDefault="00785AE7" w:rsidP="00A76F4A">
      <w:pPr>
        <w:autoSpaceDE w:val="0"/>
        <w:autoSpaceDN w:val="0"/>
        <w:adjustRightInd w:val="0"/>
        <w:ind w:right="12"/>
        <w:jc w:val="both"/>
      </w:pPr>
      <w:r w:rsidRPr="00A05698">
        <w:t>Il est essentiel de pren</w:t>
      </w:r>
      <w:r w:rsidR="00BF6526">
        <w:t>dre en considération les enjeux</w:t>
      </w:r>
      <w:r w:rsidRPr="00A05698">
        <w:t xml:space="preserve"> qui tourmentent les acteu</w:t>
      </w:r>
      <w:r w:rsidR="003A0816" w:rsidRPr="00A05698">
        <w:t xml:space="preserve">rs institutionnels et </w:t>
      </w:r>
      <w:r w:rsidR="00EC3058" w:rsidRPr="00A05698">
        <w:t>socia</w:t>
      </w:r>
      <w:r w:rsidR="00BF6526">
        <w:t>ux</w:t>
      </w:r>
      <w:r w:rsidRPr="00A05698">
        <w:t xml:space="preserve">. </w:t>
      </w:r>
      <w:r w:rsidR="001A2678" w:rsidRPr="00A05698">
        <w:t xml:space="preserve">Ainsi, </w:t>
      </w:r>
      <w:r w:rsidR="003F454B" w:rsidRPr="00A05698">
        <w:t xml:space="preserve">lors des consultations, les acteurs ont </w:t>
      </w:r>
      <w:r w:rsidR="00DE3297">
        <w:t>soulign</w:t>
      </w:r>
      <w:r w:rsidR="00EC3058" w:rsidRPr="00A05698">
        <w:t>é</w:t>
      </w:r>
      <w:r w:rsidR="007E1A25" w:rsidRPr="00A05698">
        <w:t xml:space="preserve"> </w:t>
      </w:r>
      <w:r w:rsidR="00DE3297">
        <w:t xml:space="preserve">les </w:t>
      </w:r>
      <w:r w:rsidR="00EC3058" w:rsidRPr="00A05698">
        <w:t>préoccupations</w:t>
      </w:r>
      <w:r w:rsidR="002F64E8" w:rsidRPr="00A05698">
        <w:t xml:space="preserve"> ci-dessous </w:t>
      </w:r>
      <w:r w:rsidRPr="00A05698">
        <w:t>:</w:t>
      </w:r>
    </w:p>
    <w:p w:rsidR="000B190C" w:rsidRPr="00EB5EDA" w:rsidRDefault="00482C21"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w:t>
      </w:r>
      <w:r w:rsidR="00DC171C" w:rsidRPr="00EB5EDA">
        <w:rPr>
          <w:rFonts w:ascii="Times New Roman" w:hAnsi="Times New Roman"/>
          <w:sz w:val="22"/>
          <w:szCs w:val="22"/>
        </w:rPr>
        <w:t xml:space="preserve">’augmentation de </w:t>
      </w:r>
      <w:r w:rsidRPr="00EB5EDA">
        <w:rPr>
          <w:rFonts w:ascii="Times New Roman" w:hAnsi="Times New Roman"/>
          <w:sz w:val="22"/>
          <w:szCs w:val="22"/>
        </w:rPr>
        <w:t xml:space="preserve">la perte de qualité des </w:t>
      </w:r>
      <w:r w:rsidR="00485DBD" w:rsidRPr="00EB5EDA">
        <w:rPr>
          <w:rFonts w:ascii="Times New Roman" w:hAnsi="Times New Roman"/>
          <w:sz w:val="22"/>
          <w:szCs w:val="22"/>
        </w:rPr>
        <w:t xml:space="preserve">noix de </w:t>
      </w:r>
      <w:r w:rsidR="00DE3297" w:rsidRPr="00EB5EDA">
        <w:rPr>
          <w:rFonts w:ascii="Times New Roman" w:hAnsi="Times New Roman"/>
          <w:sz w:val="22"/>
          <w:szCs w:val="22"/>
        </w:rPr>
        <w:t>cajous stockés</w:t>
      </w:r>
      <w:r w:rsidR="00EE3ABB" w:rsidRPr="00EB5EDA">
        <w:rPr>
          <w:rFonts w:ascii="Times New Roman" w:hAnsi="Times New Roman"/>
          <w:sz w:val="22"/>
          <w:szCs w:val="22"/>
        </w:rPr>
        <w:t xml:space="preserve"> dans de mau</w:t>
      </w:r>
      <w:r w:rsidR="00DD27AB" w:rsidRPr="00EB5EDA">
        <w:rPr>
          <w:rFonts w:ascii="Times New Roman" w:hAnsi="Times New Roman"/>
          <w:sz w:val="22"/>
          <w:szCs w:val="22"/>
        </w:rPr>
        <w:t xml:space="preserve">vaises </w:t>
      </w:r>
      <w:r w:rsidR="00EE3ABB" w:rsidRPr="00EB5EDA">
        <w:rPr>
          <w:rFonts w:ascii="Times New Roman" w:hAnsi="Times New Roman"/>
          <w:sz w:val="22"/>
          <w:szCs w:val="22"/>
        </w:rPr>
        <w:t>cond</w:t>
      </w:r>
      <w:r w:rsidR="00B80C4C" w:rsidRPr="00EB5EDA">
        <w:rPr>
          <w:rFonts w:ascii="Times New Roman" w:hAnsi="Times New Roman"/>
          <w:sz w:val="22"/>
          <w:szCs w:val="22"/>
        </w:rPr>
        <w:t>it</w:t>
      </w:r>
      <w:r w:rsidR="00AD061E" w:rsidRPr="00EB5EDA">
        <w:rPr>
          <w:rFonts w:ascii="Times New Roman" w:hAnsi="Times New Roman"/>
          <w:sz w:val="22"/>
          <w:szCs w:val="22"/>
        </w:rPr>
        <w:t xml:space="preserve">ions </w:t>
      </w:r>
      <w:r w:rsidR="00CA6DD5" w:rsidRPr="00EB5EDA">
        <w:rPr>
          <w:rFonts w:ascii="Times New Roman" w:hAnsi="Times New Roman"/>
          <w:sz w:val="22"/>
          <w:szCs w:val="22"/>
        </w:rPr>
        <w:t>du</w:t>
      </w:r>
      <w:r w:rsidR="005609AF" w:rsidRPr="00EB5EDA">
        <w:rPr>
          <w:rFonts w:ascii="Times New Roman" w:hAnsi="Times New Roman"/>
          <w:sz w:val="22"/>
          <w:szCs w:val="22"/>
        </w:rPr>
        <w:t>e</w:t>
      </w:r>
      <w:r w:rsidR="00DE3297" w:rsidRPr="00EB5EDA">
        <w:rPr>
          <w:rFonts w:ascii="Times New Roman" w:hAnsi="Times New Roman"/>
          <w:sz w:val="22"/>
          <w:szCs w:val="22"/>
        </w:rPr>
        <w:t>s</w:t>
      </w:r>
      <w:r w:rsidR="005609AF" w:rsidRPr="00EB5EDA">
        <w:rPr>
          <w:rFonts w:ascii="Times New Roman" w:hAnsi="Times New Roman"/>
          <w:sz w:val="22"/>
          <w:szCs w:val="22"/>
        </w:rPr>
        <w:t xml:space="preserve"> au</w:t>
      </w:r>
      <w:r w:rsidR="00AD061E" w:rsidRPr="00EB5EDA">
        <w:rPr>
          <w:rFonts w:ascii="Times New Roman" w:hAnsi="Times New Roman"/>
          <w:sz w:val="22"/>
          <w:szCs w:val="22"/>
        </w:rPr>
        <w:t xml:space="preserve"> </w:t>
      </w:r>
      <w:r w:rsidR="00CA6DD5" w:rsidRPr="00EB5EDA">
        <w:rPr>
          <w:rFonts w:ascii="Times New Roman" w:hAnsi="Times New Roman"/>
          <w:sz w:val="22"/>
          <w:szCs w:val="22"/>
        </w:rPr>
        <w:t>ralentissement</w:t>
      </w:r>
      <w:r w:rsidR="00AD061E" w:rsidRPr="00EB5EDA">
        <w:rPr>
          <w:rFonts w:ascii="Times New Roman" w:hAnsi="Times New Roman"/>
          <w:sz w:val="22"/>
          <w:szCs w:val="22"/>
        </w:rPr>
        <w:t xml:space="preserve"> des ac</w:t>
      </w:r>
      <w:r w:rsidR="00CA6DD5" w:rsidRPr="00EB5EDA">
        <w:rPr>
          <w:rFonts w:ascii="Times New Roman" w:hAnsi="Times New Roman"/>
          <w:sz w:val="22"/>
          <w:szCs w:val="22"/>
        </w:rPr>
        <w:t>tivités de la commercialisation ;</w:t>
      </w:r>
    </w:p>
    <w:p w:rsidR="005609AF" w:rsidRPr="00EB5EDA" w:rsidRDefault="004477EB"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L’a</w:t>
      </w:r>
      <w:r w:rsidR="005609AF" w:rsidRPr="00EB5EDA">
        <w:rPr>
          <w:rFonts w:ascii="Times New Roman" w:hAnsi="Times New Roman"/>
          <w:sz w:val="22"/>
          <w:szCs w:val="22"/>
        </w:rPr>
        <w:t xml:space="preserve">ugmentation des couts de vie </w:t>
      </w:r>
      <w:r w:rsidR="000310B1" w:rsidRPr="00EB5EDA">
        <w:rPr>
          <w:rFonts w:ascii="Times New Roman" w:hAnsi="Times New Roman"/>
          <w:sz w:val="22"/>
          <w:szCs w:val="22"/>
        </w:rPr>
        <w:t>de la population due à l’augmentation des denrées alimentaire</w:t>
      </w:r>
      <w:r w:rsidR="00DE3297" w:rsidRPr="00EB5EDA">
        <w:rPr>
          <w:rFonts w:ascii="Times New Roman" w:hAnsi="Times New Roman"/>
          <w:sz w:val="22"/>
          <w:szCs w:val="22"/>
        </w:rPr>
        <w:t>s</w:t>
      </w:r>
      <w:r w:rsidR="000310B1" w:rsidRPr="00EB5EDA">
        <w:rPr>
          <w:rFonts w:ascii="Times New Roman" w:hAnsi="Times New Roman"/>
          <w:sz w:val="22"/>
          <w:szCs w:val="22"/>
        </w:rPr>
        <w:t> ;</w:t>
      </w:r>
    </w:p>
    <w:p w:rsidR="008D582C" w:rsidRPr="00EB5EDA" w:rsidRDefault="003B2EC9"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Comment l</w:t>
      </w:r>
      <w:r w:rsidR="008D582C" w:rsidRPr="00EB5EDA">
        <w:rPr>
          <w:rFonts w:ascii="Times New Roman" w:hAnsi="Times New Roman"/>
          <w:sz w:val="22"/>
          <w:szCs w:val="22"/>
        </w:rPr>
        <w:t>es</w:t>
      </w:r>
      <w:r w:rsidR="008A6F89" w:rsidRPr="00EB5EDA">
        <w:rPr>
          <w:rFonts w:ascii="Times New Roman" w:hAnsi="Times New Roman"/>
          <w:sz w:val="22"/>
          <w:szCs w:val="22"/>
        </w:rPr>
        <w:t xml:space="preserve"> procédures de ciblages </w:t>
      </w:r>
      <w:r w:rsidRPr="00EB5EDA">
        <w:rPr>
          <w:rFonts w:ascii="Times New Roman" w:hAnsi="Times New Roman"/>
          <w:sz w:val="22"/>
          <w:szCs w:val="22"/>
        </w:rPr>
        <w:t xml:space="preserve">des </w:t>
      </w:r>
      <w:r w:rsidR="008A6F89" w:rsidRPr="00EB5EDA">
        <w:rPr>
          <w:rFonts w:ascii="Times New Roman" w:hAnsi="Times New Roman"/>
          <w:sz w:val="22"/>
          <w:szCs w:val="22"/>
        </w:rPr>
        <w:t xml:space="preserve">bénéficiaires </w:t>
      </w:r>
      <w:r w:rsidR="008D582C" w:rsidRPr="00EB5EDA">
        <w:rPr>
          <w:rFonts w:ascii="Times New Roman" w:hAnsi="Times New Roman"/>
          <w:sz w:val="22"/>
          <w:szCs w:val="22"/>
        </w:rPr>
        <w:t xml:space="preserve">du projet </w:t>
      </w:r>
      <w:r w:rsidRPr="00EB5EDA">
        <w:rPr>
          <w:rFonts w:ascii="Times New Roman" w:hAnsi="Times New Roman"/>
          <w:sz w:val="22"/>
          <w:szCs w:val="22"/>
        </w:rPr>
        <w:t>ont été effectué</w:t>
      </w:r>
      <w:r w:rsidR="004C6281" w:rsidRPr="00EB5EDA">
        <w:rPr>
          <w:rFonts w:ascii="Times New Roman" w:hAnsi="Times New Roman"/>
          <w:sz w:val="22"/>
          <w:szCs w:val="22"/>
        </w:rPr>
        <w:t> ;</w:t>
      </w:r>
    </w:p>
    <w:p w:rsidR="007E4B43" w:rsidRPr="00EB5EDA" w:rsidRDefault="007E4B43"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L’intensification des cultures et l’utilisation intensive des pesticides risquent de polluer les eaux de surface.</w:t>
      </w:r>
    </w:p>
    <w:p w:rsidR="007E4B43" w:rsidRPr="00EB5EDA" w:rsidRDefault="007E4B43"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 xml:space="preserve">Le manque de matériel agricole, de formation et d’encadrement au niveau des producteurs de la zone ; </w:t>
      </w:r>
    </w:p>
    <w:p w:rsidR="007E4B43" w:rsidRPr="00EB5EDA" w:rsidRDefault="007E4B43"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 xml:space="preserve">La mauvaise qualité des semences et des engrais qui fait partie parfois des préoccupations de la population </w:t>
      </w:r>
    </w:p>
    <w:p w:rsidR="007E4B43" w:rsidRPr="00EB5EDA" w:rsidRDefault="007E4B43"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Le manque d’emploi des jeunes dans le pays surtout avec la pandémie de la Covid 19 ;</w:t>
      </w:r>
    </w:p>
    <w:p w:rsidR="007E4B43" w:rsidRPr="00EB5EDA" w:rsidRDefault="007E4B43"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 xml:space="preserve">L’enclavement des villages qui entraine une mobilité réduite des habitants vers les marchés. </w:t>
      </w:r>
    </w:p>
    <w:p w:rsidR="007E4B43" w:rsidRPr="00EB5EDA" w:rsidRDefault="007E4B43"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L’Augmentation des pertes d’emploi et des licenciements des employés dans les usines de transformation des noix de cajou</w:t>
      </w:r>
      <w:r w:rsidR="006260F1" w:rsidRPr="00EB5EDA">
        <w:rPr>
          <w:rFonts w:ascii="Times New Roman" w:hAnsi="Times New Roman"/>
          <w:sz w:val="22"/>
          <w:szCs w:val="22"/>
        </w:rPr>
        <w:t> ;</w:t>
      </w:r>
    </w:p>
    <w:p w:rsidR="00785AE7" w:rsidRPr="00EB5EDA" w:rsidRDefault="003169E1"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L’obtention des produits</w:t>
      </w:r>
      <w:r w:rsidR="00785AE7" w:rsidRPr="00EB5EDA">
        <w:rPr>
          <w:rFonts w:ascii="Times New Roman" w:hAnsi="Times New Roman"/>
          <w:sz w:val="22"/>
          <w:szCs w:val="22"/>
        </w:rPr>
        <w:t xml:space="preserve"> agricole durable de qualité et en quantité pou</w:t>
      </w:r>
      <w:r w:rsidRPr="00EB5EDA">
        <w:rPr>
          <w:rFonts w:ascii="Times New Roman" w:hAnsi="Times New Roman"/>
          <w:sz w:val="22"/>
          <w:szCs w:val="22"/>
        </w:rPr>
        <w:t xml:space="preserve">r assurer l’approvisionnement des marchés </w:t>
      </w:r>
      <w:r w:rsidR="006260F1" w:rsidRPr="00EB5EDA">
        <w:rPr>
          <w:rFonts w:ascii="Times New Roman" w:hAnsi="Times New Roman"/>
          <w:sz w:val="22"/>
          <w:szCs w:val="22"/>
        </w:rPr>
        <w:t xml:space="preserve">locaux </w:t>
      </w:r>
    </w:p>
    <w:p w:rsidR="00785AE7" w:rsidRPr="00EB5EDA"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 xml:space="preserve">Le manque d’information du projet </w:t>
      </w:r>
      <w:r w:rsidR="00770003" w:rsidRPr="00EB5EDA">
        <w:rPr>
          <w:rFonts w:ascii="Times New Roman" w:hAnsi="Times New Roman"/>
          <w:sz w:val="22"/>
          <w:szCs w:val="22"/>
        </w:rPr>
        <w:t>PUSA</w:t>
      </w:r>
      <w:r w:rsidRPr="00EB5EDA">
        <w:rPr>
          <w:rFonts w:ascii="Times New Roman" w:hAnsi="Times New Roman"/>
          <w:sz w:val="22"/>
          <w:szCs w:val="22"/>
        </w:rPr>
        <w:t xml:space="preserve"> au niveau de certa</w:t>
      </w:r>
      <w:r w:rsidR="00CB6617" w:rsidRPr="00EB5EDA">
        <w:rPr>
          <w:rFonts w:ascii="Times New Roman" w:hAnsi="Times New Roman"/>
          <w:sz w:val="22"/>
          <w:szCs w:val="22"/>
        </w:rPr>
        <w:t>ins services et au niveau local</w:t>
      </w:r>
      <w:r w:rsidRPr="00EB5EDA">
        <w:rPr>
          <w:rFonts w:ascii="Times New Roman" w:hAnsi="Times New Roman"/>
          <w:sz w:val="22"/>
          <w:szCs w:val="22"/>
        </w:rPr>
        <w:t xml:space="preserve"> (population)</w:t>
      </w:r>
    </w:p>
    <w:p w:rsidR="00785AE7" w:rsidRPr="00EB5EDA"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La disponible nécessaire</w:t>
      </w:r>
      <w:r w:rsidR="00C64236" w:rsidRPr="00EB5EDA">
        <w:rPr>
          <w:rFonts w:ascii="Times New Roman" w:hAnsi="Times New Roman"/>
          <w:sz w:val="22"/>
          <w:szCs w:val="22"/>
        </w:rPr>
        <w:t xml:space="preserve"> au niveau de la </w:t>
      </w:r>
      <w:r w:rsidR="00292F6E" w:rsidRPr="00EB5EDA">
        <w:rPr>
          <w:rFonts w:ascii="Times New Roman" w:hAnsi="Times New Roman"/>
          <w:sz w:val="22"/>
          <w:szCs w:val="22"/>
        </w:rPr>
        <w:t>production du riz</w:t>
      </w:r>
      <w:r w:rsidRPr="00EB5EDA">
        <w:rPr>
          <w:rFonts w:ascii="Times New Roman" w:hAnsi="Times New Roman"/>
          <w:sz w:val="22"/>
          <w:szCs w:val="22"/>
        </w:rPr>
        <w:t xml:space="preserve"> beaucoup plus utilisé pour autoconsommation familiale ;</w:t>
      </w:r>
    </w:p>
    <w:p w:rsidR="00785AE7" w:rsidRPr="00EB5EDA"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 xml:space="preserve">Les risques de dégradation des ressources forestières font parties des préoccupations majeures exprimées par les services des eaux et forêts due à l’extension des terres cultivables </w:t>
      </w:r>
      <w:r w:rsidR="004E5774" w:rsidRPr="00EB5EDA">
        <w:rPr>
          <w:rFonts w:ascii="Times New Roman" w:hAnsi="Times New Roman"/>
          <w:sz w:val="22"/>
          <w:szCs w:val="22"/>
        </w:rPr>
        <w:t xml:space="preserve">surtout </w:t>
      </w:r>
      <w:r w:rsidR="00AA19E2" w:rsidRPr="00EB5EDA">
        <w:rPr>
          <w:rFonts w:ascii="Times New Roman" w:hAnsi="Times New Roman"/>
          <w:sz w:val="22"/>
          <w:szCs w:val="22"/>
        </w:rPr>
        <w:t xml:space="preserve">l’anacardier </w:t>
      </w:r>
    </w:p>
    <w:p w:rsidR="00785AE7"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L’implication des services techniques pour identifier les contraintes propres à chaque localité et la réflexion sur l’ensemble des solutions adaptées ;</w:t>
      </w:r>
    </w:p>
    <w:p w:rsidR="00244A7B" w:rsidRPr="00EB5EDA" w:rsidRDefault="00244A7B"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Pr>
          <w:rFonts w:ascii="Times New Roman" w:hAnsi="Times New Roman"/>
          <w:sz w:val="22"/>
          <w:szCs w:val="22"/>
        </w:rPr>
        <w:t xml:space="preserve">Les </w:t>
      </w:r>
      <w:r w:rsidR="00341AC8">
        <w:rPr>
          <w:rFonts w:ascii="Times New Roman" w:hAnsi="Times New Roman"/>
          <w:sz w:val="22"/>
          <w:szCs w:val="22"/>
        </w:rPr>
        <w:t>problèmes</w:t>
      </w:r>
      <w:r>
        <w:rPr>
          <w:rFonts w:ascii="Times New Roman" w:hAnsi="Times New Roman"/>
          <w:sz w:val="22"/>
          <w:szCs w:val="22"/>
        </w:rPr>
        <w:t xml:space="preserve"> d’abandon </w:t>
      </w:r>
      <w:r w:rsidR="00341AC8">
        <w:rPr>
          <w:rFonts w:ascii="Times New Roman" w:hAnsi="Times New Roman"/>
          <w:sz w:val="22"/>
          <w:szCs w:val="22"/>
        </w:rPr>
        <w:t>des filles à l’école à cause des mariages précoces et forcés ;</w:t>
      </w:r>
    </w:p>
    <w:p w:rsidR="00655356" w:rsidRPr="00EB5EDA" w:rsidRDefault="007E4B43"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 xml:space="preserve">Le </w:t>
      </w:r>
      <w:r w:rsidR="00635C4E" w:rsidRPr="00EB5EDA">
        <w:rPr>
          <w:rFonts w:ascii="Times New Roman" w:hAnsi="Times New Roman"/>
          <w:sz w:val="22"/>
          <w:szCs w:val="22"/>
        </w:rPr>
        <w:t>manque d’Investi</w:t>
      </w:r>
      <w:r w:rsidR="00B02394" w:rsidRPr="00EB5EDA">
        <w:rPr>
          <w:rFonts w:ascii="Times New Roman" w:hAnsi="Times New Roman"/>
          <w:sz w:val="22"/>
          <w:szCs w:val="22"/>
        </w:rPr>
        <w:t>sse</w:t>
      </w:r>
      <w:r w:rsidR="00635C4E" w:rsidRPr="00EB5EDA">
        <w:rPr>
          <w:rFonts w:ascii="Times New Roman" w:hAnsi="Times New Roman"/>
          <w:sz w:val="22"/>
          <w:szCs w:val="22"/>
        </w:rPr>
        <w:t xml:space="preserve">ment dans le secteur de </w:t>
      </w:r>
      <w:r w:rsidR="00B02394" w:rsidRPr="00EB5EDA">
        <w:rPr>
          <w:rFonts w:ascii="Times New Roman" w:hAnsi="Times New Roman"/>
          <w:sz w:val="22"/>
          <w:szCs w:val="22"/>
        </w:rPr>
        <w:t xml:space="preserve">la riziculture pour </w:t>
      </w:r>
      <w:r w:rsidR="00E606F9" w:rsidRPr="00EB5EDA">
        <w:rPr>
          <w:rFonts w:ascii="Times New Roman" w:hAnsi="Times New Roman"/>
          <w:sz w:val="22"/>
          <w:szCs w:val="22"/>
        </w:rPr>
        <w:t>atteindre</w:t>
      </w:r>
      <w:r w:rsidR="00B02394" w:rsidRPr="00EB5EDA">
        <w:rPr>
          <w:rFonts w:ascii="Times New Roman" w:hAnsi="Times New Roman"/>
          <w:sz w:val="22"/>
          <w:szCs w:val="22"/>
        </w:rPr>
        <w:t xml:space="preserve"> l’</w:t>
      </w:r>
      <w:r w:rsidR="00E606F9" w:rsidRPr="00EB5EDA">
        <w:rPr>
          <w:rFonts w:ascii="Times New Roman" w:hAnsi="Times New Roman"/>
          <w:sz w:val="22"/>
          <w:szCs w:val="22"/>
        </w:rPr>
        <w:t>autosuffisance</w:t>
      </w:r>
      <w:r w:rsidR="00B02394" w:rsidRPr="00EB5EDA">
        <w:rPr>
          <w:rFonts w:ascii="Times New Roman" w:hAnsi="Times New Roman"/>
          <w:sz w:val="22"/>
          <w:szCs w:val="22"/>
        </w:rPr>
        <w:t xml:space="preserve"> en riz</w:t>
      </w:r>
      <w:r w:rsidR="00E606F9" w:rsidRPr="00EB5EDA">
        <w:rPr>
          <w:rFonts w:ascii="Times New Roman" w:hAnsi="Times New Roman"/>
          <w:sz w:val="22"/>
          <w:szCs w:val="22"/>
        </w:rPr>
        <w:t>,</w:t>
      </w:r>
    </w:p>
    <w:p w:rsidR="00E606F9" w:rsidRDefault="00E606F9"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Les manques d’aménagement hydro agricoles dans tout le pays ;</w:t>
      </w:r>
    </w:p>
    <w:p w:rsidR="00341AC8" w:rsidRPr="00EB5EDA" w:rsidRDefault="00865FE5"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Pr>
          <w:rFonts w:ascii="Times New Roman" w:hAnsi="Times New Roman"/>
          <w:sz w:val="22"/>
          <w:szCs w:val="22"/>
        </w:rPr>
        <w:t xml:space="preserve">Les manques de financement </w:t>
      </w:r>
      <w:r w:rsidR="00BB493C">
        <w:rPr>
          <w:rFonts w:ascii="Times New Roman" w:hAnsi="Times New Roman"/>
          <w:sz w:val="22"/>
          <w:szCs w:val="22"/>
        </w:rPr>
        <w:t>envers</w:t>
      </w:r>
      <w:r>
        <w:rPr>
          <w:rFonts w:ascii="Times New Roman" w:hAnsi="Times New Roman"/>
          <w:sz w:val="22"/>
          <w:szCs w:val="22"/>
        </w:rPr>
        <w:t xml:space="preserve"> les femmes et jeunes filles ;</w:t>
      </w:r>
    </w:p>
    <w:p w:rsidR="00A41BE8" w:rsidRDefault="00FA6CCC"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EB5EDA">
        <w:rPr>
          <w:rFonts w:ascii="Times New Roman" w:hAnsi="Times New Roman"/>
          <w:sz w:val="22"/>
          <w:szCs w:val="22"/>
        </w:rPr>
        <w:t>Le</w:t>
      </w:r>
      <w:r w:rsidR="00E644E8" w:rsidRPr="00EB5EDA">
        <w:rPr>
          <w:rFonts w:ascii="Times New Roman" w:hAnsi="Times New Roman"/>
          <w:sz w:val="22"/>
          <w:szCs w:val="22"/>
        </w:rPr>
        <w:t>s</w:t>
      </w:r>
      <w:r w:rsidRPr="00EB5EDA">
        <w:rPr>
          <w:rFonts w:ascii="Times New Roman" w:hAnsi="Times New Roman"/>
          <w:sz w:val="22"/>
          <w:szCs w:val="22"/>
        </w:rPr>
        <w:t xml:space="preserve"> manques </w:t>
      </w:r>
      <w:r w:rsidR="00E644E8" w:rsidRPr="00EB5EDA">
        <w:rPr>
          <w:rFonts w:ascii="Times New Roman" w:hAnsi="Times New Roman"/>
          <w:sz w:val="22"/>
          <w:szCs w:val="22"/>
        </w:rPr>
        <w:t xml:space="preserve">de </w:t>
      </w:r>
      <w:r w:rsidR="0031700A" w:rsidRPr="00EB5EDA">
        <w:rPr>
          <w:rFonts w:ascii="Times New Roman" w:hAnsi="Times New Roman"/>
          <w:sz w:val="22"/>
          <w:szCs w:val="22"/>
        </w:rPr>
        <w:t>moyen</w:t>
      </w:r>
      <w:r w:rsidR="000459F7" w:rsidRPr="00EB5EDA">
        <w:rPr>
          <w:rFonts w:ascii="Times New Roman" w:hAnsi="Times New Roman"/>
          <w:sz w:val="22"/>
          <w:szCs w:val="22"/>
        </w:rPr>
        <w:t xml:space="preserve">s, </w:t>
      </w:r>
      <w:r w:rsidRPr="00EB5EDA">
        <w:rPr>
          <w:rFonts w:ascii="Times New Roman" w:hAnsi="Times New Roman"/>
          <w:sz w:val="22"/>
          <w:szCs w:val="22"/>
        </w:rPr>
        <w:t>de poste de contrôle</w:t>
      </w:r>
      <w:r w:rsidR="00FE69DD" w:rsidRPr="00EB5EDA">
        <w:rPr>
          <w:rFonts w:ascii="Times New Roman" w:hAnsi="Times New Roman"/>
          <w:sz w:val="22"/>
          <w:szCs w:val="22"/>
        </w:rPr>
        <w:t xml:space="preserve"> et d’appuis au niveau de la </w:t>
      </w:r>
      <w:r w:rsidR="009E31D8" w:rsidRPr="00EB5EDA">
        <w:rPr>
          <w:rFonts w:ascii="Times New Roman" w:hAnsi="Times New Roman"/>
          <w:sz w:val="22"/>
          <w:szCs w:val="22"/>
        </w:rPr>
        <w:t>direction de pro</w:t>
      </w:r>
      <w:r w:rsidR="00CC53A4" w:rsidRPr="00EB5EDA">
        <w:rPr>
          <w:rFonts w:ascii="Times New Roman" w:hAnsi="Times New Roman"/>
          <w:sz w:val="22"/>
          <w:szCs w:val="22"/>
        </w:rPr>
        <w:t xml:space="preserve">tection des </w:t>
      </w:r>
      <w:r w:rsidR="00540463" w:rsidRPr="00EB5EDA">
        <w:rPr>
          <w:rFonts w:ascii="Times New Roman" w:hAnsi="Times New Roman"/>
          <w:sz w:val="22"/>
          <w:szCs w:val="22"/>
        </w:rPr>
        <w:t>végétaux</w:t>
      </w:r>
      <w:r w:rsidR="00CC43B0" w:rsidRPr="00EB5EDA">
        <w:rPr>
          <w:rFonts w:ascii="Times New Roman" w:hAnsi="Times New Roman"/>
          <w:sz w:val="22"/>
          <w:szCs w:val="22"/>
        </w:rPr>
        <w:t> ;</w:t>
      </w:r>
      <w:r w:rsidR="00CC53A4" w:rsidRPr="00EB5EDA">
        <w:rPr>
          <w:rFonts w:ascii="Times New Roman" w:hAnsi="Times New Roman"/>
          <w:sz w:val="22"/>
          <w:szCs w:val="22"/>
        </w:rPr>
        <w:t xml:space="preserve"> </w:t>
      </w:r>
    </w:p>
    <w:p w:rsidR="00687A2E" w:rsidRDefault="00687A2E"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Pr>
          <w:rFonts w:ascii="Times New Roman" w:hAnsi="Times New Roman"/>
          <w:sz w:val="22"/>
          <w:szCs w:val="22"/>
        </w:rPr>
        <w:t>Les difficultés d’</w:t>
      </w:r>
      <w:r w:rsidR="00244A7B">
        <w:rPr>
          <w:rFonts w:ascii="Times New Roman" w:hAnsi="Times New Roman"/>
          <w:sz w:val="22"/>
          <w:szCs w:val="22"/>
        </w:rPr>
        <w:t>accès</w:t>
      </w:r>
      <w:r>
        <w:rPr>
          <w:rFonts w:ascii="Times New Roman" w:hAnsi="Times New Roman"/>
          <w:sz w:val="22"/>
          <w:szCs w:val="22"/>
        </w:rPr>
        <w:t xml:space="preserve"> des terres aux femmes dans certain milieu </w:t>
      </w:r>
      <w:r w:rsidR="00244A7B">
        <w:rPr>
          <w:rFonts w:ascii="Times New Roman" w:hAnsi="Times New Roman"/>
          <w:sz w:val="22"/>
          <w:szCs w:val="22"/>
        </w:rPr>
        <w:t>due à la tradition ancestrale</w:t>
      </w:r>
    </w:p>
    <w:p w:rsidR="00244A7B" w:rsidRPr="00EB5EDA" w:rsidRDefault="00244A7B" w:rsidP="00A76F4A">
      <w:pPr>
        <w:pStyle w:val="PargrafodaLista"/>
        <w:spacing w:after="0" w:line="240" w:lineRule="auto"/>
        <w:ind w:left="470" w:right="12"/>
        <w:contextualSpacing w:val="0"/>
        <w:jc w:val="both"/>
        <w:rPr>
          <w:rFonts w:ascii="Times New Roman" w:hAnsi="Times New Roman"/>
          <w:sz w:val="22"/>
          <w:szCs w:val="22"/>
        </w:rPr>
      </w:pPr>
    </w:p>
    <w:p w:rsidR="00DB208C" w:rsidRPr="00A05698" w:rsidRDefault="00785AE7"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11" w:name="_Toc75432327"/>
      <w:bookmarkStart w:id="412" w:name="_Toc55460148"/>
      <w:bookmarkStart w:id="413" w:name="_Toc55465541"/>
      <w:r w:rsidRPr="00A05698">
        <w:rPr>
          <w:rFonts w:ascii="Times New Roman" w:hAnsi="Times New Roman"/>
          <w:b/>
          <w:bCs/>
          <w:sz w:val="24"/>
          <w:szCs w:val="24"/>
        </w:rPr>
        <w:lastRenderedPageBreak/>
        <w:t>LES RECOMMANDATIONS DES ACTEURS</w:t>
      </w:r>
      <w:bookmarkEnd w:id="411"/>
      <w:r w:rsidRPr="00A05698">
        <w:rPr>
          <w:rFonts w:ascii="Times New Roman" w:hAnsi="Times New Roman"/>
          <w:b/>
          <w:bCs/>
          <w:sz w:val="24"/>
          <w:szCs w:val="24"/>
        </w:rPr>
        <w:t xml:space="preserve"> </w:t>
      </w:r>
      <w:bookmarkEnd w:id="412"/>
      <w:bookmarkEnd w:id="413"/>
    </w:p>
    <w:p w:rsidR="00785AE7" w:rsidRPr="00A05698" w:rsidRDefault="008D6B00" w:rsidP="00A76F4A">
      <w:pPr>
        <w:autoSpaceDE w:val="0"/>
        <w:autoSpaceDN w:val="0"/>
        <w:adjustRightInd w:val="0"/>
        <w:ind w:right="12"/>
        <w:jc w:val="both"/>
      </w:pPr>
      <w:r w:rsidRPr="00A05698">
        <w:t xml:space="preserve">Ainsi, pour </w:t>
      </w:r>
      <w:r w:rsidR="00C45CB2" w:rsidRPr="00A05698">
        <w:t>atteindre</w:t>
      </w:r>
      <w:r w:rsidRPr="00A05698">
        <w:t xml:space="preserve"> </w:t>
      </w:r>
      <w:r w:rsidR="00C45CB2" w:rsidRPr="00A05698">
        <w:t>les objectifs</w:t>
      </w:r>
      <w:r w:rsidRPr="00A05698">
        <w:t xml:space="preserve"> du projet PUSA, </w:t>
      </w:r>
      <w:r w:rsidR="00C45CB2" w:rsidRPr="00A05698">
        <w:t>l’ensemble des acteurs</w:t>
      </w:r>
      <w:r w:rsidR="00785AE7" w:rsidRPr="00A05698">
        <w:t xml:space="preserve"> en se basant sur les difficultés rencontrées</w:t>
      </w:r>
      <w:r w:rsidR="00912153" w:rsidRPr="00A05698">
        <w:t xml:space="preserve"> et leur expérience,</w:t>
      </w:r>
      <w:r w:rsidR="00785AE7" w:rsidRPr="00A05698">
        <w:t xml:space="preserve"> ont énoncé des </w:t>
      </w:r>
      <w:r w:rsidR="00912153" w:rsidRPr="00A05698">
        <w:t>recommandat</w:t>
      </w:r>
      <w:r w:rsidR="00C2088D" w:rsidRPr="00A05698">
        <w:t>ions</w:t>
      </w:r>
      <w:r w:rsidR="00785AE7" w:rsidRPr="00A05698">
        <w:t xml:space="preserve"> qui portent sur la nécessité de :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Informer et impliq</w:t>
      </w:r>
      <w:r w:rsidR="001436DA" w:rsidRPr="00865FE5">
        <w:rPr>
          <w:rFonts w:ascii="Times New Roman" w:hAnsi="Times New Roman"/>
          <w:sz w:val="22"/>
          <w:szCs w:val="22"/>
        </w:rPr>
        <w:t>uer les services techniques dans la mise œuvre et le suivi des</w:t>
      </w:r>
      <w:r w:rsidRPr="00865FE5">
        <w:rPr>
          <w:rFonts w:ascii="Times New Roman" w:hAnsi="Times New Roman"/>
          <w:sz w:val="22"/>
          <w:szCs w:val="22"/>
        </w:rPr>
        <w:t xml:space="preserve"> réalisation</w:t>
      </w:r>
      <w:r w:rsidR="001436DA" w:rsidRPr="00865FE5">
        <w:rPr>
          <w:rFonts w:ascii="Times New Roman" w:hAnsi="Times New Roman"/>
          <w:sz w:val="22"/>
          <w:szCs w:val="22"/>
        </w:rPr>
        <w:t>s</w:t>
      </w:r>
      <w:r w:rsidRPr="00865FE5">
        <w:rPr>
          <w:rFonts w:ascii="Times New Roman" w:hAnsi="Times New Roman"/>
          <w:sz w:val="22"/>
          <w:szCs w:val="22"/>
        </w:rPr>
        <w:t xml:space="preserve"> des différentes activités du projet ;</w:t>
      </w:r>
    </w:p>
    <w:p w:rsidR="00785AE7" w:rsidRPr="00865FE5" w:rsidRDefault="00CF179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Procéder</w:t>
      </w:r>
      <w:r w:rsidR="006B60FA" w:rsidRPr="00865FE5">
        <w:rPr>
          <w:rFonts w:ascii="Times New Roman" w:hAnsi="Times New Roman"/>
          <w:sz w:val="22"/>
          <w:szCs w:val="22"/>
        </w:rPr>
        <w:t xml:space="preserve"> à</w:t>
      </w:r>
      <w:r w:rsidR="00785AE7" w:rsidRPr="00865FE5">
        <w:rPr>
          <w:rFonts w:ascii="Times New Roman" w:hAnsi="Times New Roman"/>
          <w:sz w:val="22"/>
          <w:szCs w:val="22"/>
        </w:rPr>
        <w:t xml:space="preserve"> un bon ciblage des</w:t>
      </w:r>
      <w:r w:rsidR="006B60FA" w:rsidRPr="00865FE5">
        <w:rPr>
          <w:rFonts w:ascii="Times New Roman" w:hAnsi="Times New Roman"/>
          <w:sz w:val="22"/>
          <w:szCs w:val="22"/>
        </w:rPr>
        <w:t xml:space="preserve"> producteurs, des </w:t>
      </w:r>
      <w:r w:rsidRPr="00865FE5">
        <w:rPr>
          <w:rFonts w:ascii="Times New Roman" w:hAnsi="Times New Roman"/>
          <w:sz w:val="22"/>
          <w:szCs w:val="22"/>
        </w:rPr>
        <w:t>agriculteurs,</w:t>
      </w:r>
      <w:r w:rsidR="006B60FA" w:rsidRPr="00865FE5">
        <w:rPr>
          <w:rFonts w:ascii="Times New Roman" w:hAnsi="Times New Roman"/>
          <w:sz w:val="22"/>
          <w:szCs w:val="22"/>
        </w:rPr>
        <w:t xml:space="preserve"> </w:t>
      </w:r>
      <w:r w:rsidRPr="00865FE5">
        <w:rPr>
          <w:rFonts w:ascii="Times New Roman" w:hAnsi="Times New Roman"/>
          <w:sz w:val="22"/>
          <w:szCs w:val="22"/>
        </w:rPr>
        <w:t>des bén</w:t>
      </w:r>
      <w:r w:rsidR="00496C20" w:rsidRPr="00865FE5">
        <w:rPr>
          <w:rFonts w:ascii="Times New Roman" w:hAnsi="Times New Roman"/>
          <w:sz w:val="22"/>
          <w:szCs w:val="22"/>
        </w:rPr>
        <w:t xml:space="preserve">éficiers en terme général </w:t>
      </w:r>
      <w:r w:rsidR="00785AE7" w:rsidRPr="00865FE5">
        <w:rPr>
          <w:rFonts w:ascii="Times New Roman" w:hAnsi="Times New Roman"/>
          <w:sz w:val="22"/>
          <w:szCs w:val="22"/>
        </w:rPr>
        <w:t>;</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Développer davant</w:t>
      </w:r>
      <w:r w:rsidR="00496C20" w:rsidRPr="00865FE5">
        <w:rPr>
          <w:rFonts w:ascii="Times New Roman" w:hAnsi="Times New Roman"/>
          <w:sz w:val="22"/>
          <w:szCs w:val="22"/>
        </w:rPr>
        <w:t>age les collaborations avec la DGA ET La DPV</w:t>
      </w:r>
      <w:r w:rsidRPr="00865FE5">
        <w:rPr>
          <w:rFonts w:ascii="Times New Roman" w:hAnsi="Times New Roman"/>
          <w:sz w:val="22"/>
          <w:szCs w:val="22"/>
        </w:rPr>
        <w:t xml:space="preserve"> pour la production de semence de qualité</w:t>
      </w:r>
      <w:r w:rsidR="00065F74" w:rsidRPr="00865FE5">
        <w:rPr>
          <w:rFonts w:ascii="Times New Roman" w:hAnsi="Times New Roman"/>
          <w:sz w:val="22"/>
          <w:szCs w:val="22"/>
        </w:rPr>
        <w:t xml:space="preserve"> et en quantité</w:t>
      </w:r>
      <w:r w:rsidRPr="00865FE5">
        <w:rPr>
          <w:rFonts w:ascii="Times New Roman" w:hAnsi="Times New Roman"/>
          <w:sz w:val="22"/>
          <w:szCs w:val="22"/>
        </w:rPr>
        <w:t xml:space="preserve"> ;</w:t>
      </w:r>
    </w:p>
    <w:p w:rsidR="002609FC" w:rsidRPr="00865FE5" w:rsidRDefault="00075DCB"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Evaluer la situation des</w:t>
      </w:r>
      <w:r w:rsidR="002609FC" w:rsidRPr="00865FE5">
        <w:rPr>
          <w:rFonts w:ascii="Times New Roman" w:hAnsi="Times New Roman"/>
          <w:sz w:val="22"/>
          <w:szCs w:val="22"/>
        </w:rPr>
        <w:t xml:space="preserve"> marché</w:t>
      </w:r>
      <w:r w:rsidRPr="00865FE5">
        <w:rPr>
          <w:rFonts w:ascii="Times New Roman" w:hAnsi="Times New Roman"/>
          <w:sz w:val="22"/>
          <w:szCs w:val="22"/>
        </w:rPr>
        <w:t>s</w:t>
      </w:r>
      <w:r w:rsidR="002609FC" w:rsidRPr="00865FE5">
        <w:rPr>
          <w:rFonts w:ascii="Times New Roman" w:hAnsi="Times New Roman"/>
          <w:sz w:val="22"/>
          <w:szCs w:val="22"/>
        </w:rPr>
        <w:t xml:space="preserve"> </w:t>
      </w:r>
      <w:r w:rsidRPr="00865FE5">
        <w:rPr>
          <w:rFonts w:ascii="Times New Roman" w:hAnsi="Times New Roman"/>
          <w:sz w:val="22"/>
          <w:szCs w:val="22"/>
        </w:rPr>
        <w:t>de commercialisation des noix de cajou pour co</w:t>
      </w:r>
      <w:r w:rsidR="00917144" w:rsidRPr="00865FE5">
        <w:rPr>
          <w:rFonts w:ascii="Times New Roman" w:hAnsi="Times New Roman"/>
          <w:sz w:val="22"/>
          <w:szCs w:val="22"/>
        </w:rPr>
        <w:t xml:space="preserve">mprendre la nécessité de démarrer le projet </w:t>
      </w:r>
      <w:r w:rsidR="000B190C" w:rsidRPr="00865FE5">
        <w:rPr>
          <w:rFonts w:ascii="Times New Roman" w:hAnsi="Times New Roman"/>
          <w:sz w:val="22"/>
          <w:szCs w:val="22"/>
        </w:rPr>
        <w:t>PUSA</w:t>
      </w:r>
      <w:r w:rsidR="00917144" w:rsidRPr="00865FE5">
        <w:rPr>
          <w:rFonts w:ascii="Times New Roman" w:hAnsi="Times New Roman"/>
          <w:sz w:val="22"/>
          <w:szCs w:val="22"/>
        </w:rPr>
        <w:t xml:space="preserve"> le plus rapidement ;</w:t>
      </w:r>
    </w:p>
    <w:p w:rsidR="007956A3" w:rsidRPr="00865FE5" w:rsidRDefault="00CB661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 xml:space="preserve">Assurer </w:t>
      </w:r>
      <w:r w:rsidR="00B82B6C" w:rsidRPr="00865FE5">
        <w:rPr>
          <w:rFonts w:ascii="Times New Roman" w:hAnsi="Times New Roman"/>
          <w:sz w:val="22"/>
          <w:szCs w:val="22"/>
        </w:rPr>
        <w:t>des soutiens financiers</w:t>
      </w:r>
      <w:r w:rsidR="00147ACA" w:rsidRPr="00865FE5">
        <w:rPr>
          <w:rFonts w:ascii="Times New Roman" w:hAnsi="Times New Roman"/>
          <w:sz w:val="22"/>
          <w:szCs w:val="22"/>
        </w:rPr>
        <w:t xml:space="preserve"> </w:t>
      </w:r>
      <w:r w:rsidRPr="00865FE5">
        <w:rPr>
          <w:rFonts w:ascii="Times New Roman" w:hAnsi="Times New Roman"/>
          <w:sz w:val="22"/>
          <w:szCs w:val="22"/>
        </w:rPr>
        <w:t>importants</w:t>
      </w:r>
      <w:r w:rsidR="00147ACA" w:rsidRPr="00865FE5">
        <w:rPr>
          <w:rFonts w:ascii="Times New Roman" w:hAnsi="Times New Roman"/>
          <w:sz w:val="22"/>
          <w:szCs w:val="22"/>
        </w:rPr>
        <w:t xml:space="preserve"> aux agriculteurs pour </w:t>
      </w:r>
      <w:r w:rsidR="00494D96" w:rsidRPr="00865FE5">
        <w:rPr>
          <w:rFonts w:ascii="Times New Roman" w:hAnsi="Times New Roman"/>
          <w:sz w:val="22"/>
          <w:szCs w:val="22"/>
        </w:rPr>
        <w:t>maitriser</w:t>
      </w:r>
      <w:r w:rsidR="00B82B6C" w:rsidRPr="00865FE5">
        <w:rPr>
          <w:rFonts w:ascii="Times New Roman" w:hAnsi="Times New Roman"/>
          <w:sz w:val="22"/>
          <w:szCs w:val="22"/>
        </w:rPr>
        <w:t xml:space="preserve"> les besoins notés </w:t>
      </w:r>
      <w:r w:rsidR="00C62D21" w:rsidRPr="00865FE5">
        <w:rPr>
          <w:rFonts w:ascii="Times New Roman" w:hAnsi="Times New Roman"/>
          <w:sz w:val="22"/>
          <w:szCs w:val="22"/>
        </w:rPr>
        <w:t>dans le secteur</w:t>
      </w:r>
      <w:r w:rsidR="002609FC" w:rsidRPr="00865FE5">
        <w:rPr>
          <w:rFonts w:ascii="Times New Roman" w:hAnsi="Times New Roman"/>
          <w:sz w:val="22"/>
          <w:szCs w:val="22"/>
        </w:rPr>
        <w:t> ;</w:t>
      </w:r>
    </w:p>
    <w:p w:rsidR="00D12E55" w:rsidRPr="00865FE5" w:rsidRDefault="00D12E55"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Adopter une approche plus coopérative voire inclusive du projet PUSA dans le secteur de la production et de la commercialisation de la noix cajou surtout pendant cette période marquée par la pandémie de la Covid 19</w:t>
      </w:r>
      <w:r w:rsidR="00B7569C" w:rsidRPr="00865FE5">
        <w:rPr>
          <w:rFonts w:ascii="Times New Roman" w:hAnsi="Times New Roman"/>
          <w:sz w:val="22"/>
          <w:szCs w:val="22"/>
        </w:rPr>
        <w:t xml:space="preserve"> </w:t>
      </w:r>
    </w:p>
    <w:p w:rsidR="004C7042" w:rsidRPr="00865FE5" w:rsidRDefault="004C7042"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Appuyer les producteurs agricoles en équipement et matériel agricole et les former sur les nouvelles techniques et pratiques de l’agriculture ;</w:t>
      </w:r>
    </w:p>
    <w:p w:rsidR="004C7042" w:rsidRPr="00865FE5" w:rsidRDefault="004C7042"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Accompagner les producteurs distingués dans la riziculture pour augmenter la quantité de production du riz dans le pays ce qui pourrait contribuer à lutter contre l’insécurité alimentaire ;</w:t>
      </w:r>
    </w:p>
    <w:p w:rsidR="004C7042" w:rsidRPr="00865FE5" w:rsidRDefault="004C7042"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 xml:space="preserve">Veiller à ne pas politiser la mise en œuvre des activités du projet </w:t>
      </w:r>
      <w:r w:rsidR="00B52324" w:rsidRPr="00865FE5">
        <w:rPr>
          <w:rFonts w:ascii="Times New Roman" w:hAnsi="Times New Roman"/>
          <w:sz w:val="22"/>
          <w:szCs w:val="22"/>
        </w:rPr>
        <w:t>PUSA</w:t>
      </w:r>
      <w:r w:rsidR="00774021" w:rsidRPr="00865FE5">
        <w:rPr>
          <w:rFonts w:ascii="Times New Roman" w:hAnsi="Times New Roman"/>
          <w:sz w:val="22"/>
          <w:szCs w:val="22"/>
        </w:rPr>
        <w:t xml:space="preserve"> surtout pendant </w:t>
      </w:r>
      <w:r w:rsidR="00D8314E" w:rsidRPr="00865FE5">
        <w:rPr>
          <w:rFonts w:ascii="Times New Roman" w:hAnsi="Times New Roman"/>
          <w:sz w:val="22"/>
          <w:szCs w:val="22"/>
        </w:rPr>
        <w:t xml:space="preserve">cette situation de la Covid 19 ou </w:t>
      </w:r>
      <w:r w:rsidR="004E4942" w:rsidRPr="00865FE5">
        <w:rPr>
          <w:rFonts w:ascii="Times New Roman" w:hAnsi="Times New Roman"/>
          <w:sz w:val="22"/>
          <w:szCs w:val="22"/>
        </w:rPr>
        <w:t>les tensions sociales se font ressentir de jour en jour ;</w:t>
      </w:r>
    </w:p>
    <w:p w:rsidR="00F93B4F" w:rsidRPr="00865FE5" w:rsidRDefault="00F93B4F"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Développer des plateformes pour la commercialisation des produits agricoles</w:t>
      </w:r>
      <w:r w:rsidR="004A65BA" w:rsidRPr="00865FE5">
        <w:rPr>
          <w:rFonts w:ascii="Times New Roman" w:hAnsi="Times New Roman"/>
          <w:sz w:val="22"/>
          <w:szCs w:val="22"/>
        </w:rPr>
        <w:t> ;</w:t>
      </w:r>
    </w:p>
    <w:p w:rsidR="00F93B4F" w:rsidRPr="00865FE5" w:rsidRDefault="00F93B4F"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 xml:space="preserve">Veiller à une bonne valorisation </w:t>
      </w:r>
      <w:r w:rsidR="003E7D90" w:rsidRPr="00865FE5">
        <w:rPr>
          <w:rFonts w:ascii="Times New Roman" w:hAnsi="Times New Roman"/>
          <w:sz w:val="22"/>
          <w:szCs w:val="22"/>
        </w:rPr>
        <w:t xml:space="preserve">des cultures vivrières pour lutter contre la malnutrition ; </w:t>
      </w:r>
    </w:p>
    <w:p w:rsidR="00F93B4F" w:rsidRPr="00865FE5" w:rsidRDefault="00F93B4F"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Développer les activités post-récolte</w:t>
      </w:r>
      <w:r w:rsidR="00D42C14" w:rsidRPr="00865FE5">
        <w:rPr>
          <w:rFonts w:ascii="Times New Roman" w:hAnsi="Times New Roman"/>
          <w:sz w:val="22"/>
          <w:szCs w:val="22"/>
        </w:rPr>
        <w:t xml:space="preserve"> de transformation des produits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 xml:space="preserve">Mettre en place un suivi environnemental du projet </w:t>
      </w:r>
      <w:r w:rsidR="00065F74" w:rsidRPr="00865FE5">
        <w:rPr>
          <w:rFonts w:ascii="Times New Roman" w:hAnsi="Times New Roman"/>
          <w:sz w:val="22"/>
          <w:szCs w:val="22"/>
        </w:rPr>
        <w:t xml:space="preserve">PUSA </w:t>
      </w:r>
      <w:r w:rsidRPr="00865FE5">
        <w:rPr>
          <w:rFonts w:ascii="Times New Roman" w:hAnsi="Times New Roman"/>
          <w:sz w:val="22"/>
          <w:szCs w:val="22"/>
        </w:rPr>
        <w:t>en temps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Multiplier les foires</w:t>
      </w:r>
      <w:r w:rsidR="00572E05" w:rsidRPr="00865FE5">
        <w:rPr>
          <w:rFonts w:ascii="Times New Roman" w:hAnsi="Times New Roman"/>
          <w:sz w:val="22"/>
          <w:szCs w:val="22"/>
        </w:rPr>
        <w:t>, les marchés locaux et sous régionaux</w:t>
      </w:r>
      <w:r w:rsidRPr="00865FE5">
        <w:rPr>
          <w:rFonts w:ascii="Times New Roman" w:hAnsi="Times New Roman"/>
          <w:sz w:val="22"/>
          <w:szCs w:val="22"/>
        </w:rPr>
        <w:t xml:space="preserve"> pour la promotion et la commercialisation des produits </w:t>
      </w:r>
      <w:r w:rsidR="00604B5E" w:rsidRPr="00865FE5">
        <w:rPr>
          <w:rFonts w:ascii="Times New Roman" w:hAnsi="Times New Roman"/>
          <w:sz w:val="22"/>
          <w:szCs w:val="22"/>
        </w:rPr>
        <w:t>a</w:t>
      </w:r>
      <w:r w:rsidR="004F2172" w:rsidRPr="00865FE5">
        <w:rPr>
          <w:rFonts w:ascii="Times New Roman" w:hAnsi="Times New Roman"/>
          <w:sz w:val="22"/>
          <w:szCs w:val="22"/>
        </w:rPr>
        <w:t>gricoles</w:t>
      </w:r>
      <w:r w:rsidR="00423041" w:rsidRPr="00865FE5">
        <w:rPr>
          <w:rFonts w:ascii="Times New Roman" w:hAnsi="Times New Roman"/>
          <w:sz w:val="22"/>
          <w:szCs w:val="22"/>
        </w:rPr>
        <w:t>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Multiplier les campagnes de reboisement pour lutter contre les changements climatiques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Veiller à une meilleure prise en compte de l’environnement et de la santé des populations lors du déroulement des activités du projet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 xml:space="preserve">Sensibiliser les populations concernées par le projet pour éviter les problèmes fonciers </w:t>
      </w:r>
      <w:r w:rsidR="00171DED" w:rsidRPr="00865FE5">
        <w:rPr>
          <w:rFonts w:ascii="Times New Roman" w:hAnsi="Times New Roman"/>
          <w:sz w:val="22"/>
          <w:szCs w:val="22"/>
        </w:rPr>
        <w:t xml:space="preserve">pour la réalisation des voies d’accès, des </w:t>
      </w:r>
      <w:r w:rsidR="00D90513" w:rsidRPr="00865FE5">
        <w:rPr>
          <w:rFonts w:ascii="Times New Roman" w:hAnsi="Times New Roman"/>
          <w:sz w:val="22"/>
          <w:szCs w:val="22"/>
        </w:rPr>
        <w:t xml:space="preserve">marchés locaux ou </w:t>
      </w:r>
      <w:r w:rsidR="00085D2A" w:rsidRPr="00865FE5">
        <w:rPr>
          <w:rFonts w:ascii="Times New Roman" w:hAnsi="Times New Roman"/>
          <w:sz w:val="22"/>
          <w:szCs w:val="22"/>
        </w:rPr>
        <w:t>des structures stockages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 xml:space="preserve">Faire beaucoup de sensibilisation pour informer la population concernée sur les objectifs attendus pour chaque </w:t>
      </w:r>
      <w:r w:rsidR="00085D2A" w:rsidRPr="00865FE5">
        <w:rPr>
          <w:rFonts w:ascii="Times New Roman" w:hAnsi="Times New Roman"/>
          <w:sz w:val="22"/>
          <w:szCs w:val="22"/>
        </w:rPr>
        <w:t>composante du PUSA</w:t>
      </w:r>
      <w:r w:rsidRPr="00865FE5">
        <w:rPr>
          <w:rFonts w:ascii="Times New Roman" w:hAnsi="Times New Roman"/>
          <w:sz w:val="22"/>
          <w:szCs w:val="22"/>
        </w:rPr>
        <w:t xml:space="preserve">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Renforcer les moyens de mobilité des services techniques pour un meilleur suivi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Veiller à l’amélioration de la circulation des produits agricoles et stockages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Assurer des formations et sensibilisations en matière de gestion des pesticides pour veiller à une bonne utilisation de ces produits plus particulièrement les intrants chimiques qui peuvent contaminer les eaux des nappes par filtration ;</w:t>
      </w:r>
    </w:p>
    <w:p w:rsidR="00785AE7" w:rsidRPr="00865FE5"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 xml:space="preserve">Veiller à une bonne réalisation des infrastructures </w:t>
      </w:r>
      <w:r w:rsidR="00F81C38" w:rsidRPr="00865FE5">
        <w:rPr>
          <w:rFonts w:ascii="Times New Roman" w:hAnsi="Times New Roman"/>
          <w:sz w:val="22"/>
          <w:szCs w:val="22"/>
        </w:rPr>
        <w:t xml:space="preserve">prévus par le projet </w:t>
      </w:r>
      <w:r w:rsidR="00D95F6D" w:rsidRPr="00865FE5">
        <w:rPr>
          <w:rFonts w:ascii="Times New Roman" w:hAnsi="Times New Roman"/>
          <w:sz w:val="22"/>
          <w:szCs w:val="22"/>
        </w:rPr>
        <w:t>PUSA ;</w:t>
      </w:r>
    </w:p>
    <w:p w:rsidR="00A41BE8" w:rsidRDefault="00785AE7" w:rsidP="00A76F4A">
      <w:pPr>
        <w:pStyle w:val="PargrafodaLista"/>
        <w:numPr>
          <w:ilvl w:val="0"/>
          <w:numId w:val="93"/>
        </w:numPr>
        <w:spacing w:after="0" w:line="240" w:lineRule="auto"/>
        <w:ind w:left="993" w:right="12" w:hanging="357"/>
        <w:contextualSpacing w:val="0"/>
        <w:jc w:val="both"/>
        <w:rPr>
          <w:rFonts w:ascii="Times New Roman" w:hAnsi="Times New Roman"/>
          <w:sz w:val="22"/>
          <w:szCs w:val="22"/>
        </w:rPr>
      </w:pPr>
      <w:r w:rsidRPr="00865FE5">
        <w:rPr>
          <w:rFonts w:ascii="Times New Roman" w:hAnsi="Times New Roman"/>
          <w:sz w:val="22"/>
          <w:szCs w:val="22"/>
        </w:rPr>
        <w:t xml:space="preserve">Mener des campagnes </w:t>
      </w:r>
      <w:r w:rsidR="00D95F6D" w:rsidRPr="00865FE5">
        <w:rPr>
          <w:rFonts w:ascii="Times New Roman" w:hAnsi="Times New Roman"/>
          <w:sz w:val="22"/>
          <w:szCs w:val="22"/>
        </w:rPr>
        <w:t>d’IEC</w:t>
      </w:r>
      <w:r w:rsidRPr="00865FE5">
        <w:rPr>
          <w:rFonts w:ascii="Times New Roman" w:hAnsi="Times New Roman"/>
          <w:sz w:val="22"/>
          <w:szCs w:val="22"/>
        </w:rPr>
        <w:t xml:space="preserve"> dans toutes les localités concernées pour l’appropriation du projet </w:t>
      </w:r>
      <w:r w:rsidR="00F736E0" w:rsidRPr="00865FE5">
        <w:rPr>
          <w:rFonts w:ascii="Times New Roman" w:hAnsi="Times New Roman"/>
          <w:sz w:val="22"/>
          <w:szCs w:val="22"/>
        </w:rPr>
        <w:t>PUSA</w:t>
      </w:r>
      <w:r w:rsidR="00423041" w:rsidRPr="00865FE5">
        <w:rPr>
          <w:rFonts w:ascii="Times New Roman" w:hAnsi="Times New Roman"/>
          <w:sz w:val="22"/>
          <w:szCs w:val="22"/>
        </w:rPr>
        <w:t>.</w:t>
      </w:r>
    </w:p>
    <w:p w:rsidR="00865FE5" w:rsidRPr="00865FE5" w:rsidRDefault="00865FE5" w:rsidP="00A76F4A">
      <w:pPr>
        <w:pStyle w:val="PargrafodaLista"/>
        <w:spacing w:after="0" w:line="240" w:lineRule="auto"/>
        <w:ind w:left="470" w:right="12"/>
        <w:contextualSpacing w:val="0"/>
        <w:jc w:val="both"/>
        <w:rPr>
          <w:rFonts w:ascii="Times New Roman" w:hAnsi="Times New Roman"/>
          <w:sz w:val="22"/>
          <w:szCs w:val="22"/>
        </w:rPr>
      </w:pPr>
    </w:p>
    <w:p w:rsidR="00785AE7" w:rsidRPr="00A05698" w:rsidRDefault="00785AE7"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14" w:name="_Toc55460149"/>
      <w:bookmarkStart w:id="415" w:name="_Toc55465542"/>
      <w:bookmarkStart w:id="416" w:name="_Toc75432328"/>
      <w:r w:rsidRPr="00A05698">
        <w:rPr>
          <w:rFonts w:ascii="Times New Roman" w:hAnsi="Times New Roman"/>
          <w:b/>
          <w:bCs/>
          <w:sz w:val="24"/>
          <w:szCs w:val="24"/>
        </w:rPr>
        <w:t xml:space="preserve">Conclusion </w:t>
      </w:r>
      <w:r w:rsidR="006922F0">
        <w:rPr>
          <w:rFonts w:ascii="Times New Roman" w:hAnsi="Times New Roman"/>
          <w:b/>
          <w:bCs/>
          <w:sz w:val="24"/>
          <w:szCs w:val="24"/>
        </w:rPr>
        <w:t>d</w:t>
      </w:r>
      <w:r w:rsidRPr="00A05698">
        <w:rPr>
          <w:rFonts w:ascii="Times New Roman" w:hAnsi="Times New Roman"/>
          <w:b/>
          <w:bCs/>
          <w:sz w:val="24"/>
          <w:szCs w:val="24"/>
        </w:rPr>
        <w:t>es Consultations</w:t>
      </w:r>
      <w:bookmarkEnd w:id="414"/>
      <w:bookmarkEnd w:id="415"/>
      <w:bookmarkEnd w:id="416"/>
    </w:p>
    <w:p w:rsidR="00BB493C" w:rsidRDefault="00BB493C" w:rsidP="00BB493C">
      <w:pPr>
        <w:autoSpaceDE w:val="0"/>
        <w:autoSpaceDN w:val="0"/>
        <w:adjustRightInd w:val="0"/>
        <w:ind w:right="12"/>
        <w:jc w:val="both"/>
      </w:pPr>
      <w:r w:rsidRPr="00861C29">
        <w:t xml:space="preserve">Vue la situation par rapport à l’évolution de la COVID-19, l’équipe a </w:t>
      </w:r>
      <w:r>
        <w:t>p</w:t>
      </w:r>
      <w:r w:rsidRPr="00FC396F">
        <w:t xml:space="preserve">rocédé </w:t>
      </w:r>
      <w:r>
        <w:t xml:space="preserve">dans la phase suivante </w:t>
      </w:r>
      <w:r w:rsidRPr="00FC396F">
        <w:t xml:space="preserve">(après </w:t>
      </w:r>
      <w:r>
        <w:t xml:space="preserve">le </w:t>
      </w:r>
      <w:r w:rsidRPr="00FC396F">
        <w:t>dépistage</w:t>
      </w:r>
      <w:r>
        <w:t xml:space="preserve">) à la </w:t>
      </w:r>
      <w:r w:rsidRPr="00FC396F">
        <w:t xml:space="preserve">réalisation </w:t>
      </w:r>
      <w:r>
        <w:t xml:space="preserve">des consultations publiques </w:t>
      </w:r>
      <w:r w:rsidRPr="00FC396F">
        <w:t xml:space="preserve">conformément </w:t>
      </w:r>
      <w:r>
        <w:t xml:space="preserve">au </w:t>
      </w:r>
      <w:r w:rsidRPr="00BB493C">
        <w:t>décret n°5/2017</w:t>
      </w:r>
      <w:r w:rsidRPr="00FC396F">
        <w:t xml:space="preserve">, en </w:t>
      </w:r>
      <w:r>
        <w:t>respectant</w:t>
      </w:r>
      <w:r w:rsidRPr="00FC396F">
        <w:t xml:space="preserve"> </w:t>
      </w:r>
      <w:r>
        <w:t>les mesures</w:t>
      </w:r>
      <w:r w:rsidRPr="00FC396F">
        <w:t xml:space="preserve"> </w:t>
      </w:r>
      <w:r>
        <w:t>de</w:t>
      </w:r>
      <w:r w:rsidRPr="00FC396F">
        <w:t xml:space="preserve"> </w:t>
      </w:r>
      <w:r>
        <w:t>distanciation,</w:t>
      </w:r>
      <w:r w:rsidRPr="00FC396F">
        <w:t xml:space="preserve"> </w:t>
      </w:r>
      <w:r>
        <w:t>l'utilisation</w:t>
      </w:r>
      <w:r w:rsidRPr="00FC396F">
        <w:t xml:space="preserve"> </w:t>
      </w:r>
      <w:r>
        <w:t>obligatoire</w:t>
      </w:r>
      <w:r w:rsidRPr="00FC396F">
        <w:t xml:space="preserve"> </w:t>
      </w:r>
      <w:r>
        <w:t>de</w:t>
      </w:r>
      <w:r w:rsidRPr="00FC396F">
        <w:t xml:space="preserve"> </w:t>
      </w:r>
      <w:r>
        <w:t>masques,</w:t>
      </w:r>
      <w:r w:rsidRPr="00FC396F">
        <w:t xml:space="preserve"> </w:t>
      </w:r>
      <w:r>
        <w:t>le</w:t>
      </w:r>
      <w:r w:rsidRPr="00FC396F">
        <w:t xml:space="preserve"> </w:t>
      </w:r>
      <w:r>
        <w:t>lavage</w:t>
      </w:r>
      <w:r w:rsidRPr="00FC396F">
        <w:t xml:space="preserve"> </w:t>
      </w:r>
      <w:r>
        <w:t>des</w:t>
      </w:r>
      <w:r w:rsidRPr="00FC396F">
        <w:t xml:space="preserve"> </w:t>
      </w:r>
      <w:r>
        <w:t xml:space="preserve">mains et parmi de nombreuses autres mesures de </w:t>
      </w:r>
      <w:r w:rsidRPr="00FC396F">
        <w:t xml:space="preserve">prévention proposées </w:t>
      </w:r>
      <w:r>
        <w:t>par le Haut-Commissaire du COVID-19, le MINSAP,</w:t>
      </w:r>
      <w:r w:rsidRPr="00FC396F">
        <w:t xml:space="preserve"> </w:t>
      </w:r>
      <w:r>
        <w:t>l'OMS.</w:t>
      </w:r>
    </w:p>
    <w:p w:rsidR="00BB493C" w:rsidRDefault="00BB493C" w:rsidP="00BB493C">
      <w:pPr>
        <w:autoSpaceDE w:val="0"/>
        <w:autoSpaceDN w:val="0"/>
        <w:adjustRightInd w:val="0"/>
        <w:ind w:right="12"/>
        <w:jc w:val="both"/>
      </w:pPr>
    </w:p>
    <w:p w:rsidR="009335E9" w:rsidRDefault="00785AE7" w:rsidP="00A76F4A">
      <w:pPr>
        <w:autoSpaceDE w:val="0"/>
        <w:autoSpaceDN w:val="0"/>
        <w:adjustRightInd w:val="0"/>
        <w:ind w:right="12"/>
        <w:jc w:val="both"/>
      </w:pPr>
      <w:r w:rsidRPr="00A05698">
        <w:t>Lors des consultations, les services techniques et les</w:t>
      </w:r>
      <w:r w:rsidR="00883D1E" w:rsidRPr="00A05698">
        <w:t xml:space="preserve"> acteurs concernés</w:t>
      </w:r>
      <w:r w:rsidRPr="00A05698">
        <w:t xml:space="preserve"> ont été très ouverts et ravis d’accueillir un projet </w:t>
      </w:r>
      <w:r w:rsidR="00EF316B" w:rsidRPr="00A05698">
        <w:t xml:space="preserve">de </w:t>
      </w:r>
      <w:r w:rsidR="00E955C6" w:rsidRPr="00A05698">
        <w:t>sécurité</w:t>
      </w:r>
      <w:r w:rsidR="00EF316B" w:rsidRPr="00A05698">
        <w:t xml:space="preserve"> alimentaire</w:t>
      </w:r>
      <w:r w:rsidR="00EA7872">
        <w:t xml:space="preserve"> </w:t>
      </w:r>
      <w:r w:rsidR="00EA7872" w:rsidRPr="00A05698">
        <w:t>d’urgence</w:t>
      </w:r>
      <w:r w:rsidR="00EF316B" w:rsidRPr="00A05698">
        <w:t xml:space="preserve"> en Guinée Bissau</w:t>
      </w:r>
      <w:r w:rsidR="00494D96">
        <w:t xml:space="preserve"> qui a pour </w:t>
      </w:r>
      <w:r w:rsidR="00F736E0" w:rsidRPr="00A05698">
        <w:t xml:space="preserve">but de </w:t>
      </w:r>
      <w:r w:rsidR="00EF316B" w:rsidRPr="00A05698">
        <w:t>soutenir l’</w:t>
      </w:r>
      <w:r w:rsidR="009663C3" w:rsidRPr="00A05698">
        <w:t xml:space="preserve">Etat, </w:t>
      </w:r>
      <w:r w:rsidR="00E955C6" w:rsidRPr="00A05698">
        <w:t>les agricultures</w:t>
      </w:r>
      <w:r w:rsidR="009663C3" w:rsidRPr="00A05698">
        <w:t xml:space="preserve">, l’ensemble des acteurs </w:t>
      </w:r>
      <w:r w:rsidR="00315E4D" w:rsidRPr="00A05698">
        <w:t xml:space="preserve">qui </w:t>
      </w:r>
      <w:r w:rsidR="009663C3" w:rsidRPr="00A05698">
        <w:t>interv</w:t>
      </w:r>
      <w:r w:rsidR="00315E4D" w:rsidRPr="00A05698">
        <w:t>i</w:t>
      </w:r>
      <w:r w:rsidR="009663C3" w:rsidRPr="00A05698">
        <w:t>en</w:t>
      </w:r>
      <w:r w:rsidR="00315E4D" w:rsidRPr="00A05698">
        <w:t>nent</w:t>
      </w:r>
      <w:r w:rsidR="009663C3" w:rsidRPr="00A05698">
        <w:t xml:space="preserve"> dans la production et la commercialisation des noix </w:t>
      </w:r>
      <w:r w:rsidR="00CB1C71" w:rsidRPr="00A05698">
        <w:t>de cajou</w:t>
      </w:r>
      <w:r w:rsidR="00315E4D" w:rsidRPr="00A05698">
        <w:t xml:space="preserve">. De plus, il </w:t>
      </w:r>
      <w:r w:rsidR="000E1A4B" w:rsidRPr="00A05698">
        <w:t>aide les</w:t>
      </w:r>
      <w:r w:rsidR="00221609" w:rsidRPr="00A05698">
        <w:t xml:space="preserve"> jeunes et femmes sans emplois, la population </w:t>
      </w:r>
      <w:r w:rsidR="00C774AF">
        <w:t>en général à</w:t>
      </w:r>
      <w:r w:rsidR="00221609" w:rsidRPr="00A05698">
        <w:t xml:space="preserve"> </w:t>
      </w:r>
      <w:r w:rsidR="00C1439D" w:rsidRPr="00A05698">
        <w:t xml:space="preserve">faire </w:t>
      </w:r>
      <w:r w:rsidR="00221609" w:rsidRPr="00A05698">
        <w:t xml:space="preserve">face aux </w:t>
      </w:r>
      <w:r w:rsidR="00C1439D" w:rsidRPr="00A05698">
        <w:t>effets négati</w:t>
      </w:r>
      <w:r w:rsidR="00C774AF">
        <w:t>fs sur le plan</w:t>
      </w:r>
      <w:r w:rsidR="00C1439D" w:rsidRPr="00A05698">
        <w:t xml:space="preserve"> </w:t>
      </w:r>
      <w:r w:rsidR="009335E9" w:rsidRPr="00A05698">
        <w:t>économique</w:t>
      </w:r>
      <w:r w:rsidR="00C1439D" w:rsidRPr="00A05698">
        <w:t xml:space="preserve"> </w:t>
      </w:r>
      <w:r w:rsidR="008B613F" w:rsidRPr="00A05698">
        <w:t xml:space="preserve">et social </w:t>
      </w:r>
      <w:r w:rsidR="00C774AF">
        <w:t xml:space="preserve">et </w:t>
      </w:r>
      <w:r w:rsidR="008B613F" w:rsidRPr="00A05698">
        <w:t>qui risque</w:t>
      </w:r>
      <w:r w:rsidR="00315E4D" w:rsidRPr="00A05698">
        <w:t>nt</w:t>
      </w:r>
      <w:r w:rsidR="008B613F" w:rsidRPr="00A05698">
        <w:t xml:space="preserve"> de conduire la Guinée Bissau</w:t>
      </w:r>
      <w:r w:rsidR="00456121" w:rsidRPr="00A05698">
        <w:t xml:space="preserve"> dans une situation d’instabilité </w:t>
      </w:r>
      <w:r w:rsidR="009335E9" w:rsidRPr="00A05698">
        <w:t>et d’</w:t>
      </w:r>
      <w:r w:rsidR="00C97C5C" w:rsidRPr="00A05698">
        <w:t>insécurité alimentaire majeure.</w:t>
      </w:r>
      <w:r w:rsidR="00E955C6" w:rsidRPr="00A05698">
        <w:t xml:space="preserve"> </w:t>
      </w:r>
      <w:r w:rsidRPr="00A05698">
        <w:t xml:space="preserve"> </w:t>
      </w:r>
    </w:p>
    <w:p w:rsidR="00967003" w:rsidRPr="00A05698" w:rsidRDefault="00967003" w:rsidP="00A76F4A">
      <w:pPr>
        <w:autoSpaceDE w:val="0"/>
        <w:autoSpaceDN w:val="0"/>
        <w:adjustRightInd w:val="0"/>
        <w:ind w:right="12"/>
        <w:jc w:val="both"/>
      </w:pPr>
    </w:p>
    <w:p w:rsidR="004F4E52" w:rsidRPr="00C96C16" w:rsidRDefault="00C97C5C" w:rsidP="00A76F4A">
      <w:pPr>
        <w:autoSpaceDE w:val="0"/>
        <w:autoSpaceDN w:val="0"/>
        <w:adjustRightInd w:val="0"/>
        <w:ind w:right="12"/>
        <w:jc w:val="both"/>
      </w:pPr>
      <w:r w:rsidRPr="00A05698">
        <w:t>L’ensemble des acteurs consulté</w:t>
      </w:r>
      <w:r w:rsidR="00DC2BC8" w:rsidRPr="00A05698">
        <w:t xml:space="preserve">s ont </w:t>
      </w:r>
      <w:r w:rsidR="000E1A4B">
        <w:t>manifesté</w:t>
      </w:r>
      <w:r w:rsidR="00494D96">
        <w:t xml:space="preserve"> leur </w:t>
      </w:r>
      <w:r w:rsidR="00DC2BC8" w:rsidRPr="00A05698">
        <w:t>e</w:t>
      </w:r>
      <w:r w:rsidR="00315E4D" w:rsidRPr="00A05698">
        <w:t>spoir</w:t>
      </w:r>
      <w:r w:rsidR="00DC2BC8" w:rsidRPr="00A05698">
        <w:t xml:space="preserve"> </w:t>
      </w:r>
      <w:r w:rsidR="00494D96">
        <w:t xml:space="preserve">pour </w:t>
      </w:r>
      <w:r w:rsidR="003447F9" w:rsidRPr="00A05698">
        <w:t xml:space="preserve">ce projet PUSA </w:t>
      </w:r>
      <w:r w:rsidR="004F4E52" w:rsidRPr="00A05698">
        <w:t>car</w:t>
      </w:r>
      <w:r w:rsidR="00C774AF">
        <w:t>,</w:t>
      </w:r>
      <w:r w:rsidR="004F4E52" w:rsidRPr="00A05698">
        <w:t xml:space="preserve"> il</w:t>
      </w:r>
      <w:r w:rsidR="00785AE7" w:rsidRPr="00A05698">
        <w:t xml:space="preserve"> apportera des améliorations dans leur condition de vie quotidienne</w:t>
      </w:r>
      <w:r w:rsidR="00A5680C" w:rsidRPr="00A05698">
        <w:t>, augmenter</w:t>
      </w:r>
      <w:r w:rsidR="00C774AF">
        <w:t>a</w:t>
      </w:r>
      <w:r w:rsidR="00A5680C" w:rsidRPr="00A05698">
        <w:t xml:space="preserve"> l</w:t>
      </w:r>
      <w:r w:rsidR="00905B2E">
        <w:t xml:space="preserve">es </w:t>
      </w:r>
      <w:r w:rsidR="00A5680C" w:rsidRPr="00A05698">
        <w:t>emplois et les revenus</w:t>
      </w:r>
      <w:r w:rsidR="00C774AF">
        <w:t xml:space="preserve"> et </w:t>
      </w:r>
      <w:r w:rsidR="000E1A4B">
        <w:t>améliorera</w:t>
      </w:r>
      <w:r w:rsidR="00785AE7" w:rsidRPr="00A05698">
        <w:t xml:space="preserve"> le développement de l’agriculture</w:t>
      </w:r>
      <w:r w:rsidR="00315E4D" w:rsidRPr="00A05698">
        <w:t>. Le projet</w:t>
      </w:r>
      <w:r w:rsidR="00785AE7" w:rsidRPr="00A05698">
        <w:t xml:space="preserve"> contribuera au r</w:t>
      </w:r>
      <w:r w:rsidR="00785AE7" w:rsidRPr="00C96C16">
        <w:t xml:space="preserve">enforcement de la valeur ajoutée des produits agricoles </w:t>
      </w:r>
      <w:r w:rsidR="00A02248" w:rsidRPr="00C96C16">
        <w:t xml:space="preserve">et de la noix de cajou, </w:t>
      </w:r>
      <w:r w:rsidR="00C774AF">
        <w:t>à la</w:t>
      </w:r>
      <w:r w:rsidR="00785AE7" w:rsidRPr="00A05698">
        <w:t xml:space="preserve"> rédu</w:t>
      </w:r>
      <w:r w:rsidR="00C774AF">
        <w:t>ction de</w:t>
      </w:r>
      <w:r w:rsidR="00785AE7" w:rsidRPr="00A05698">
        <w:t xml:space="preserve"> </w:t>
      </w:r>
      <w:r w:rsidR="00785AE7" w:rsidRPr="00C96C16">
        <w:t>la dé</w:t>
      </w:r>
      <w:r w:rsidR="00785AE7" w:rsidRPr="00A05698">
        <w:t xml:space="preserve">pendance aux </w:t>
      </w:r>
      <w:r w:rsidR="00785AE7" w:rsidRPr="00C96C16">
        <w:t>importations de produits agroalimentaires</w:t>
      </w:r>
      <w:r w:rsidR="003447F9" w:rsidRPr="00C96C16">
        <w:t xml:space="preserve">, </w:t>
      </w:r>
      <w:r w:rsidR="00C774AF" w:rsidRPr="00C96C16">
        <w:t>à la</w:t>
      </w:r>
      <w:r w:rsidR="00905B2E" w:rsidRPr="00C96C16">
        <w:t xml:space="preserve"> lutte contre l’</w:t>
      </w:r>
      <w:r w:rsidR="003447F9" w:rsidRPr="00C96C16">
        <w:t>insécurité alimentaire</w:t>
      </w:r>
      <w:r w:rsidR="00770E17" w:rsidRPr="00C96C16">
        <w:t> et la malnutrition des enfants</w:t>
      </w:r>
      <w:r w:rsidR="00905B2E" w:rsidRPr="00C96C16">
        <w:t>.</w:t>
      </w:r>
      <w:r w:rsidR="004F4E52" w:rsidRPr="00C96C16">
        <w:tab/>
      </w:r>
    </w:p>
    <w:p w:rsidR="00816DE9" w:rsidRDefault="00C774AF" w:rsidP="00A76F4A">
      <w:pPr>
        <w:autoSpaceDE w:val="0"/>
        <w:autoSpaceDN w:val="0"/>
        <w:adjustRightInd w:val="0"/>
        <w:ind w:right="12"/>
        <w:jc w:val="both"/>
      </w:pPr>
      <w:r>
        <w:t>Toutefois,</w:t>
      </w:r>
      <w:r w:rsidR="005D554F" w:rsidRPr="00A05698">
        <w:t xml:space="preserve"> </w:t>
      </w:r>
      <w:r w:rsidR="00D57DE3" w:rsidRPr="00A05698">
        <w:t xml:space="preserve">des préoccupations majeures </w:t>
      </w:r>
      <w:r w:rsidR="00A0254A" w:rsidRPr="00A05698">
        <w:t xml:space="preserve">et des recommandations </w:t>
      </w:r>
      <w:r w:rsidR="00D57DE3" w:rsidRPr="00A05698">
        <w:t xml:space="preserve">ont été </w:t>
      </w:r>
      <w:r w:rsidR="001A5CAB" w:rsidRPr="00A05698">
        <w:t>soulevées</w:t>
      </w:r>
      <w:r w:rsidR="00D57DE3" w:rsidRPr="00A05698">
        <w:t xml:space="preserve"> par les </w:t>
      </w:r>
      <w:r w:rsidR="001A5CAB" w:rsidRPr="00A05698">
        <w:t>différents</w:t>
      </w:r>
      <w:r w:rsidR="00D57DE3" w:rsidRPr="00A05698">
        <w:t xml:space="preserve"> </w:t>
      </w:r>
      <w:r w:rsidR="00501932" w:rsidRPr="00A05698">
        <w:t>services ou</w:t>
      </w:r>
      <w:r w:rsidR="001A5CAB" w:rsidRPr="00A05698">
        <w:t xml:space="preserve"> directions </w:t>
      </w:r>
      <w:r w:rsidR="00FA6CCC" w:rsidRPr="00A05698">
        <w:t>techniques</w:t>
      </w:r>
      <w:r w:rsidR="00501932" w:rsidRPr="00A05698">
        <w:t xml:space="preserve"> et acteur</w:t>
      </w:r>
      <w:r w:rsidR="00053C11" w:rsidRPr="00A05698">
        <w:t>s</w:t>
      </w:r>
      <w:r w:rsidR="00905B2E">
        <w:t xml:space="preserve"> concernés. C</w:t>
      </w:r>
      <w:r w:rsidR="00E7599D" w:rsidRPr="00A05698">
        <w:t>es préoccupations</w:t>
      </w:r>
      <w:r w:rsidR="009619EB" w:rsidRPr="00A05698">
        <w:t xml:space="preserve"> et recommandations</w:t>
      </w:r>
      <w:r w:rsidR="00E7599D" w:rsidRPr="00A05698">
        <w:t xml:space="preserve"> </w:t>
      </w:r>
      <w:r w:rsidR="00BC5110" w:rsidRPr="00A05698">
        <w:t xml:space="preserve">doivent </w:t>
      </w:r>
      <w:r w:rsidR="00EF46C4" w:rsidRPr="00A05698">
        <w:t>être</w:t>
      </w:r>
      <w:r w:rsidR="004B1641" w:rsidRPr="00A05698">
        <w:t xml:space="preserve"> prise</w:t>
      </w:r>
      <w:r w:rsidR="00EF46C4" w:rsidRPr="00A05698">
        <w:t xml:space="preserve">s en compte </w:t>
      </w:r>
      <w:r w:rsidR="00C36EB6" w:rsidRPr="00A05698">
        <w:t xml:space="preserve">avant, pendant et </w:t>
      </w:r>
      <w:r w:rsidR="00AA3C90" w:rsidRPr="00A05698">
        <w:t>après</w:t>
      </w:r>
      <w:r w:rsidR="00C36EB6" w:rsidRPr="00A05698">
        <w:t xml:space="preserve"> la mise en œuvre </w:t>
      </w:r>
      <w:r w:rsidR="00EF46C4" w:rsidRPr="00A05698">
        <w:t xml:space="preserve">pour </w:t>
      </w:r>
      <w:r w:rsidR="00A0254A" w:rsidRPr="00A05698">
        <w:t xml:space="preserve">atteindre les </w:t>
      </w:r>
      <w:r w:rsidR="00AA3C90" w:rsidRPr="00A05698">
        <w:t>objectifs du projet PUSA.</w:t>
      </w:r>
    </w:p>
    <w:p w:rsidR="00967003" w:rsidRDefault="00967003" w:rsidP="00A76F4A">
      <w:pPr>
        <w:autoSpaceDE w:val="0"/>
        <w:autoSpaceDN w:val="0"/>
        <w:adjustRightInd w:val="0"/>
        <w:ind w:left="142" w:right="12"/>
        <w:jc w:val="both"/>
      </w:pPr>
    </w:p>
    <w:p w:rsidR="00BB403F" w:rsidRPr="008450CC" w:rsidRDefault="00BB403F" w:rsidP="00A76F4A">
      <w:pPr>
        <w:autoSpaceDE w:val="0"/>
        <w:autoSpaceDN w:val="0"/>
        <w:adjustRightInd w:val="0"/>
        <w:ind w:right="12"/>
        <w:jc w:val="both"/>
      </w:pPr>
      <w:r>
        <w:t xml:space="preserve">De plus, il est bien de prendre en compte lors du déroulement du projet, les inquiétudes des femmes et jeunes filles </w:t>
      </w:r>
      <w:r w:rsidRPr="008450CC">
        <w:t>pour lutter contre</w:t>
      </w:r>
      <w:r>
        <w:t xml:space="preserve"> les mariages précoces et forcés,</w:t>
      </w:r>
      <w:r w:rsidRPr="008450CC">
        <w:t xml:space="preserve"> l’Exploitation et les </w:t>
      </w:r>
      <w:r>
        <w:t>abus</w:t>
      </w:r>
      <w:r w:rsidRPr="008450CC">
        <w:t xml:space="preserve"> Sexuel</w:t>
      </w:r>
      <w:r>
        <w:t>s</w:t>
      </w:r>
      <w:r w:rsidRPr="008450CC">
        <w:t xml:space="preserve">, et le Harcèlement sexuel </w:t>
      </w:r>
      <w:r>
        <w:t xml:space="preserve">(EAS/HS) </w:t>
      </w:r>
      <w:r w:rsidRPr="008450CC">
        <w:t xml:space="preserve">dans le cadre </w:t>
      </w:r>
      <w:r>
        <w:t>des activités du projet. Mais aussi au respect des lois pour permettre à la femme de pouvoir accéder à la terre sans discrétion et de violence ou conflit familiale.</w:t>
      </w:r>
    </w:p>
    <w:p w:rsidR="00816DE9" w:rsidRPr="00A05698" w:rsidRDefault="00816DE9" w:rsidP="00A76F4A">
      <w:pPr>
        <w:ind w:right="12"/>
        <w:jc w:val="both"/>
      </w:pPr>
    </w:p>
    <w:p w:rsidR="00120DD7" w:rsidRPr="00A05698" w:rsidRDefault="008142E8"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417" w:name="_Toc75432329"/>
      <w:bookmarkStart w:id="418" w:name="_Toc11158399"/>
      <w:bookmarkStart w:id="419" w:name="_Toc51072619"/>
      <w:r w:rsidRPr="00A05698">
        <w:rPr>
          <w:rFonts w:ascii="Times New Roman" w:hAnsi="Times New Roman"/>
          <w:b/>
          <w:bCs/>
          <w:sz w:val="24"/>
          <w:szCs w:val="24"/>
        </w:rPr>
        <w:t>PLAN DE MOBILISATION DES PARTIES PRENANTES (PMPP)</w:t>
      </w:r>
      <w:bookmarkEnd w:id="417"/>
    </w:p>
    <w:p w:rsidR="00673426" w:rsidRPr="00C96C16" w:rsidRDefault="00673426" w:rsidP="00A76F4A">
      <w:pPr>
        <w:autoSpaceDE w:val="0"/>
        <w:autoSpaceDN w:val="0"/>
        <w:adjustRightInd w:val="0"/>
        <w:ind w:right="12"/>
        <w:jc w:val="both"/>
      </w:pPr>
      <w:r w:rsidRPr="00C96C16">
        <w:t xml:space="preserve">Le projet de sécurité alimentaire d'urgence en Guinée-Bissau </w:t>
      </w:r>
      <w:r w:rsidR="0090603F">
        <w:t xml:space="preserve">qui est déjà préparé </w:t>
      </w:r>
      <w:r w:rsidRPr="00C96C16">
        <w:t>dans le cadre du Cadre environnemental et social (</w:t>
      </w:r>
      <w:r w:rsidR="002F13D6">
        <w:t>CES</w:t>
      </w:r>
      <w:r w:rsidRPr="00C96C16">
        <w:t>) de la Banque mondiale. Conformément à la norme</w:t>
      </w:r>
      <w:r w:rsidR="000D349B" w:rsidRPr="00C96C16">
        <w:t xml:space="preserve"> environnementale et sociale </w:t>
      </w:r>
      <w:r w:rsidR="002E2294" w:rsidRPr="00C96C16">
        <w:t xml:space="preserve">NES N°10 </w:t>
      </w:r>
      <w:r w:rsidR="00453E47" w:rsidRPr="00C96C16">
        <w:t>engagements</w:t>
      </w:r>
      <w:r w:rsidRPr="00C96C16">
        <w:t xml:space="preserve"> des parties prenantes et divulgation d'informations, les agences de mise en œuvre devraient fournir aux parties prenantes des informations opportunes, pertinentes, compréhensibles et accessibles, et les consulter d'une manière culturellement appropriée, sans manipulat</w:t>
      </w:r>
      <w:r w:rsidR="00967003">
        <w:t>ion, interférence, coercition,</w:t>
      </w:r>
      <w:r w:rsidRPr="00C96C16">
        <w:t xml:space="preserve"> discrimination et intimidation.</w:t>
      </w:r>
    </w:p>
    <w:p w:rsidR="00673426" w:rsidRPr="00C96C16" w:rsidRDefault="00673426" w:rsidP="00A76F4A">
      <w:pPr>
        <w:autoSpaceDE w:val="0"/>
        <w:autoSpaceDN w:val="0"/>
        <w:adjustRightInd w:val="0"/>
        <w:ind w:right="12"/>
        <w:jc w:val="both"/>
      </w:pPr>
    </w:p>
    <w:p w:rsidR="00FB0FD6" w:rsidRPr="00C96C16" w:rsidRDefault="00673426" w:rsidP="00A76F4A">
      <w:pPr>
        <w:autoSpaceDE w:val="0"/>
        <w:autoSpaceDN w:val="0"/>
        <w:adjustRightInd w:val="0"/>
        <w:ind w:right="12"/>
        <w:jc w:val="both"/>
      </w:pPr>
      <w:r w:rsidRPr="00C96C16">
        <w:t>L'objectif</w:t>
      </w:r>
      <w:r w:rsidR="008553E7" w:rsidRPr="00C96C16">
        <w:t xml:space="preserve"> général de ce plan de mobilisation</w:t>
      </w:r>
      <w:r w:rsidR="00FA5C20" w:rsidRPr="00C96C16">
        <w:t xml:space="preserve"> des parties prenantes (PMPP</w:t>
      </w:r>
      <w:r w:rsidRPr="00C96C16">
        <w:t>) est de définir un programme d'engagement des parties prenantes, y compris la divulgation d'informations publiques et la consultation, tout au</w:t>
      </w:r>
      <w:r w:rsidR="00536536" w:rsidRPr="00C96C16">
        <w:t xml:space="preserve"> long du cycle du projet. Le PMPP</w:t>
      </w:r>
      <w:r w:rsidRPr="00C96C16">
        <w:t xml:space="preserve"> décrit les moyens par lesquels l'équipe de projet communiquera avec les parties prenantes et comprend un mécanisme par lequel les personnes peuvent soulever des préoccupations, fournir des commentaires ou déposer des plaintes concernant le projet et toute activité liée au projet. </w:t>
      </w:r>
    </w:p>
    <w:p w:rsidR="00673426" w:rsidRPr="00C96C16" w:rsidRDefault="00673426" w:rsidP="00A76F4A">
      <w:pPr>
        <w:autoSpaceDE w:val="0"/>
        <w:autoSpaceDN w:val="0"/>
        <w:adjustRightInd w:val="0"/>
        <w:ind w:right="12"/>
        <w:jc w:val="both"/>
      </w:pPr>
      <w:r w:rsidRPr="00C96C16">
        <w:t>L'implication de la population locale est essentielle à la réussite du projet afin d'assurer une collaboration harmonieuse entre le personnel du projet et les communautés locales et pour minimiser et atténuer les risques environnementaux et sociaux liés aux activités du projet proposé. Dans le contexte des maladies infectieuses, large, culturellement approprié,</w:t>
      </w:r>
      <w:bookmarkStart w:id="420" w:name="_Hlk25743274"/>
      <w:bookmarkEnd w:id="420"/>
    </w:p>
    <w:p w:rsidR="009844C2" w:rsidRPr="00865FE5" w:rsidRDefault="00120DD7" w:rsidP="00A76F4A">
      <w:pPr>
        <w:autoSpaceDE w:val="0"/>
        <w:autoSpaceDN w:val="0"/>
        <w:adjustRightInd w:val="0"/>
        <w:ind w:left="142" w:right="12"/>
        <w:jc w:val="both"/>
      </w:pPr>
      <w:r w:rsidRPr="00A05698">
        <w:t xml:space="preserve"> </w:t>
      </w:r>
    </w:p>
    <w:p w:rsidR="009844C2" w:rsidRPr="00A05698" w:rsidRDefault="00B13D73"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21" w:name="_Toc75432330"/>
      <w:r w:rsidRPr="00A05698">
        <w:rPr>
          <w:rFonts w:ascii="Times New Roman" w:hAnsi="Times New Roman"/>
          <w:b/>
          <w:bCs/>
          <w:sz w:val="24"/>
          <w:szCs w:val="24"/>
        </w:rPr>
        <w:t xml:space="preserve">Identification </w:t>
      </w:r>
      <w:r w:rsidR="00EA0802">
        <w:rPr>
          <w:rFonts w:ascii="Times New Roman" w:hAnsi="Times New Roman"/>
          <w:b/>
          <w:bCs/>
          <w:sz w:val="24"/>
          <w:szCs w:val="24"/>
        </w:rPr>
        <w:t xml:space="preserve">et analyse </w:t>
      </w:r>
      <w:r w:rsidRPr="00A05698">
        <w:rPr>
          <w:rFonts w:ascii="Times New Roman" w:hAnsi="Times New Roman"/>
          <w:b/>
          <w:bCs/>
          <w:sz w:val="24"/>
          <w:szCs w:val="24"/>
        </w:rPr>
        <w:t>des Parties Prenantes</w:t>
      </w:r>
      <w:bookmarkEnd w:id="421"/>
    </w:p>
    <w:p w:rsidR="00883D59" w:rsidRPr="00C96C16" w:rsidRDefault="00E75EAF" w:rsidP="00A76F4A">
      <w:pPr>
        <w:autoSpaceDE w:val="0"/>
        <w:autoSpaceDN w:val="0"/>
        <w:adjustRightInd w:val="0"/>
        <w:ind w:right="12"/>
        <w:jc w:val="both"/>
      </w:pPr>
      <w:r w:rsidRPr="00C96C16">
        <w:t>Les parties prenantes du projet sont définies comme des individus, des groupes ou d'autres entités qui:</w:t>
      </w:r>
    </w:p>
    <w:p w:rsidR="00E75EAF" w:rsidRPr="00865FE5" w:rsidRDefault="00E75EAF" w:rsidP="00A76F4A">
      <w:pPr>
        <w:numPr>
          <w:ilvl w:val="0"/>
          <w:numId w:val="145"/>
        </w:numPr>
        <w:ind w:left="993" w:right="12" w:hanging="426"/>
        <w:contextualSpacing/>
        <w:rPr>
          <w:bCs/>
          <w:sz w:val="22"/>
          <w:szCs w:val="22"/>
        </w:rPr>
      </w:pPr>
      <w:r w:rsidRPr="00865FE5">
        <w:rPr>
          <w:bCs/>
          <w:sz w:val="22"/>
          <w:szCs w:val="22"/>
        </w:rPr>
        <w:lastRenderedPageBreak/>
        <w:t>sont impactés ou susceptibles d'être impactés directement ou indirectement, positivement ou négativement par le projet (également appelés «parties affectées»); et</w:t>
      </w:r>
    </w:p>
    <w:p w:rsidR="00E75EAF" w:rsidRPr="00865FE5" w:rsidRDefault="00E75EAF" w:rsidP="00A76F4A">
      <w:pPr>
        <w:numPr>
          <w:ilvl w:val="0"/>
          <w:numId w:val="145"/>
        </w:numPr>
        <w:ind w:left="993" w:right="12" w:hanging="426"/>
        <w:contextualSpacing/>
        <w:rPr>
          <w:bCs/>
          <w:sz w:val="22"/>
          <w:szCs w:val="22"/>
        </w:rPr>
      </w:pPr>
      <w:r w:rsidRPr="00865FE5">
        <w:rPr>
          <w:bCs/>
          <w:sz w:val="22"/>
          <w:szCs w:val="22"/>
        </w:rPr>
        <w:t>peuvent avoir un intérêt dans le projet («parties intéressées»). Ils incluent des individus ou des groupes dont les intérêts peuvent être affectés par le projet et qui ont le potentiel d'influencer les résultats du projet de quelque manière que ce soit.</w:t>
      </w:r>
    </w:p>
    <w:p w:rsidR="00E75EAF" w:rsidRPr="00865FE5" w:rsidRDefault="00E75EAF" w:rsidP="00A76F4A">
      <w:pPr>
        <w:autoSpaceDE w:val="0"/>
        <w:autoSpaceDN w:val="0"/>
        <w:adjustRightInd w:val="0"/>
        <w:ind w:right="12"/>
        <w:jc w:val="both"/>
      </w:pPr>
      <w:r w:rsidRPr="00865FE5">
        <w:rPr>
          <w:bCs/>
        </w:rPr>
        <w:br/>
      </w:r>
      <w:r w:rsidRPr="00865FE5">
        <w:t xml:space="preserve">Aux fins d'un engagement efficace et personnalisé, les parties prenantes du ou des projets proposés peuvent être divisées dans les catégories principales </w:t>
      </w:r>
      <w:r w:rsidR="004518BE" w:rsidRPr="00865FE5">
        <w:t>suivantes :</w:t>
      </w:r>
    </w:p>
    <w:p w:rsidR="00A770F3" w:rsidRPr="00865FE5" w:rsidRDefault="00A770F3" w:rsidP="00A76F4A">
      <w:pPr>
        <w:autoSpaceDE w:val="0"/>
        <w:autoSpaceDN w:val="0"/>
        <w:adjustRightInd w:val="0"/>
        <w:ind w:right="12"/>
        <w:jc w:val="both"/>
      </w:pPr>
    </w:p>
    <w:p w:rsidR="000B392E" w:rsidRPr="00865FE5" w:rsidRDefault="00B13D73" w:rsidP="00A76F4A">
      <w:pPr>
        <w:autoSpaceDE w:val="0"/>
        <w:autoSpaceDN w:val="0"/>
        <w:adjustRightInd w:val="0"/>
        <w:ind w:right="12"/>
        <w:jc w:val="both"/>
      </w:pPr>
      <w:r w:rsidRPr="00C96C16">
        <w:t xml:space="preserve">Les parties directement affectées par le projet </w:t>
      </w:r>
      <w:r w:rsidR="00AF35F1" w:rsidRPr="00C96C16">
        <w:t>PUSA</w:t>
      </w:r>
      <w:r w:rsidR="00AF35F1" w:rsidRPr="00865FE5">
        <w:t xml:space="preserve"> </w:t>
      </w:r>
      <w:r w:rsidRPr="00865FE5">
        <w:t>sont :</w:t>
      </w:r>
      <w:r w:rsidR="00BD59AE" w:rsidRPr="00865FE5">
        <w:t xml:space="preserve"> Les agriculteurs</w:t>
      </w:r>
      <w:r w:rsidR="0015765A" w:rsidRPr="00865FE5">
        <w:t xml:space="preserve"> </w:t>
      </w:r>
      <w:r w:rsidR="008818C0" w:rsidRPr="00865FE5">
        <w:t xml:space="preserve">(les femmes agricultrices) </w:t>
      </w:r>
      <w:r w:rsidR="0015765A" w:rsidRPr="00865FE5">
        <w:t>en général, les producteurs</w:t>
      </w:r>
      <w:r w:rsidR="00BD59AE" w:rsidRPr="00865FE5">
        <w:t xml:space="preserve"> d’anacardier et de culture vivrières,</w:t>
      </w:r>
      <w:r w:rsidR="006C36B4" w:rsidRPr="00865FE5">
        <w:t xml:space="preserve"> les personnes intervenant dans la chaine de commercialisation</w:t>
      </w:r>
      <w:r w:rsidR="00BD59AE" w:rsidRPr="00865FE5">
        <w:t xml:space="preserve"> de</w:t>
      </w:r>
      <w:r w:rsidR="00D66567" w:rsidRPr="00865FE5">
        <w:t>s</w:t>
      </w:r>
      <w:r w:rsidR="00BD59AE" w:rsidRPr="00865FE5">
        <w:t xml:space="preserve"> noix de cajou</w:t>
      </w:r>
      <w:r w:rsidR="00D66567" w:rsidRPr="00865FE5">
        <w:t xml:space="preserve"> et d’autre produit agricole</w:t>
      </w:r>
      <w:r w:rsidR="00FF02A2" w:rsidRPr="00865FE5">
        <w:t xml:space="preserve">, les transformateurs de </w:t>
      </w:r>
      <w:r w:rsidR="001C30E0" w:rsidRPr="00865FE5">
        <w:t>produits agro-alimentaires</w:t>
      </w:r>
      <w:r w:rsidR="00BD59AE" w:rsidRPr="00865FE5">
        <w:t>, les</w:t>
      </w:r>
      <w:r w:rsidR="006468D5" w:rsidRPr="00865FE5">
        <w:t xml:space="preserve"> jeunes et femmes dans les </w:t>
      </w:r>
      <w:r w:rsidR="00F17CEE" w:rsidRPr="00865FE5">
        <w:t>localités, la population</w:t>
      </w:r>
      <w:r w:rsidR="002F4498" w:rsidRPr="00865FE5">
        <w:t xml:space="preserve">, </w:t>
      </w:r>
      <w:r w:rsidR="00901890" w:rsidRPr="00865FE5">
        <w:t xml:space="preserve">les groupes vulnérables (Personnes âgées et jeunes, Personnes handicapées, Ménages dirigés par des femmes ou mères célibataires avec enfants mineurs) </w:t>
      </w:r>
      <w:r w:rsidR="002F4498" w:rsidRPr="00865FE5">
        <w:t xml:space="preserve">etc. </w:t>
      </w:r>
      <w:r w:rsidRPr="00865FE5">
        <w:t>Pour ces groupes, des mesures spécifiques seront prises afin de faciliter leur</w:t>
      </w:r>
      <w:r w:rsidR="00D66567" w:rsidRPr="00865FE5">
        <w:t xml:space="preserve"> accès aux bénéfices du projet PUSA.</w:t>
      </w:r>
    </w:p>
    <w:p w:rsidR="00035613" w:rsidRPr="00865FE5" w:rsidRDefault="00035613" w:rsidP="00A76F4A">
      <w:pPr>
        <w:autoSpaceDE w:val="0"/>
        <w:autoSpaceDN w:val="0"/>
        <w:adjustRightInd w:val="0"/>
        <w:ind w:right="12"/>
        <w:jc w:val="both"/>
      </w:pPr>
    </w:p>
    <w:p w:rsidR="00804B69" w:rsidRPr="00865FE5" w:rsidRDefault="00B13D73" w:rsidP="00A76F4A">
      <w:pPr>
        <w:autoSpaceDE w:val="0"/>
        <w:autoSpaceDN w:val="0"/>
        <w:adjustRightInd w:val="0"/>
        <w:ind w:right="12"/>
        <w:jc w:val="both"/>
      </w:pPr>
      <w:r w:rsidRPr="00C96C16">
        <w:t>Les autres parties intér</w:t>
      </w:r>
      <w:r w:rsidR="002F4498" w:rsidRPr="00C96C16">
        <w:t>essées par le projet</w:t>
      </w:r>
      <w:r w:rsidR="002F4498" w:rsidRPr="00865FE5">
        <w:t xml:space="preserve"> sont : le ministère de l'agriculture et du développement rural développement et ses services et des directions régionales et nationale</w:t>
      </w:r>
      <w:r w:rsidRPr="00865FE5">
        <w:t xml:space="preserve">, les représentants des communautés locales : les autorités traditionnelles, les autorités locales (Mairies), les leaders religieux, </w:t>
      </w:r>
      <w:r w:rsidR="000D587E" w:rsidRPr="00865FE5">
        <w:t>les association</w:t>
      </w:r>
      <w:r w:rsidR="00D84E2A" w:rsidRPr="00865FE5">
        <w:t>s</w:t>
      </w:r>
      <w:r w:rsidR="000D587E" w:rsidRPr="00865FE5">
        <w:t xml:space="preserve"> des </w:t>
      </w:r>
      <w:r w:rsidR="00D84E2A" w:rsidRPr="00865FE5">
        <w:t>agriculteurs,</w:t>
      </w:r>
      <w:r w:rsidR="00310FE4" w:rsidRPr="00865FE5">
        <w:t xml:space="preserve"> </w:t>
      </w:r>
      <w:r w:rsidRPr="00865FE5">
        <w:t xml:space="preserve">les </w:t>
      </w:r>
      <w:r w:rsidR="00DF0C58" w:rsidRPr="00865FE5">
        <w:t>asso</w:t>
      </w:r>
      <w:r w:rsidR="000D587E" w:rsidRPr="00865FE5">
        <w:t xml:space="preserve">ciations </w:t>
      </w:r>
      <w:r w:rsidRPr="00865FE5">
        <w:t>des Jeunes et des Femmes, la société civiles (ONGs locales)</w:t>
      </w:r>
      <w:r w:rsidR="00516BF4" w:rsidRPr="00865FE5">
        <w:t xml:space="preserve">, </w:t>
      </w:r>
      <w:r w:rsidR="00C66FC8" w:rsidRPr="00865FE5">
        <w:t>les m</w:t>
      </w:r>
      <w:r w:rsidR="00516BF4" w:rsidRPr="00865FE5">
        <w:t>édias traditionnels et sociaux</w:t>
      </w:r>
      <w:r w:rsidR="00C66FC8" w:rsidRPr="00865FE5">
        <w:t>, les p</w:t>
      </w:r>
      <w:r w:rsidR="00986C80" w:rsidRPr="00865FE5">
        <w:t>artenaires de développement, les entreprises de cajou</w:t>
      </w:r>
      <w:r w:rsidR="00301F17" w:rsidRPr="00865FE5">
        <w:t xml:space="preserve">, </w:t>
      </w:r>
      <w:r w:rsidR="00653900" w:rsidRPr="00865FE5">
        <w:t>etc.</w:t>
      </w:r>
      <w:r w:rsidR="00301F17" w:rsidRPr="00865FE5">
        <w:t>.</w:t>
      </w:r>
      <w:r w:rsidRPr="00865FE5">
        <w:t xml:space="preserve">. Ces parties, particulièrement les représentants des communautés joueront un important rôle dans la sensibilisation et la mobilisation des communautés locales. Ces parties seront identifiées et impliquées dans le projet </w:t>
      </w:r>
      <w:r w:rsidR="00D84E2A" w:rsidRPr="00865FE5">
        <w:t xml:space="preserve">PUSA </w:t>
      </w:r>
      <w:r w:rsidRPr="00865FE5">
        <w:t xml:space="preserve">aussi à la phase de préparation que de mise en œuvre. </w:t>
      </w:r>
      <w:r w:rsidR="00D2032C" w:rsidRPr="00865FE5">
        <w:t>L’UC</w:t>
      </w:r>
      <w:r w:rsidR="00AE1883" w:rsidRPr="00865FE5">
        <w:t xml:space="preserve">P du Projet PUSA </w:t>
      </w:r>
      <w:r w:rsidRPr="00865FE5">
        <w:t xml:space="preserve">travaillera en étroite collaboration avec ces parties intéressées du projet. </w:t>
      </w:r>
    </w:p>
    <w:p w:rsidR="00804B69" w:rsidRPr="00865FE5" w:rsidRDefault="00804B69" w:rsidP="00A76F4A">
      <w:pPr>
        <w:autoSpaceDE w:val="0"/>
        <w:autoSpaceDN w:val="0"/>
        <w:adjustRightInd w:val="0"/>
        <w:ind w:right="12"/>
        <w:jc w:val="both"/>
      </w:pPr>
    </w:p>
    <w:p w:rsidR="002E49EB" w:rsidRPr="00865FE5" w:rsidRDefault="00B13D73" w:rsidP="00A76F4A">
      <w:pPr>
        <w:autoSpaceDE w:val="0"/>
        <w:autoSpaceDN w:val="0"/>
        <w:adjustRightInd w:val="0"/>
        <w:ind w:right="12"/>
        <w:jc w:val="both"/>
      </w:pPr>
      <w:r w:rsidRPr="00C96C16">
        <w:t>Méthodologie</w:t>
      </w:r>
      <w:r w:rsidRPr="00865FE5">
        <w:t xml:space="preserve"> : Pour une meilleure approche de bonne pratique dans le cadre de la mobilisation des parties prenantes le projet adoptera les principes suivants : </w:t>
      </w:r>
    </w:p>
    <w:p w:rsidR="002E49EB" w:rsidRPr="00865FE5" w:rsidRDefault="002E49EB" w:rsidP="00A76F4A">
      <w:pPr>
        <w:autoSpaceDE w:val="0"/>
        <w:autoSpaceDN w:val="0"/>
        <w:adjustRightInd w:val="0"/>
        <w:ind w:right="12"/>
        <w:jc w:val="both"/>
      </w:pPr>
    </w:p>
    <w:p w:rsidR="0009648C" w:rsidRPr="00C96C16" w:rsidRDefault="00B13D73" w:rsidP="00A76F4A">
      <w:pPr>
        <w:autoSpaceDE w:val="0"/>
        <w:autoSpaceDN w:val="0"/>
        <w:adjustRightInd w:val="0"/>
        <w:ind w:right="12"/>
        <w:jc w:val="both"/>
      </w:pPr>
      <w:r w:rsidRPr="00C96C16">
        <w:t xml:space="preserve">Organisation de consultations publiques ouvertes à toutes les communautés de la zone de mise en œuvre du projet permettant leur participation active et sans intimidation ou coercition. Des </w:t>
      </w:r>
      <w:r w:rsidR="002E2A3B" w:rsidRPr="00C96C16">
        <w:t>mesures</w:t>
      </w:r>
      <w:r w:rsidRPr="00C96C16">
        <w:t xml:space="preserve"> seront </w:t>
      </w:r>
      <w:r w:rsidR="00917124" w:rsidRPr="00C96C16">
        <w:t>fournies</w:t>
      </w:r>
      <w:r w:rsidRPr="00C96C16">
        <w:t xml:space="preserve"> concernant les protocoles </w:t>
      </w:r>
      <w:r w:rsidR="00C2293E" w:rsidRPr="00C96C16">
        <w:t xml:space="preserve">de sécurité pour </w:t>
      </w:r>
      <w:r w:rsidR="0009648C" w:rsidRPr="00C96C16">
        <w:t xml:space="preserve">éviter la propagation de la pandémie de la Covid 19 pendant ces </w:t>
      </w:r>
      <w:r w:rsidRPr="00C96C16">
        <w:t xml:space="preserve">consultations publiques. </w:t>
      </w:r>
    </w:p>
    <w:p w:rsidR="00272D94" w:rsidRPr="00C96C16" w:rsidRDefault="00B13D73" w:rsidP="00A76F4A">
      <w:pPr>
        <w:autoSpaceDE w:val="0"/>
        <w:autoSpaceDN w:val="0"/>
        <w:adjustRightInd w:val="0"/>
        <w:ind w:right="12"/>
        <w:jc w:val="both"/>
      </w:pPr>
      <w:r w:rsidRPr="00C96C16">
        <w:t>Large diffusion de l’information et opportunités pour permettre à diverses parties prenantes d’émettre des avis, de soulever des problèmes dont une analyse de solution est menée avec elles. La diffusion de l’information devrait permettre également d’établir des relations positives entre les comm</w:t>
      </w:r>
      <w:r w:rsidR="00245445" w:rsidRPr="00C96C16">
        <w:t xml:space="preserve">unautés locales et le projet. </w:t>
      </w:r>
    </w:p>
    <w:p w:rsidR="00F40D7E" w:rsidRPr="00865FE5" w:rsidRDefault="00796002" w:rsidP="00A76F4A">
      <w:pPr>
        <w:autoSpaceDE w:val="0"/>
        <w:autoSpaceDN w:val="0"/>
        <w:adjustRightInd w:val="0"/>
        <w:ind w:right="12"/>
        <w:jc w:val="both"/>
      </w:pPr>
      <w:r w:rsidRPr="00865FE5">
        <w:t xml:space="preserve">Pour </w:t>
      </w:r>
      <w:r w:rsidR="00027D08" w:rsidRPr="00865FE5">
        <w:t>réussir</w:t>
      </w:r>
      <w:r w:rsidRPr="00865FE5">
        <w:t xml:space="preserve"> une bonne mise en œuvre</w:t>
      </w:r>
      <w:r w:rsidR="00027D08" w:rsidRPr="00865FE5">
        <w:t xml:space="preserve"> du projet</w:t>
      </w:r>
      <w:r w:rsidRPr="00865FE5">
        <w:t xml:space="preserve">, il est </w:t>
      </w:r>
      <w:r w:rsidR="00027D08" w:rsidRPr="00865FE5">
        <w:t>nécessaire</w:t>
      </w:r>
      <w:r w:rsidRPr="00865FE5">
        <w:t xml:space="preserve"> de </w:t>
      </w:r>
      <w:r w:rsidR="00027D08" w:rsidRPr="00865FE5">
        <w:t>privilégier</w:t>
      </w:r>
      <w:r w:rsidRPr="00865FE5">
        <w:t xml:space="preserve"> une</w:t>
      </w:r>
      <w:r w:rsidR="00B13D73" w:rsidRPr="00865FE5">
        <w:t xml:space="preserve"> participation inclusive </w:t>
      </w:r>
      <w:r w:rsidR="00917124" w:rsidRPr="00865FE5">
        <w:t xml:space="preserve">tout en se </w:t>
      </w:r>
      <w:r w:rsidR="00B13D73" w:rsidRPr="00865FE5">
        <w:t>bas</w:t>
      </w:r>
      <w:r w:rsidR="00917124" w:rsidRPr="00865FE5">
        <w:t>ant</w:t>
      </w:r>
      <w:r w:rsidR="00B13D73" w:rsidRPr="00865FE5">
        <w:t xml:space="preserve"> sur l’accès égalitaire à l’information, avec une attention particulière aux groupes vulnérables</w:t>
      </w:r>
      <w:r w:rsidR="00917124" w:rsidRPr="00865FE5">
        <w:t xml:space="preserve">. </w:t>
      </w:r>
      <w:r w:rsidR="00027D08" w:rsidRPr="00865FE5">
        <w:t>L</w:t>
      </w:r>
      <w:r w:rsidR="00B13D73" w:rsidRPr="00865FE5">
        <w:t>a prise en compte des besoins s</w:t>
      </w:r>
      <w:r w:rsidR="00272D94" w:rsidRPr="00865FE5">
        <w:t xml:space="preserve">pécifiques de mobilisation et </w:t>
      </w:r>
      <w:r w:rsidR="00B13D73" w:rsidRPr="00865FE5">
        <w:t>de participation de chaque partie prenante</w:t>
      </w:r>
      <w:r w:rsidR="00917124" w:rsidRPr="00865FE5">
        <w:t xml:space="preserve"> est primordial</w:t>
      </w:r>
      <w:r w:rsidR="00027D08" w:rsidRPr="00865FE5">
        <w:t>e et</w:t>
      </w:r>
      <w:r w:rsidR="00B13D73" w:rsidRPr="00865FE5">
        <w:t xml:space="preserve"> particulièrement </w:t>
      </w:r>
      <w:r w:rsidR="00027D08" w:rsidRPr="00865FE5">
        <w:t xml:space="preserve">concernant </w:t>
      </w:r>
      <w:r w:rsidR="00B13D73" w:rsidRPr="00865FE5">
        <w:t xml:space="preserve">les femmes, les jeunes, les personnes âgées ainsi que la prise en compte de la spécificité culturelle des divers groupes ethniques. </w:t>
      </w:r>
    </w:p>
    <w:p w:rsidR="00F40D7E" w:rsidRPr="00865FE5" w:rsidRDefault="00F40D7E" w:rsidP="00A76F4A">
      <w:pPr>
        <w:autoSpaceDE w:val="0"/>
        <w:autoSpaceDN w:val="0"/>
        <w:adjustRightInd w:val="0"/>
        <w:ind w:right="12"/>
        <w:jc w:val="both"/>
      </w:pPr>
    </w:p>
    <w:p w:rsidR="00F40D7E" w:rsidRPr="00865FE5" w:rsidRDefault="00B13D73" w:rsidP="00A76F4A">
      <w:pPr>
        <w:autoSpaceDE w:val="0"/>
        <w:autoSpaceDN w:val="0"/>
        <w:adjustRightInd w:val="0"/>
        <w:ind w:right="12"/>
        <w:jc w:val="both"/>
      </w:pPr>
      <w:r w:rsidRPr="00865FE5">
        <w:t xml:space="preserve">Pour plus d’efficacité et de mobilisation adaptée aux différentes parties prenantes, celles-ci peuvent être divisées en catégories principales suivantes : </w:t>
      </w:r>
    </w:p>
    <w:p w:rsidR="00F40D7E" w:rsidRPr="00865FE5" w:rsidRDefault="00F40D7E" w:rsidP="00A76F4A">
      <w:pPr>
        <w:ind w:right="12"/>
        <w:rPr>
          <w:rFonts w:eastAsia="Times New Roman"/>
        </w:rPr>
      </w:pPr>
    </w:p>
    <w:p w:rsidR="00F40D7E" w:rsidRPr="00865FE5" w:rsidRDefault="00B13D73" w:rsidP="00A76F4A">
      <w:pPr>
        <w:pStyle w:val="PargrafodaLista"/>
        <w:numPr>
          <w:ilvl w:val="1"/>
          <w:numId w:val="115"/>
        </w:numPr>
        <w:ind w:left="993" w:right="12"/>
        <w:jc w:val="both"/>
        <w:rPr>
          <w:rFonts w:ascii="Times New Roman" w:eastAsia="Times New Roman" w:hAnsi="Times New Roman"/>
          <w:sz w:val="22"/>
          <w:szCs w:val="22"/>
        </w:rPr>
      </w:pPr>
      <w:r w:rsidRPr="00865FE5">
        <w:rPr>
          <w:rFonts w:ascii="Times New Roman" w:eastAsia="Times New Roman" w:hAnsi="Times New Roman"/>
          <w:sz w:val="22"/>
          <w:szCs w:val="22"/>
        </w:rPr>
        <w:lastRenderedPageBreak/>
        <w:t xml:space="preserve">Parties affectées : individus ou groupes d’individus se retrouvant dans la zone d’influence du projet </w:t>
      </w:r>
      <w:r w:rsidR="00F40D7E" w:rsidRPr="00865FE5">
        <w:rPr>
          <w:rFonts w:ascii="Times New Roman" w:eastAsia="Times New Roman" w:hAnsi="Times New Roman"/>
          <w:sz w:val="22"/>
          <w:szCs w:val="22"/>
        </w:rPr>
        <w:t xml:space="preserve">PUSA </w:t>
      </w:r>
      <w:r w:rsidRPr="00865FE5">
        <w:rPr>
          <w:rFonts w:ascii="Times New Roman" w:eastAsia="Times New Roman" w:hAnsi="Times New Roman"/>
          <w:sz w:val="22"/>
          <w:szCs w:val="22"/>
        </w:rPr>
        <w:t xml:space="preserve">qui pourraient être l’objet de mesures spécifiques pour leur mobilisation et la mitigation des risques du projet sur elles ; </w:t>
      </w:r>
    </w:p>
    <w:p w:rsidR="00F40D7E" w:rsidRPr="00865FE5" w:rsidRDefault="00B13D73" w:rsidP="00A76F4A">
      <w:pPr>
        <w:pStyle w:val="PargrafodaLista"/>
        <w:numPr>
          <w:ilvl w:val="1"/>
          <w:numId w:val="115"/>
        </w:numPr>
        <w:ind w:left="993" w:right="12"/>
        <w:jc w:val="both"/>
        <w:rPr>
          <w:rFonts w:ascii="Times New Roman" w:eastAsia="Times New Roman" w:hAnsi="Times New Roman"/>
          <w:sz w:val="22"/>
          <w:szCs w:val="22"/>
        </w:rPr>
      </w:pPr>
      <w:r w:rsidRPr="00865FE5">
        <w:rPr>
          <w:rFonts w:ascii="Times New Roman" w:eastAsia="Times New Roman" w:hAnsi="Times New Roman"/>
          <w:sz w:val="22"/>
          <w:szCs w:val="22"/>
        </w:rPr>
        <w:t xml:space="preserve">Parties intéressées : individus, groupes ou entités qui ne sont pas directement affectés par le projet mais dont les intérêts peuvent être touchés par le projet ou qu’elles-mêmes peuvent constituer un frein dans le processus de mise en œuvre du projet. </w:t>
      </w:r>
    </w:p>
    <w:p w:rsidR="00DC4A5A" w:rsidRPr="00865FE5" w:rsidRDefault="00B13D73" w:rsidP="00A76F4A">
      <w:pPr>
        <w:pStyle w:val="PargrafodaLista"/>
        <w:numPr>
          <w:ilvl w:val="1"/>
          <w:numId w:val="115"/>
        </w:numPr>
        <w:ind w:left="993" w:right="12"/>
        <w:jc w:val="both"/>
        <w:rPr>
          <w:rFonts w:ascii="Times New Roman" w:eastAsia="Times New Roman" w:hAnsi="Times New Roman"/>
          <w:sz w:val="22"/>
          <w:szCs w:val="22"/>
        </w:rPr>
      </w:pPr>
      <w:r w:rsidRPr="00865FE5">
        <w:rPr>
          <w:rFonts w:ascii="Times New Roman" w:eastAsia="Times New Roman" w:hAnsi="Times New Roman"/>
          <w:sz w:val="22"/>
          <w:szCs w:val="22"/>
        </w:rPr>
        <w:t xml:space="preserve">Les </w:t>
      </w:r>
      <w:r w:rsidR="00E04182">
        <w:rPr>
          <w:rFonts w:ascii="Times New Roman" w:eastAsia="Times New Roman" w:hAnsi="Times New Roman"/>
          <w:sz w:val="22"/>
          <w:szCs w:val="22"/>
        </w:rPr>
        <w:t>g</w:t>
      </w:r>
      <w:r w:rsidRPr="00865FE5">
        <w:rPr>
          <w:rFonts w:ascii="Times New Roman" w:eastAsia="Times New Roman" w:hAnsi="Times New Roman"/>
          <w:sz w:val="22"/>
          <w:szCs w:val="22"/>
        </w:rPr>
        <w:t xml:space="preserve">roupes vulnérables sont des personnes qui pourraient être disproportionnellement impactées par le projet en comparaison avec les autres groupes de personnes qui sont également affectées. Ceci exigera du projet </w:t>
      </w:r>
      <w:r w:rsidR="00DC4A5A" w:rsidRPr="00865FE5">
        <w:rPr>
          <w:rFonts w:ascii="Times New Roman" w:eastAsia="Times New Roman" w:hAnsi="Times New Roman"/>
          <w:sz w:val="22"/>
          <w:szCs w:val="22"/>
        </w:rPr>
        <w:t xml:space="preserve">PUSA </w:t>
      </w:r>
      <w:r w:rsidRPr="00865FE5">
        <w:rPr>
          <w:rFonts w:ascii="Times New Roman" w:eastAsia="Times New Roman" w:hAnsi="Times New Roman"/>
          <w:sz w:val="22"/>
          <w:szCs w:val="22"/>
        </w:rPr>
        <w:t xml:space="preserve">une prise en compte particulière de ces personnes durant les consultations et la participation aux activités du projet. </w:t>
      </w:r>
    </w:p>
    <w:p w:rsidR="00BC3D4C" w:rsidRPr="00865FE5" w:rsidRDefault="00BC3D4C" w:rsidP="00A76F4A">
      <w:pPr>
        <w:pStyle w:val="PargrafodaLista"/>
        <w:ind w:left="567" w:right="12"/>
        <w:jc w:val="both"/>
        <w:rPr>
          <w:rFonts w:ascii="Times New Roman" w:eastAsia="Times New Roman" w:hAnsi="Times New Roman"/>
          <w:sz w:val="22"/>
          <w:szCs w:val="22"/>
        </w:rPr>
      </w:pPr>
    </w:p>
    <w:p w:rsidR="00DC4A5A" w:rsidRPr="00865FE5" w:rsidRDefault="00B13D73"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22" w:name="_Toc75432331"/>
      <w:r w:rsidRPr="00865FE5">
        <w:rPr>
          <w:rFonts w:ascii="Times New Roman" w:hAnsi="Times New Roman"/>
          <w:b/>
          <w:bCs/>
          <w:sz w:val="24"/>
          <w:szCs w:val="24"/>
        </w:rPr>
        <w:t>Programme de mobilisation des parties prenantes</w:t>
      </w:r>
      <w:bookmarkEnd w:id="422"/>
      <w:r w:rsidRPr="00865FE5">
        <w:rPr>
          <w:rFonts w:ascii="Times New Roman" w:hAnsi="Times New Roman"/>
          <w:b/>
          <w:bCs/>
          <w:sz w:val="24"/>
          <w:szCs w:val="24"/>
        </w:rPr>
        <w:t xml:space="preserve"> </w:t>
      </w:r>
    </w:p>
    <w:p w:rsidR="00077477" w:rsidRPr="00865FE5" w:rsidRDefault="00B13D73" w:rsidP="00A76F4A">
      <w:pPr>
        <w:autoSpaceDE w:val="0"/>
        <w:autoSpaceDN w:val="0"/>
        <w:adjustRightInd w:val="0"/>
        <w:ind w:right="12"/>
        <w:jc w:val="both"/>
      </w:pPr>
      <w:r w:rsidRPr="00865FE5">
        <w:t>L’engagement des parties prenantes sera un processus continu et dynamique qui s’étendra sur la durée de vie du projet</w:t>
      </w:r>
      <w:r w:rsidR="00DC4A5A" w:rsidRPr="00865FE5">
        <w:t xml:space="preserve"> PUSA</w:t>
      </w:r>
      <w:r w:rsidRPr="00865FE5">
        <w:t xml:space="preserve">. Ce chapitre vise à décrire les types d’informations qui seront divulgués et leurs formats respectifs. Il s’agit également de déterminer les </w:t>
      </w:r>
      <w:r w:rsidR="00135C9A" w:rsidRPr="00865FE5">
        <w:t xml:space="preserve">meilleures </w:t>
      </w:r>
      <w:r w:rsidRPr="00865FE5">
        <w:t>méthodes qui seront utilisées pour véhiculer les informations, et surtout celles spécifiques qui seront utilisées à l’intention de chaque groupe identifié dans les sections précédentes.</w:t>
      </w:r>
    </w:p>
    <w:p w:rsidR="00B15370" w:rsidRPr="00865FE5" w:rsidRDefault="00B15370" w:rsidP="00A76F4A">
      <w:pPr>
        <w:autoSpaceDE w:val="0"/>
        <w:autoSpaceDN w:val="0"/>
        <w:adjustRightInd w:val="0"/>
        <w:ind w:right="12"/>
        <w:jc w:val="both"/>
      </w:pPr>
      <w:bookmarkStart w:id="423" w:name="OLE_LINK5"/>
      <w:bookmarkStart w:id="424" w:name="OLE_LINK6"/>
      <w:r w:rsidRPr="00865FE5">
        <w:t>Dans toutes les stratégies de communication du projet PUSA, les questions relatives à l'impact des activités du projet sur les filles et les femmes seront abordées et en particulier sur les risques d'exploitation et d'abus sexuels ou de harcèlement sexuel (EAS/HS). Les filles et les femmes seront également informées du contenu du code de conduite et consultées sur les moyens sûrs et accessibles par lesquels les survivantes d'EAS/HS pourraient signaler une mauvaise conduite du personnel du projet, elles seront également informées des services disponibles pour les survivantes de la VBG dans leurs communautés. Veuillez noter que ces consultations NE DEVRAIENT JAMAIS essayer d'identifier les survivant(e)s de la violence, mais ils devraient viser à identifier les tendances et les défis généraux. Si une personne, pendant ou après la réunion de consultation, révèle la violence dont elle est victime, le facilitateur doit l’orienter vers le fournisseur de services de VBG le plus proche (les informations sur les services disponibles localement doivent être recueillies avant consultations).</w:t>
      </w:r>
      <w:bookmarkEnd w:id="423"/>
      <w:bookmarkEnd w:id="424"/>
    </w:p>
    <w:p w:rsidR="001F0D60" w:rsidRPr="00865FE5" w:rsidRDefault="001F0D60" w:rsidP="00A76F4A">
      <w:pPr>
        <w:ind w:left="-284" w:right="12"/>
        <w:jc w:val="both"/>
      </w:pPr>
    </w:p>
    <w:p w:rsidR="00526E81" w:rsidRPr="008142E8" w:rsidRDefault="00526E81" w:rsidP="00A76F4A">
      <w:pPr>
        <w:pStyle w:val="PargrafodaLista"/>
        <w:numPr>
          <w:ilvl w:val="3"/>
          <w:numId w:val="283"/>
        </w:numPr>
        <w:spacing w:after="120" w:line="240" w:lineRule="auto"/>
        <w:ind w:left="3402" w:right="12"/>
        <w:outlineLvl w:val="1"/>
        <w:rPr>
          <w:rFonts w:ascii="Times New Roman" w:hAnsi="Times New Roman"/>
          <w:b/>
          <w:bCs/>
          <w:sz w:val="24"/>
          <w:szCs w:val="24"/>
        </w:rPr>
      </w:pPr>
      <w:bookmarkStart w:id="425" w:name="_Toc75432332"/>
      <w:r w:rsidRPr="00865FE5">
        <w:rPr>
          <w:rFonts w:ascii="Times New Roman" w:hAnsi="Times New Roman"/>
          <w:b/>
          <w:bCs/>
          <w:sz w:val="24"/>
          <w:szCs w:val="24"/>
        </w:rPr>
        <w:t>Les besoins et méthodes, outils et techniques des parties prenantes du projet pour l'engagement des parties prenantes</w:t>
      </w:r>
      <w:bookmarkEnd w:id="425"/>
    </w:p>
    <w:p w:rsidR="00526E81" w:rsidRDefault="00526E81" w:rsidP="00A76F4A">
      <w:pPr>
        <w:autoSpaceDE w:val="0"/>
        <w:autoSpaceDN w:val="0"/>
        <w:adjustRightInd w:val="0"/>
        <w:ind w:right="12"/>
        <w:jc w:val="both"/>
      </w:pPr>
      <w:r w:rsidRPr="00C96C16">
        <w:t>Le projet</w:t>
      </w:r>
      <w:r w:rsidR="00CD646A" w:rsidRPr="00C96C16">
        <w:t xml:space="preserve"> PUSA</w:t>
      </w:r>
      <w:r w:rsidRPr="00C96C16">
        <w:t xml:space="preserve"> soutiendra une campagne de communication, de mobilisation et d'engagement communautaire pour sensibiliser le public et sensibiliser le public à la prévention et au contrôle du COVID-19 au sein de la population générale. Il contribuera au renforcement des capacités des structures communautaires dans la promotion des messages de prévention des coronavirus. Le projet coordonnera et surveillera toutes les interventions de communication et le développement du matériel aux niveaux national et régional pendant la mise en œuvre.</w:t>
      </w:r>
    </w:p>
    <w:p w:rsidR="00045EAE" w:rsidRPr="00865FE5" w:rsidRDefault="00045EAE" w:rsidP="00A76F4A">
      <w:pPr>
        <w:autoSpaceDE w:val="0"/>
        <w:autoSpaceDN w:val="0"/>
        <w:adjustRightInd w:val="0"/>
        <w:ind w:left="142" w:right="12"/>
        <w:jc w:val="both"/>
      </w:pPr>
    </w:p>
    <w:p w:rsidR="00526E81" w:rsidRPr="008142E8" w:rsidRDefault="00526E81" w:rsidP="00A76F4A">
      <w:pPr>
        <w:pStyle w:val="PargrafodaLista"/>
        <w:numPr>
          <w:ilvl w:val="3"/>
          <w:numId w:val="283"/>
        </w:numPr>
        <w:spacing w:after="120" w:line="240" w:lineRule="auto"/>
        <w:ind w:left="3402" w:right="12"/>
        <w:outlineLvl w:val="1"/>
        <w:rPr>
          <w:rFonts w:ascii="Times New Roman" w:hAnsi="Times New Roman"/>
          <w:b/>
          <w:bCs/>
          <w:sz w:val="24"/>
          <w:szCs w:val="24"/>
        </w:rPr>
      </w:pPr>
      <w:bookmarkStart w:id="426" w:name="_Toc75432333"/>
      <w:r w:rsidRPr="00865FE5">
        <w:rPr>
          <w:rFonts w:ascii="Times New Roman" w:hAnsi="Times New Roman"/>
          <w:b/>
          <w:bCs/>
          <w:sz w:val="24"/>
          <w:szCs w:val="24"/>
        </w:rPr>
        <w:t>Proposition de stratégie de consultation</w:t>
      </w:r>
      <w:bookmarkEnd w:id="426"/>
    </w:p>
    <w:p w:rsidR="00526E81" w:rsidRPr="009C1D9E" w:rsidRDefault="00526E81" w:rsidP="00A76F4A">
      <w:pPr>
        <w:autoSpaceDE w:val="0"/>
        <w:autoSpaceDN w:val="0"/>
        <w:adjustRightInd w:val="0"/>
        <w:ind w:right="12"/>
        <w:jc w:val="both"/>
      </w:pPr>
      <w:r w:rsidRPr="009C1D9E">
        <w:t xml:space="preserve">Le projet </w:t>
      </w:r>
      <w:r w:rsidR="00B262DB" w:rsidRPr="009C1D9E">
        <w:t xml:space="preserve">PUSA </w:t>
      </w:r>
      <w:r w:rsidRPr="009C1D9E">
        <w:t xml:space="preserve">veillera à ce que les activités soient inclusives et culturellement sensibles, en s'assurant que les groupes vulnérables décrits ci-dessus bénéficient également du projet. Dans le cadre de cet effort, le projet accordera la priorité à la communication en face à face, y compris la sensibilisation des ménages, les groupes de discussion et les consultations de village en utilisant différentes langues et images, si nécessaire. Le projet reconnaîtra que </w:t>
      </w:r>
      <w:r w:rsidRPr="009C1D9E">
        <w:lastRenderedPageBreak/>
        <w:t>certains groupes (ex femmes, filles, minorités, personnes vivant avec un handicap, etc.) peuvent avoir des difficultés à participer aux activités d'engagement des parties prenantes en raison du genre et des normes sociales et planifiera donc des activités spécifiques et séparées pour de petits groupes divisés par sexe et âge et facilité par une personne du même sexe pour favoriser les échanges libres et ouverts.</w:t>
      </w:r>
    </w:p>
    <w:p w:rsidR="00526E81" w:rsidRPr="009C1D9E" w:rsidRDefault="00526E81" w:rsidP="00A76F4A">
      <w:pPr>
        <w:autoSpaceDE w:val="0"/>
        <w:autoSpaceDN w:val="0"/>
        <w:adjustRightInd w:val="0"/>
        <w:ind w:right="12"/>
        <w:jc w:val="both"/>
      </w:pPr>
    </w:p>
    <w:p w:rsidR="00526E81" w:rsidRPr="009C1D9E" w:rsidRDefault="00526E81" w:rsidP="00A76F4A">
      <w:pPr>
        <w:autoSpaceDE w:val="0"/>
        <w:autoSpaceDN w:val="0"/>
        <w:adjustRightInd w:val="0"/>
        <w:ind w:right="12"/>
        <w:jc w:val="both"/>
      </w:pPr>
      <w:r w:rsidRPr="009C1D9E">
        <w:t xml:space="preserve">Le projet </w:t>
      </w:r>
      <w:r w:rsidR="006D2FE7" w:rsidRPr="009C1D9E">
        <w:t xml:space="preserve">PUSA </w:t>
      </w:r>
      <w:r w:rsidRPr="009C1D9E">
        <w:t>informera et engagera les parties prenantes sur la performance environnementale et sociale du projet et la mise en œuvre du plan d'engagement des parties prenantes et du mécanisme de réclamation tout au long du projet. Les activités d'information et d'engagement comprendront des sujets liés à l'exploitation et aux abus sexuels (E</w:t>
      </w:r>
      <w:r w:rsidR="006F6BFB" w:rsidRPr="009C1D9E">
        <w:t>A</w:t>
      </w:r>
      <w:r w:rsidRPr="009C1D9E">
        <w:t>S), au harcèlement sexuel (SH) ou à d'autres types de violence basée sur le genre (VBG) qui pourraient être touchés par le projet ou la pandémie COVID-19; il informera les parties prenantes du contenu du code de conduite des travailleurs, des comportements inacceptables et des sanctions prévues, ainsi que des informations sur la manière de soulever des préoccupations et des plaintes concernant le projet, à quoi ressemblent les procédures de gestion des plaintes comme et quels services sont disponibles pour les survivants d</w:t>
      </w:r>
      <w:r w:rsidR="006F6BFB" w:rsidRPr="009C1D9E">
        <w:t>’EAS/HS.</w:t>
      </w:r>
    </w:p>
    <w:p w:rsidR="00526E81" w:rsidRPr="00865FE5" w:rsidRDefault="00526E81" w:rsidP="00A76F4A">
      <w:pPr>
        <w:autoSpaceDE w:val="0"/>
        <w:autoSpaceDN w:val="0"/>
        <w:adjustRightInd w:val="0"/>
        <w:ind w:left="142" w:right="12"/>
        <w:jc w:val="both"/>
      </w:pPr>
    </w:p>
    <w:p w:rsidR="00EB02FB" w:rsidRPr="00865FE5" w:rsidRDefault="00B13D73"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27" w:name="_Toc75432334"/>
      <w:r w:rsidRPr="00865FE5">
        <w:rPr>
          <w:rFonts w:ascii="Times New Roman" w:hAnsi="Times New Roman"/>
          <w:b/>
          <w:bCs/>
          <w:sz w:val="24"/>
          <w:szCs w:val="24"/>
        </w:rPr>
        <w:t>Objectifs et calendrier de méthode de mobilisation</w:t>
      </w:r>
      <w:bookmarkEnd w:id="427"/>
    </w:p>
    <w:p w:rsidR="00EB02FB" w:rsidRPr="00865FE5" w:rsidRDefault="00B13D73" w:rsidP="00A76F4A">
      <w:pPr>
        <w:autoSpaceDE w:val="0"/>
        <w:autoSpaceDN w:val="0"/>
        <w:adjustRightInd w:val="0"/>
        <w:ind w:right="12"/>
        <w:jc w:val="both"/>
      </w:pPr>
      <w:r w:rsidRPr="00865FE5">
        <w:t>Cette partie devra être mise à jour au fur et à mesure de l’avancement du projet</w:t>
      </w:r>
      <w:r w:rsidR="00EB02FB" w:rsidRPr="00865FE5">
        <w:t xml:space="preserve"> PUSA</w:t>
      </w:r>
      <w:r w:rsidRPr="00865FE5">
        <w:t xml:space="preserve">. Elle comprendra : </w:t>
      </w:r>
    </w:p>
    <w:p w:rsidR="00EB02FB" w:rsidRPr="00865FE5" w:rsidRDefault="00B13D73" w:rsidP="00A76F4A">
      <w:pPr>
        <w:pStyle w:val="PargrafodaLista"/>
        <w:numPr>
          <w:ilvl w:val="0"/>
          <w:numId w:val="32"/>
        </w:numPr>
        <w:ind w:right="12"/>
        <w:jc w:val="both"/>
        <w:rPr>
          <w:rFonts w:ascii="Times New Roman" w:hAnsi="Times New Roman"/>
          <w:sz w:val="22"/>
          <w:szCs w:val="22"/>
        </w:rPr>
      </w:pPr>
      <w:r w:rsidRPr="00865FE5">
        <w:rPr>
          <w:rFonts w:ascii="Times New Roman" w:hAnsi="Times New Roman"/>
          <w:sz w:val="22"/>
          <w:szCs w:val="22"/>
        </w:rPr>
        <w:t xml:space="preserve">Un résumé des principaux objectifs du plan de mobilisation des parties prenantes ; </w:t>
      </w:r>
    </w:p>
    <w:p w:rsidR="00EB02FB" w:rsidRPr="00865FE5" w:rsidRDefault="00B13D73" w:rsidP="00A76F4A">
      <w:pPr>
        <w:pStyle w:val="PargrafodaLista"/>
        <w:numPr>
          <w:ilvl w:val="0"/>
          <w:numId w:val="32"/>
        </w:numPr>
        <w:ind w:right="12"/>
        <w:jc w:val="both"/>
        <w:rPr>
          <w:rFonts w:ascii="Times New Roman" w:hAnsi="Times New Roman"/>
          <w:sz w:val="22"/>
          <w:szCs w:val="22"/>
        </w:rPr>
      </w:pPr>
      <w:r w:rsidRPr="00865FE5">
        <w:rPr>
          <w:rFonts w:ascii="Times New Roman" w:hAnsi="Times New Roman"/>
          <w:sz w:val="22"/>
          <w:szCs w:val="22"/>
        </w:rPr>
        <w:t xml:space="preserve">Un calendrier pour toutes les opérations liées au projet à travers ses composantes diverses. </w:t>
      </w:r>
    </w:p>
    <w:p w:rsidR="004B0C23" w:rsidRPr="00865FE5" w:rsidRDefault="00135C9A" w:rsidP="00A76F4A">
      <w:pPr>
        <w:autoSpaceDE w:val="0"/>
        <w:autoSpaceDN w:val="0"/>
        <w:adjustRightInd w:val="0"/>
        <w:ind w:right="12"/>
        <w:jc w:val="both"/>
      </w:pPr>
      <w:r w:rsidRPr="00865FE5">
        <w:t>L’UC</w:t>
      </w:r>
      <w:r w:rsidR="00B13D73" w:rsidRPr="00865FE5">
        <w:t xml:space="preserve">P du projet </w:t>
      </w:r>
      <w:r w:rsidR="00286B6C" w:rsidRPr="00865FE5">
        <w:t xml:space="preserve">PUSA </w:t>
      </w:r>
      <w:r w:rsidR="00B13D73" w:rsidRPr="00865FE5">
        <w:t>mettra à jour le plan de mobilisation des parties prenantes, notamment afin de confirmer les rôles et responsabilités de</w:t>
      </w:r>
      <w:r w:rsidR="004B0C23" w:rsidRPr="00865FE5">
        <w:t>s différentes parties prenantes</w:t>
      </w:r>
      <w:r w:rsidR="00B13D73" w:rsidRPr="00865FE5">
        <w:t xml:space="preserve">. </w:t>
      </w:r>
    </w:p>
    <w:p w:rsidR="004B0C23" w:rsidRPr="00865FE5" w:rsidRDefault="004B0C23" w:rsidP="00A76F4A">
      <w:pPr>
        <w:ind w:right="12"/>
        <w:rPr>
          <w:rFonts w:eastAsia="Times New Roman"/>
        </w:rPr>
      </w:pPr>
    </w:p>
    <w:p w:rsidR="004B0C23" w:rsidRPr="00865FE5" w:rsidRDefault="00B13D73"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28" w:name="_Toc75432335"/>
      <w:r w:rsidRPr="00865FE5">
        <w:rPr>
          <w:rFonts w:ascii="Times New Roman" w:hAnsi="Times New Roman"/>
          <w:b/>
          <w:bCs/>
          <w:sz w:val="24"/>
          <w:szCs w:val="24"/>
        </w:rPr>
        <w:t>Stratégie proposée pour la diffusion des informations</w:t>
      </w:r>
      <w:bookmarkEnd w:id="428"/>
      <w:r w:rsidRPr="00865FE5">
        <w:rPr>
          <w:rFonts w:ascii="Times New Roman" w:hAnsi="Times New Roman"/>
          <w:b/>
          <w:bCs/>
          <w:sz w:val="24"/>
          <w:szCs w:val="24"/>
        </w:rPr>
        <w:t xml:space="preserve"> </w:t>
      </w:r>
    </w:p>
    <w:p w:rsidR="00B13D73" w:rsidRPr="009C1D9E" w:rsidRDefault="00B13D73" w:rsidP="00A76F4A">
      <w:pPr>
        <w:autoSpaceDE w:val="0"/>
        <w:autoSpaceDN w:val="0"/>
        <w:adjustRightInd w:val="0"/>
        <w:ind w:left="142" w:right="12"/>
        <w:jc w:val="both"/>
      </w:pPr>
      <w:r w:rsidRPr="009C1D9E">
        <w:t xml:space="preserve">Il s’agira </w:t>
      </w:r>
      <w:r w:rsidR="006663F3" w:rsidRPr="009C1D9E">
        <w:t>de :</w:t>
      </w:r>
    </w:p>
    <w:p w:rsidR="00EA3902" w:rsidRPr="00865FE5" w:rsidRDefault="00EA3902" w:rsidP="00A76F4A">
      <w:pPr>
        <w:pStyle w:val="PargrafodaLista"/>
        <w:numPr>
          <w:ilvl w:val="0"/>
          <w:numId w:val="32"/>
        </w:numPr>
        <w:ind w:right="12"/>
        <w:jc w:val="both"/>
        <w:rPr>
          <w:rFonts w:ascii="Times New Roman" w:hAnsi="Times New Roman"/>
          <w:sz w:val="22"/>
          <w:szCs w:val="22"/>
        </w:rPr>
      </w:pPr>
      <w:r w:rsidRPr="00865FE5">
        <w:rPr>
          <w:rFonts w:ascii="Times New Roman" w:hAnsi="Times New Roman"/>
          <w:sz w:val="22"/>
          <w:szCs w:val="22"/>
        </w:rPr>
        <w:t>Décrire les informations qui seront communiquées ;</w:t>
      </w:r>
    </w:p>
    <w:p w:rsidR="00EA3902" w:rsidRPr="00865FE5" w:rsidRDefault="00EA3902" w:rsidP="00A76F4A">
      <w:pPr>
        <w:pStyle w:val="PargrafodaLista"/>
        <w:numPr>
          <w:ilvl w:val="0"/>
          <w:numId w:val="32"/>
        </w:numPr>
        <w:ind w:right="12"/>
        <w:jc w:val="both"/>
        <w:rPr>
          <w:rFonts w:ascii="Times New Roman" w:hAnsi="Times New Roman"/>
          <w:sz w:val="22"/>
          <w:szCs w:val="22"/>
        </w:rPr>
      </w:pPr>
      <w:r w:rsidRPr="00865FE5">
        <w:rPr>
          <w:rFonts w:ascii="Times New Roman" w:hAnsi="Times New Roman"/>
          <w:sz w:val="22"/>
          <w:szCs w:val="22"/>
        </w:rPr>
        <w:t xml:space="preserve">Définir les formats de communication, et </w:t>
      </w:r>
    </w:p>
    <w:p w:rsidR="005C3EB7" w:rsidRPr="00865FE5" w:rsidRDefault="00EA3902" w:rsidP="00A76F4A">
      <w:pPr>
        <w:pStyle w:val="PargrafodaLista"/>
        <w:numPr>
          <w:ilvl w:val="0"/>
          <w:numId w:val="32"/>
        </w:numPr>
        <w:ind w:right="12"/>
        <w:jc w:val="both"/>
        <w:rPr>
          <w:rFonts w:ascii="Times New Roman" w:hAnsi="Times New Roman"/>
          <w:sz w:val="22"/>
          <w:szCs w:val="22"/>
        </w:rPr>
      </w:pPr>
      <w:r w:rsidRPr="00865FE5">
        <w:rPr>
          <w:rFonts w:ascii="Times New Roman" w:hAnsi="Times New Roman"/>
          <w:sz w:val="22"/>
          <w:szCs w:val="22"/>
        </w:rPr>
        <w:t>Définir les modes de communication</w:t>
      </w:r>
      <w:r w:rsidR="005C3EB7" w:rsidRPr="00865FE5">
        <w:rPr>
          <w:rFonts w:ascii="Times New Roman" w:hAnsi="Times New Roman"/>
          <w:sz w:val="22"/>
          <w:szCs w:val="22"/>
        </w:rPr>
        <w:t>.</w:t>
      </w:r>
    </w:p>
    <w:p w:rsidR="005C3EB7" w:rsidRPr="00A05698" w:rsidRDefault="005C3EB7" w:rsidP="00A76F4A">
      <w:pPr>
        <w:pStyle w:val="PargrafodaLista"/>
        <w:numPr>
          <w:ilvl w:val="1"/>
          <w:numId w:val="32"/>
        </w:numPr>
        <w:spacing w:after="120" w:line="240" w:lineRule="auto"/>
        <w:ind w:right="12"/>
        <w:outlineLvl w:val="1"/>
        <w:rPr>
          <w:rFonts w:ascii="Times New Roman" w:hAnsi="Times New Roman"/>
          <w:b/>
          <w:bCs/>
          <w:sz w:val="24"/>
          <w:szCs w:val="24"/>
        </w:rPr>
      </w:pPr>
      <w:bookmarkStart w:id="429" w:name="_Toc75432336"/>
      <w:r w:rsidRPr="00A05698">
        <w:rPr>
          <w:rFonts w:ascii="Times New Roman" w:hAnsi="Times New Roman"/>
          <w:b/>
          <w:bCs/>
          <w:sz w:val="24"/>
          <w:szCs w:val="24"/>
        </w:rPr>
        <w:t>Méthodes de notification</w:t>
      </w:r>
      <w:bookmarkEnd w:id="429"/>
    </w:p>
    <w:p w:rsidR="005C3EB7" w:rsidRPr="00A05698" w:rsidRDefault="005C3EB7" w:rsidP="00A76F4A">
      <w:pPr>
        <w:autoSpaceDE w:val="0"/>
        <w:autoSpaceDN w:val="0"/>
        <w:adjustRightInd w:val="0"/>
        <w:ind w:right="12"/>
        <w:jc w:val="both"/>
      </w:pPr>
      <w:r w:rsidRPr="00A05698">
        <w:t xml:space="preserve">Les méthodes de notification suivantes seront utilisées pour informer les parties prenantes au processus de mobilisation continu. </w:t>
      </w:r>
    </w:p>
    <w:p w:rsidR="00A2541C" w:rsidRPr="00A05698" w:rsidRDefault="00A2541C" w:rsidP="00A76F4A">
      <w:pPr>
        <w:ind w:right="12"/>
        <w:rPr>
          <w:rFonts w:eastAsia="Times New Roman"/>
        </w:rPr>
      </w:pPr>
    </w:p>
    <w:tbl>
      <w:tblPr>
        <w:tblStyle w:val="Tabelacomgrelha"/>
        <w:tblW w:w="10910" w:type="dxa"/>
        <w:jc w:val="center"/>
        <w:tblLook w:val="04A0" w:firstRow="1" w:lastRow="0" w:firstColumn="1" w:lastColumn="0" w:noHBand="0" w:noVBand="1"/>
      </w:tblPr>
      <w:tblGrid>
        <w:gridCol w:w="1787"/>
        <w:gridCol w:w="9123"/>
      </w:tblGrid>
      <w:tr w:rsidR="00C92FAD" w:rsidRPr="00CF3BDE" w:rsidTr="00114EE1">
        <w:trPr>
          <w:trHeight w:val="55"/>
          <w:jc w:val="center"/>
        </w:trPr>
        <w:tc>
          <w:tcPr>
            <w:tcW w:w="1787" w:type="dxa"/>
            <w:shd w:val="clear" w:color="auto" w:fill="DEEAF6" w:themeFill="accent1" w:themeFillTint="33"/>
          </w:tcPr>
          <w:p w:rsidR="00B34292" w:rsidRPr="00CF3BDE" w:rsidRDefault="00B34292" w:rsidP="00A76F4A">
            <w:pPr>
              <w:keepNext/>
              <w:ind w:right="12"/>
              <w:jc w:val="center"/>
              <w:outlineLvl w:val="1"/>
              <w:rPr>
                <w:b/>
                <w:sz w:val="21"/>
                <w:szCs w:val="21"/>
              </w:rPr>
            </w:pPr>
            <w:bookmarkStart w:id="430" w:name="_Toc62927821"/>
            <w:bookmarkStart w:id="431" w:name="_Toc63695063"/>
            <w:bookmarkStart w:id="432" w:name="_Toc67508541"/>
            <w:bookmarkStart w:id="433" w:name="_Toc73459780"/>
            <w:bookmarkStart w:id="434" w:name="_Toc75432337"/>
            <w:r w:rsidRPr="00CF3BDE">
              <w:rPr>
                <w:rFonts w:eastAsia="Times New Roman"/>
                <w:sz w:val="21"/>
                <w:szCs w:val="21"/>
              </w:rPr>
              <w:t>Technique de mobilisation</w:t>
            </w:r>
            <w:bookmarkEnd w:id="430"/>
            <w:bookmarkEnd w:id="431"/>
            <w:bookmarkEnd w:id="432"/>
            <w:bookmarkEnd w:id="433"/>
            <w:bookmarkEnd w:id="434"/>
          </w:p>
        </w:tc>
        <w:tc>
          <w:tcPr>
            <w:tcW w:w="9123" w:type="dxa"/>
            <w:shd w:val="clear" w:color="auto" w:fill="DEEAF6" w:themeFill="accent1" w:themeFillTint="33"/>
            <w:vAlign w:val="center"/>
          </w:tcPr>
          <w:p w:rsidR="00B34292" w:rsidRPr="00CF3BDE" w:rsidRDefault="00B34292" w:rsidP="00A76F4A">
            <w:pPr>
              <w:keepNext/>
              <w:ind w:right="12"/>
              <w:jc w:val="center"/>
              <w:outlineLvl w:val="1"/>
              <w:rPr>
                <w:b/>
                <w:sz w:val="21"/>
                <w:szCs w:val="21"/>
              </w:rPr>
            </w:pPr>
            <w:bookmarkStart w:id="435" w:name="_Toc62927822"/>
            <w:bookmarkStart w:id="436" w:name="_Toc63695064"/>
            <w:bookmarkStart w:id="437" w:name="_Toc67508542"/>
            <w:bookmarkStart w:id="438" w:name="_Toc73459781"/>
            <w:bookmarkStart w:id="439" w:name="_Toc75432338"/>
            <w:r w:rsidRPr="00CF3BDE">
              <w:rPr>
                <w:rFonts w:eastAsia="Times New Roman"/>
                <w:sz w:val="21"/>
                <w:szCs w:val="21"/>
              </w:rPr>
              <w:t>Application appropriée de la technique</w:t>
            </w:r>
            <w:bookmarkEnd w:id="435"/>
            <w:bookmarkEnd w:id="436"/>
            <w:bookmarkEnd w:id="437"/>
            <w:bookmarkEnd w:id="438"/>
            <w:bookmarkEnd w:id="439"/>
          </w:p>
        </w:tc>
      </w:tr>
      <w:tr w:rsidR="00C92FAD" w:rsidRPr="00CF3BDE" w:rsidTr="00114EE1">
        <w:trPr>
          <w:jc w:val="center"/>
        </w:trPr>
        <w:tc>
          <w:tcPr>
            <w:tcW w:w="1787" w:type="dxa"/>
            <w:vAlign w:val="center"/>
          </w:tcPr>
          <w:p w:rsidR="00B34292" w:rsidRPr="00CF3BDE" w:rsidRDefault="00B34292" w:rsidP="00A76F4A">
            <w:pPr>
              <w:ind w:right="12"/>
              <w:jc w:val="center"/>
              <w:rPr>
                <w:rFonts w:eastAsia="Times New Roman"/>
                <w:sz w:val="21"/>
                <w:szCs w:val="21"/>
              </w:rPr>
            </w:pPr>
            <w:r w:rsidRPr="00CF3BDE">
              <w:rPr>
                <w:rFonts w:eastAsia="Times New Roman"/>
                <w:sz w:val="21"/>
                <w:szCs w:val="21"/>
              </w:rPr>
              <w:t>Correspondances, mails, téléphones</w:t>
            </w:r>
          </w:p>
          <w:p w:rsidR="00B34292" w:rsidRPr="00CF3BDE" w:rsidRDefault="00B34292" w:rsidP="00A76F4A">
            <w:pPr>
              <w:keepNext/>
              <w:ind w:right="12"/>
              <w:jc w:val="center"/>
              <w:outlineLvl w:val="1"/>
              <w:rPr>
                <w:b/>
                <w:sz w:val="21"/>
                <w:szCs w:val="21"/>
              </w:rPr>
            </w:pPr>
          </w:p>
        </w:tc>
        <w:tc>
          <w:tcPr>
            <w:tcW w:w="9123" w:type="dxa"/>
          </w:tcPr>
          <w:p w:rsidR="00B34292" w:rsidRPr="00CF3BDE" w:rsidRDefault="00AF5D6A" w:rsidP="00A76F4A">
            <w:pPr>
              <w:ind w:right="12"/>
              <w:jc w:val="both"/>
              <w:rPr>
                <w:rFonts w:eastAsia="Times New Roman"/>
                <w:sz w:val="21"/>
                <w:szCs w:val="21"/>
              </w:rPr>
            </w:pPr>
            <w:r w:rsidRPr="00CF3BDE">
              <w:rPr>
                <w:rFonts w:eastAsia="Times New Roman"/>
                <w:sz w:val="21"/>
                <w:szCs w:val="21"/>
              </w:rPr>
              <w:t>Fournir des informations aux parties prenantes, notamment celles concernées (</w:t>
            </w:r>
            <w:r w:rsidR="00D57352" w:rsidRPr="00CF3BDE">
              <w:rPr>
                <w:rFonts w:eastAsia="Times New Roman"/>
                <w:sz w:val="21"/>
                <w:szCs w:val="21"/>
              </w:rPr>
              <w:t xml:space="preserve">ministère de l'agriculture et du développement rural développement et ses services et des directions régionales et nationale, les représentants des communautés locales : les autorités traditionnelles, les autorités locales (Mairies), les leaders religieux, les associations des agriculteurs, les associations des Jeunes et des Femmes, et la société civiles (ONGs locales), </w:t>
            </w:r>
            <w:r w:rsidRPr="00CF3BDE">
              <w:rPr>
                <w:rFonts w:eastAsia="Times New Roman"/>
                <w:sz w:val="21"/>
                <w:szCs w:val="21"/>
              </w:rPr>
              <w:t xml:space="preserve">etc. Inviter les parties prenantes aux réunions et au suivi tout en prenant en compte </w:t>
            </w:r>
            <w:r w:rsidR="00442310" w:rsidRPr="00CF3BDE">
              <w:rPr>
                <w:rFonts w:eastAsia="Times New Roman"/>
                <w:sz w:val="21"/>
                <w:szCs w:val="21"/>
              </w:rPr>
              <w:t>les protocoles de sécurité pour éviter la propagation de la pandémie de la Covid 19</w:t>
            </w:r>
            <w:r w:rsidR="004777F9" w:rsidRPr="00CF3BDE">
              <w:rPr>
                <w:rFonts w:eastAsia="Times New Roman"/>
                <w:sz w:val="21"/>
                <w:szCs w:val="21"/>
              </w:rPr>
              <w:t> ;</w:t>
            </w:r>
          </w:p>
        </w:tc>
      </w:tr>
      <w:tr w:rsidR="00C92FAD" w:rsidRPr="00CF3BDE" w:rsidTr="00114EE1">
        <w:trPr>
          <w:jc w:val="center"/>
        </w:trPr>
        <w:tc>
          <w:tcPr>
            <w:tcW w:w="1787" w:type="dxa"/>
            <w:vAlign w:val="center"/>
          </w:tcPr>
          <w:p w:rsidR="00AF5D6A" w:rsidRPr="00CF3BDE" w:rsidRDefault="00AF5D6A" w:rsidP="00A76F4A">
            <w:pPr>
              <w:ind w:right="12"/>
              <w:jc w:val="center"/>
              <w:rPr>
                <w:rFonts w:eastAsia="Times New Roman"/>
                <w:sz w:val="21"/>
                <w:szCs w:val="21"/>
              </w:rPr>
            </w:pPr>
            <w:r w:rsidRPr="00CF3BDE">
              <w:rPr>
                <w:rFonts w:eastAsia="Times New Roman"/>
                <w:sz w:val="21"/>
                <w:szCs w:val="21"/>
              </w:rPr>
              <w:t>Réunions individuelles</w:t>
            </w:r>
          </w:p>
          <w:p w:rsidR="00B34292" w:rsidRPr="00CF3BDE" w:rsidRDefault="00B34292" w:rsidP="00A76F4A">
            <w:pPr>
              <w:keepNext/>
              <w:ind w:right="12"/>
              <w:jc w:val="center"/>
              <w:outlineLvl w:val="1"/>
              <w:rPr>
                <w:b/>
                <w:sz w:val="21"/>
                <w:szCs w:val="21"/>
              </w:rPr>
            </w:pPr>
          </w:p>
        </w:tc>
        <w:tc>
          <w:tcPr>
            <w:tcW w:w="9123" w:type="dxa"/>
          </w:tcPr>
          <w:p w:rsidR="004777F9" w:rsidRPr="00CF3BDE" w:rsidRDefault="00AF5D6A" w:rsidP="00A76F4A">
            <w:pPr>
              <w:ind w:right="12"/>
              <w:jc w:val="both"/>
              <w:rPr>
                <w:rFonts w:eastAsia="Times New Roman"/>
                <w:sz w:val="21"/>
                <w:szCs w:val="21"/>
              </w:rPr>
            </w:pPr>
            <w:r w:rsidRPr="00CF3BDE">
              <w:rPr>
                <w:rFonts w:eastAsia="Times New Roman"/>
                <w:sz w:val="21"/>
                <w:szCs w:val="21"/>
              </w:rPr>
              <w:t>Recherche d’opinions</w:t>
            </w:r>
            <w:r w:rsidR="00E36148" w:rsidRPr="00CF3BDE">
              <w:rPr>
                <w:rFonts w:eastAsia="Times New Roman"/>
                <w:sz w:val="21"/>
                <w:szCs w:val="21"/>
              </w:rPr>
              <w:t> ;</w:t>
            </w:r>
          </w:p>
          <w:p w:rsidR="00E36148" w:rsidRPr="00CF3BDE" w:rsidRDefault="00AF5D6A" w:rsidP="00A76F4A">
            <w:pPr>
              <w:ind w:right="12"/>
              <w:jc w:val="both"/>
              <w:rPr>
                <w:rFonts w:eastAsia="Times New Roman"/>
                <w:sz w:val="21"/>
                <w:szCs w:val="21"/>
              </w:rPr>
            </w:pPr>
            <w:r w:rsidRPr="00CF3BDE">
              <w:rPr>
                <w:rFonts w:eastAsia="Times New Roman"/>
                <w:sz w:val="21"/>
                <w:szCs w:val="21"/>
              </w:rPr>
              <w:t>Permettre aux parties prenantes de parler librement des questions sensibles</w:t>
            </w:r>
            <w:r w:rsidR="00E36148" w:rsidRPr="00CF3BDE">
              <w:rPr>
                <w:rFonts w:eastAsia="Times New Roman"/>
                <w:sz w:val="21"/>
                <w:szCs w:val="21"/>
              </w:rPr>
              <w:t> ;</w:t>
            </w:r>
          </w:p>
          <w:p w:rsidR="00E36148" w:rsidRPr="00CF3BDE" w:rsidRDefault="00AF5D6A" w:rsidP="00A76F4A">
            <w:pPr>
              <w:ind w:right="12"/>
              <w:jc w:val="both"/>
              <w:rPr>
                <w:rFonts w:eastAsia="Times New Roman"/>
                <w:sz w:val="21"/>
                <w:szCs w:val="21"/>
              </w:rPr>
            </w:pPr>
            <w:r w:rsidRPr="00CF3BDE">
              <w:rPr>
                <w:rFonts w:eastAsia="Times New Roman"/>
                <w:sz w:val="21"/>
                <w:szCs w:val="21"/>
              </w:rPr>
              <w:t>Construire des relations personnelles</w:t>
            </w:r>
            <w:r w:rsidR="00E36148" w:rsidRPr="00CF3BDE">
              <w:rPr>
                <w:rFonts w:eastAsia="Times New Roman"/>
                <w:sz w:val="21"/>
                <w:szCs w:val="21"/>
              </w:rPr>
              <w:t> ;</w:t>
            </w:r>
          </w:p>
          <w:p w:rsidR="00B34292" w:rsidRPr="00CF3BDE" w:rsidRDefault="00AF5D6A" w:rsidP="00A76F4A">
            <w:pPr>
              <w:ind w:right="12"/>
              <w:jc w:val="both"/>
              <w:rPr>
                <w:rFonts w:eastAsia="Times New Roman"/>
                <w:sz w:val="21"/>
                <w:szCs w:val="21"/>
              </w:rPr>
            </w:pPr>
            <w:r w:rsidRPr="00CF3BDE">
              <w:rPr>
                <w:rFonts w:eastAsia="Times New Roman"/>
                <w:sz w:val="21"/>
                <w:szCs w:val="21"/>
              </w:rPr>
              <w:t>Enregistrer des réunions</w:t>
            </w:r>
            <w:r w:rsidR="00E36148" w:rsidRPr="00CF3BDE">
              <w:rPr>
                <w:rFonts w:eastAsia="Times New Roman"/>
                <w:sz w:val="21"/>
                <w:szCs w:val="21"/>
              </w:rPr>
              <w:t> ;</w:t>
            </w:r>
          </w:p>
        </w:tc>
      </w:tr>
      <w:tr w:rsidR="00C92FAD" w:rsidRPr="00CF3BDE" w:rsidTr="00114EE1">
        <w:trPr>
          <w:jc w:val="center"/>
        </w:trPr>
        <w:tc>
          <w:tcPr>
            <w:tcW w:w="1787" w:type="dxa"/>
            <w:vAlign w:val="center"/>
          </w:tcPr>
          <w:p w:rsidR="00AF5D6A" w:rsidRPr="00CF3BDE" w:rsidRDefault="00AF5D6A" w:rsidP="00A76F4A">
            <w:pPr>
              <w:ind w:right="12"/>
              <w:jc w:val="center"/>
              <w:rPr>
                <w:rFonts w:eastAsia="Times New Roman"/>
                <w:sz w:val="21"/>
                <w:szCs w:val="21"/>
              </w:rPr>
            </w:pPr>
            <w:r w:rsidRPr="00CF3BDE">
              <w:rPr>
                <w:rFonts w:eastAsia="Times New Roman"/>
                <w:sz w:val="21"/>
                <w:szCs w:val="21"/>
              </w:rPr>
              <w:t>Réunions formelles</w:t>
            </w:r>
          </w:p>
          <w:p w:rsidR="00B34292" w:rsidRPr="00CF3BDE" w:rsidRDefault="00B34292" w:rsidP="00A76F4A">
            <w:pPr>
              <w:keepNext/>
              <w:ind w:right="12"/>
              <w:jc w:val="center"/>
              <w:outlineLvl w:val="1"/>
              <w:rPr>
                <w:b/>
                <w:sz w:val="21"/>
                <w:szCs w:val="21"/>
              </w:rPr>
            </w:pPr>
          </w:p>
        </w:tc>
        <w:tc>
          <w:tcPr>
            <w:tcW w:w="9123" w:type="dxa"/>
          </w:tcPr>
          <w:p w:rsidR="00E36148" w:rsidRPr="00CF3BDE" w:rsidRDefault="00F26FB8" w:rsidP="00A76F4A">
            <w:pPr>
              <w:ind w:right="12"/>
              <w:jc w:val="both"/>
              <w:rPr>
                <w:rFonts w:eastAsia="Times New Roman"/>
                <w:sz w:val="21"/>
                <w:szCs w:val="21"/>
              </w:rPr>
            </w:pPr>
            <w:r w:rsidRPr="00CF3BDE">
              <w:rPr>
                <w:rFonts w:eastAsia="Times New Roman"/>
                <w:sz w:val="21"/>
                <w:szCs w:val="21"/>
              </w:rPr>
              <w:t>Présenter les informations du projet</w:t>
            </w:r>
            <w:r w:rsidR="00E36148" w:rsidRPr="00CF3BDE">
              <w:rPr>
                <w:rFonts w:eastAsia="Times New Roman"/>
                <w:sz w:val="21"/>
                <w:szCs w:val="21"/>
              </w:rPr>
              <w:t xml:space="preserve"> PUSA</w:t>
            </w:r>
            <w:r w:rsidR="006B413F" w:rsidRPr="00CF3BDE">
              <w:rPr>
                <w:rFonts w:eastAsia="Times New Roman"/>
                <w:sz w:val="21"/>
                <w:szCs w:val="21"/>
              </w:rPr>
              <w:t xml:space="preserve"> à </w:t>
            </w:r>
            <w:r w:rsidR="00E85C94" w:rsidRPr="00CF3BDE">
              <w:rPr>
                <w:rFonts w:eastAsia="Times New Roman"/>
                <w:sz w:val="21"/>
                <w:szCs w:val="21"/>
              </w:rPr>
              <w:t>aux groupes</w:t>
            </w:r>
            <w:r w:rsidRPr="00CF3BDE">
              <w:rPr>
                <w:rFonts w:eastAsia="Times New Roman"/>
                <w:sz w:val="21"/>
                <w:szCs w:val="21"/>
              </w:rPr>
              <w:t xml:space="preserve"> de parties prenantes</w:t>
            </w:r>
            <w:r w:rsidR="00E36148" w:rsidRPr="00CF3BDE">
              <w:rPr>
                <w:rFonts w:eastAsia="Times New Roman"/>
                <w:sz w:val="21"/>
                <w:szCs w:val="21"/>
              </w:rPr>
              <w:t> ;</w:t>
            </w:r>
          </w:p>
          <w:p w:rsidR="00E36148" w:rsidRPr="00CF3BDE" w:rsidRDefault="00F26FB8" w:rsidP="00A76F4A">
            <w:pPr>
              <w:ind w:right="12"/>
              <w:jc w:val="both"/>
              <w:rPr>
                <w:rFonts w:eastAsia="Times New Roman"/>
                <w:sz w:val="21"/>
                <w:szCs w:val="21"/>
              </w:rPr>
            </w:pPr>
            <w:r w:rsidRPr="00CF3BDE">
              <w:rPr>
                <w:rFonts w:eastAsia="Times New Roman"/>
                <w:sz w:val="21"/>
                <w:szCs w:val="21"/>
              </w:rPr>
              <w:t>Permettre au groupe de faire des commentaires qui seront consignés</w:t>
            </w:r>
            <w:r w:rsidR="00E36148" w:rsidRPr="00CF3BDE">
              <w:rPr>
                <w:rFonts w:eastAsia="Times New Roman"/>
                <w:sz w:val="21"/>
                <w:szCs w:val="21"/>
              </w:rPr>
              <w:t> ;</w:t>
            </w:r>
          </w:p>
          <w:p w:rsidR="00B34292" w:rsidRPr="00CF3BDE" w:rsidRDefault="00F26FB8" w:rsidP="00A76F4A">
            <w:pPr>
              <w:ind w:right="12"/>
              <w:jc w:val="both"/>
              <w:rPr>
                <w:rFonts w:eastAsia="Times New Roman"/>
                <w:sz w:val="21"/>
                <w:szCs w:val="21"/>
              </w:rPr>
            </w:pPr>
            <w:r w:rsidRPr="00CF3BDE">
              <w:rPr>
                <w:rFonts w:eastAsia="Times New Roman"/>
                <w:sz w:val="21"/>
                <w:szCs w:val="21"/>
              </w:rPr>
              <w:t>Construire des relations impersonnelles avec les parties prenantes de haut niveau</w:t>
            </w:r>
            <w:r w:rsidR="00E36148" w:rsidRPr="00CF3BDE">
              <w:rPr>
                <w:rFonts w:eastAsia="Times New Roman"/>
                <w:sz w:val="21"/>
                <w:szCs w:val="21"/>
              </w:rPr>
              <w:t> ;</w:t>
            </w:r>
          </w:p>
        </w:tc>
      </w:tr>
      <w:tr w:rsidR="00C92FAD" w:rsidRPr="00CF3BDE" w:rsidTr="00114EE1">
        <w:trPr>
          <w:jc w:val="center"/>
        </w:trPr>
        <w:tc>
          <w:tcPr>
            <w:tcW w:w="1787" w:type="dxa"/>
            <w:vAlign w:val="center"/>
          </w:tcPr>
          <w:p w:rsidR="00F26FB8" w:rsidRPr="00CF3BDE" w:rsidRDefault="00F26FB8" w:rsidP="00A76F4A">
            <w:pPr>
              <w:ind w:right="12"/>
              <w:jc w:val="center"/>
              <w:rPr>
                <w:rFonts w:eastAsia="Times New Roman"/>
                <w:sz w:val="21"/>
                <w:szCs w:val="21"/>
              </w:rPr>
            </w:pPr>
            <w:r w:rsidRPr="00CF3BDE">
              <w:rPr>
                <w:rFonts w:eastAsia="Times New Roman"/>
                <w:sz w:val="21"/>
                <w:szCs w:val="21"/>
              </w:rPr>
              <w:lastRenderedPageBreak/>
              <w:t>Réunions publiques</w:t>
            </w:r>
          </w:p>
          <w:p w:rsidR="00F26FB8" w:rsidRPr="00CF3BDE" w:rsidRDefault="00F26FB8" w:rsidP="00A76F4A">
            <w:pPr>
              <w:ind w:right="12"/>
              <w:jc w:val="center"/>
              <w:rPr>
                <w:rFonts w:eastAsia="Times New Roman"/>
                <w:sz w:val="21"/>
                <w:szCs w:val="21"/>
              </w:rPr>
            </w:pPr>
          </w:p>
        </w:tc>
        <w:tc>
          <w:tcPr>
            <w:tcW w:w="9123" w:type="dxa"/>
          </w:tcPr>
          <w:p w:rsidR="006B413F" w:rsidRPr="00CF3BDE" w:rsidRDefault="00F26FB8" w:rsidP="00A76F4A">
            <w:pPr>
              <w:ind w:right="12"/>
              <w:jc w:val="both"/>
              <w:rPr>
                <w:rFonts w:eastAsia="Times New Roman"/>
                <w:sz w:val="21"/>
                <w:szCs w:val="21"/>
              </w:rPr>
            </w:pPr>
            <w:r w:rsidRPr="00CF3BDE">
              <w:rPr>
                <w:rFonts w:eastAsia="Times New Roman"/>
                <w:sz w:val="21"/>
                <w:szCs w:val="21"/>
              </w:rPr>
              <w:t xml:space="preserve">Présenter les informations du projet </w:t>
            </w:r>
            <w:r w:rsidR="006B413F" w:rsidRPr="00CF3BDE">
              <w:rPr>
                <w:rFonts w:eastAsia="Times New Roman"/>
                <w:sz w:val="21"/>
                <w:szCs w:val="21"/>
              </w:rPr>
              <w:t>PUSA aux</w:t>
            </w:r>
            <w:r w:rsidRPr="00CF3BDE">
              <w:rPr>
                <w:rFonts w:eastAsia="Times New Roman"/>
                <w:sz w:val="21"/>
                <w:szCs w:val="21"/>
              </w:rPr>
              <w:t xml:space="preserve"> groupe</w:t>
            </w:r>
            <w:r w:rsidR="006B413F" w:rsidRPr="00CF3BDE">
              <w:rPr>
                <w:rFonts w:eastAsia="Times New Roman"/>
                <w:sz w:val="21"/>
                <w:szCs w:val="21"/>
              </w:rPr>
              <w:t>s</w:t>
            </w:r>
            <w:r w:rsidRPr="00CF3BDE">
              <w:rPr>
                <w:rFonts w:eastAsia="Times New Roman"/>
                <w:sz w:val="21"/>
                <w:szCs w:val="21"/>
              </w:rPr>
              <w:t xml:space="preserve"> de parties prenantes, en particulier les communautés locales</w:t>
            </w:r>
            <w:r w:rsidR="006B413F" w:rsidRPr="00CF3BDE">
              <w:rPr>
                <w:rFonts w:eastAsia="Times New Roman"/>
                <w:sz w:val="21"/>
                <w:szCs w:val="21"/>
              </w:rPr>
              <w:t> ;</w:t>
            </w:r>
          </w:p>
          <w:p w:rsidR="006B413F" w:rsidRPr="00CF3BDE" w:rsidRDefault="00F26FB8" w:rsidP="00A76F4A">
            <w:pPr>
              <w:ind w:right="12"/>
              <w:jc w:val="both"/>
              <w:rPr>
                <w:rFonts w:eastAsia="Times New Roman"/>
                <w:sz w:val="21"/>
                <w:szCs w:val="21"/>
              </w:rPr>
            </w:pPr>
            <w:r w:rsidRPr="00CF3BDE">
              <w:rPr>
                <w:rFonts w:eastAsia="Times New Roman"/>
                <w:sz w:val="21"/>
                <w:szCs w:val="21"/>
              </w:rPr>
              <w:t>Permettre au</w:t>
            </w:r>
            <w:r w:rsidR="006B413F" w:rsidRPr="00CF3BDE">
              <w:rPr>
                <w:rFonts w:eastAsia="Times New Roman"/>
                <w:sz w:val="21"/>
                <w:szCs w:val="21"/>
              </w:rPr>
              <w:t>x</w:t>
            </w:r>
            <w:r w:rsidRPr="00CF3BDE">
              <w:rPr>
                <w:rFonts w:eastAsia="Times New Roman"/>
                <w:sz w:val="21"/>
                <w:szCs w:val="21"/>
              </w:rPr>
              <w:t xml:space="preserve"> groupe</w:t>
            </w:r>
            <w:r w:rsidR="006B413F" w:rsidRPr="00CF3BDE">
              <w:rPr>
                <w:rFonts w:eastAsia="Times New Roman"/>
                <w:sz w:val="21"/>
                <w:szCs w:val="21"/>
              </w:rPr>
              <w:t>s de faire des commentaires qui</w:t>
            </w:r>
            <w:r w:rsidRPr="00CF3BDE">
              <w:rPr>
                <w:rFonts w:eastAsia="Times New Roman"/>
                <w:sz w:val="21"/>
                <w:szCs w:val="21"/>
              </w:rPr>
              <w:t xml:space="preserve"> seront consignés</w:t>
            </w:r>
            <w:r w:rsidR="006B413F" w:rsidRPr="00CF3BDE">
              <w:rPr>
                <w:rFonts w:eastAsia="Times New Roman"/>
                <w:sz w:val="21"/>
                <w:szCs w:val="21"/>
              </w:rPr>
              <w:t> ;</w:t>
            </w:r>
          </w:p>
          <w:p w:rsidR="00E85C94" w:rsidRPr="00CF3BDE" w:rsidRDefault="00F26FB8" w:rsidP="00A76F4A">
            <w:pPr>
              <w:ind w:right="12"/>
              <w:jc w:val="both"/>
              <w:rPr>
                <w:rFonts w:eastAsia="Times New Roman"/>
                <w:sz w:val="21"/>
                <w:szCs w:val="21"/>
              </w:rPr>
            </w:pPr>
            <w:r w:rsidRPr="00CF3BDE">
              <w:rPr>
                <w:rFonts w:eastAsia="Times New Roman"/>
                <w:sz w:val="21"/>
                <w:szCs w:val="21"/>
              </w:rPr>
              <w:t>Construire des relations avec les communautés, en particulier celles affectées par le projet</w:t>
            </w:r>
            <w:r w:rsidR="00E85C94" w:rsidRPr="00CF3BDE">
              <w:rPr>
                <w:rFonts w:eastAsia="Times New Roman"/>
                <w:sz w:val="21"/>
                <w:szCs w:val="21"/>
              </w:rPr>
              <w:t> ;</w:t>
            </w:r>
          </w:p>
          <w:p w:rsidR="00E85C94" w:rsidRPr="00CF3BDE" w:rsidRDefault="00F26FB8" w:rsidP="00A76F4A">
            <w:pPr>
              <w:ind w:right="12"/>
              <w:jc w:val="both"/>
              <w:rPr>
                <w:rFonts w:eastAsia="Times New Roman"/>
                <w:sz w:val="21"/>
                <w:szCs w:val="21"/>
              </w:rPr>
            </w:pPr>
            <w:r w:rsidRPr="00CF3BDE">
              <w:rPr>
                <w:rFonts w:eastAsia="Times New Roman"/>
                <w:sz w:val="21"/>
                <w:szCs w:val="21"/>
              </w:rPr>
              <w:t>Construire des relations particulières avec les personnes vulnérables issues des communautés affectées par le projet</w:t>
            </w:r>
            <w:r w:rsidR="00E85C94" w:rsidRPr="00CF3BDE">
              <w:rPr>
                <w:rFonts w:eastAsia="Times New Roman"/>
                <w:sz w:val="21"/>
                <w:szCs w:val="21"/>
              </w:rPr>
              <w:t> ;</w:t>
            </w:r>
          </w:p>
          <w:p w:rsidR="00E85C94" w:rsidRPr="00CF3BDE" w:rsidRDefault="00F26FB8" w:rsidP="00A76F4A">
            <w:pPr>
              <w:ind w:right="12"/>
              <w:jc w:val="both"/>
              <w:rPr>
                <w:rFonts w:eastAsia="Times New Roman"/>
                <w:sz w:val="21"/>
                <w:szCs w:val="21"/>
              </w:rPr>
            </w:pPr>
            <w:r w:rsidRPr="00CF3BDE">
              <w:rPr>
                <w:rFonts w:eastAsia="Times New Roman"/>
                <w:sz w:val="21"/>
                <w:szCs w:val="21"/>
              </w:rPr>
              <w:t>Fournir des informations non techniques</w:t>
            </w:r>
            <w:r w:rsidR="00E85C94" w:rsidRPr="00CF3BDE">
              <w:rPr>
                <w:rFonts w:eastAsia="Times New Roman"/>
                <w:sz w:val="21"/>
                <w:szCs w:val="21"/>
              </w:rPr>
              <w:t> ;</w:t>
            </w:r>
          </w:p>
          <w:p w:rsidR="00D442A4" w:rsidRPr="00CF3BDE" w:rsidRDefault="00F26FB8" w:rsidP="00A76F4A">
            <w:pPr>
              <w:ind w:right="12"/>
              <w:jc w:val="both"/>
              <w:rPr>
                <w:rFonts w:eastAsia="Times New Roman"/>
                <w:sz w:val="21"/>
                <w:szCs w:val="21"/>
              </w:rPr>
            </w:pPr>
            <w:r w:rsidRPr="00CF3BDE">
              <w:rPr>
                <w:rFonts w:eastAsia="Times New Roman"/>
                <w:sz w:val="21"/>
                <w:szCs w:val="21"/>
              </w:rPr>
              <w:t>Faciliter les réunions avec des présentations en POWER POINT, affiches, etc.</w:t>
            </w:r>
            <w:r w:rsidR="00D442A4" w:rsidRPr="00CF3BDE">
              <w:rPr>
                <w:rFonts w:eastAsia="Times New Roman"/>
                <w:sz w:val="21"/>
                <w:szCs w:val="21"/>
              </w:rPr>
              <w:t> ;</w:t>
            </w:r>
          </w:p>
          <w:p w:rsidR="00D442A4" w:rsidRPr="00CF3BDE" w:rsidRDefault="00F26FB8" w:rsidP="00A76F4A">
            <w:pPr>
              <w:ind w:right="12"/>
              <w:jc w:val="both"/>
              <w:rPr>
                <w:rFonts w:eastAsia="Times New Roman"/>
                <w:sz w:val="21"/>
                <w:szCs w:val="21"/>
              </w:rPr>
            </w:pPr>
            <w:r w:rsidRPr="00CF3BDE">
              <w:rPr>
                <w:rFonts w:eastAsia="Times New Roman"/>
                <w:sz w:val="21"/>
                <w:szCs w:val="21"/>
              </w:rPr>
              <w:t>Reportage de discussions, des commentaires et des questions</w:t>
            </w:r>
            <w:r w:rsidR="00D442A4" w:rsidRPr="00CF3BDE">
              <w:rPr>
                <w:rFonts w:eastAsia="Times New Roman"/>
                <w:sz w:val="21"/>
                <w:szCs w:val="21"/>
              </w:rPr>
              <w:t> ;</w:t>
            </w:r>
          </w:p>
          <w:p w:rsidR="00F26FB8" w:rsidRPr="00CF3BDE" w:rsidRDefault="00F26FB8" w:rsidP="00A76F4A">
            <w:pPr>
              <w:ind w:right="12"/>
              <w:jc w:val="both"/>
              <w:rPr>
                <w:rFonts w:eastAsia="Times New Roman"/>
                <w:sz w:val="21"/>
                <w:szCs w:val="21"/>
              </w:rPr>
            </w:pPr>
            <w:r w:rsidRPr="00CF3BDE">
              <w:rPr>
                <w:rFonts w:eastAsia="Times New Roman"/>
                <w:sz w:val="21"/>
                <w:szCs w:val="21"/>
              </w:rPr>
              <w:t>Pour des mesures de prévention de la contamination au COVID-19, des mesures seront prises pour éviter, minimiser les rassemblements publics tels que les réunions communautaires, les séminaires et ateliers en se conformant aux règles nationales de préventions et conseils dans ce domaine.</w:t>
            </w:r>
          </w:p>
        </w:tc>
      </w:tr>
      <w:tr w:rsidR="00C92FAD" w:rsidRPr="00CF3BDE" w:rsidTr="00114EE1">
        <w:trPr>
          <w:jc w:val="center"/>
        </w:trPr>
        <w:tc>
          <w:tcPr>
            <w:tcW w:w="1787" w:type="dxa"/>
            <w:vAlign w:val="center"/>
          </w:tcPr>
          <w:p w:rsidR="00F26FB8" w:rsidRPr="00CF3BDE" w:rsidRDefault="00F26FB8" w:rsidP="00A76F4A">
            <w:pPr>
              <w:ind w:right="12"/>
              <w:jc w:val="center"/>
              <w:rPr>
                <w:rFonts w:eastAsia="Times New Roman"/>
                <w:sz w:val="21"/>
                <w:szCs w:val="21"/>
              </w:rPr>
            </w:pPr>
            <w:r w:rsidRPr="00CF3BDE">
              <w:rPr>
                <w:rFonts w:eastAsia="Times New Roman"/>
                <w:sz w:val="21"/>
                <w:szCs w:val="21"/>
              </w:rPr>
              <w:t>Réunions de groupes de discussion</w:t>
            </w:r>
          </w:p>
          <w:p w:rsidR="00F26FB8" w:rsidRPr="00CF3BDE" w:rsidRDefault="00F26FB8" w:rsidP="00A76F4A">
            <w:pPr>
              <w:ind w:right="12"/>
              <w:jc w:val="center"/>
              <w:rPr>
                <w:rFonts w:eastAsia="Times New Roman"/>
                <w:sz w:val="21"/>
                <w:szCs w:val="21"/>
              </w:rPr>
            </w:pPr>
          </w:p>
        </w:tc>
        <w:tc>
          <w:tcPr>
            <w:tcW w:w="9123" w:type="dxa"/>
          </w:tcPr>
          <w:p w:rsidR="00A2541C" w:rsidRPr="00CF3BDE" w:rsidRDefault="00A824E6" w:rsidP="00A76F4A">
            <w:pPr>
              <w:ind w:right="12"/>
              <w:jc w:val="both"/>
              <w:rPr>
                <w:rFonts w:eastAsia="Times New Roman"/>
                <w:sz w:val="21"/>
                <w:szCs w:val="21"/>
              </w:rPr>
            </w:pPr>
            <w:r w:rsidRPr="00CF3BDE">
              <w:rPr>
                <w:rFonts w:eastAsia="Times New Roman"/>
                <w:sz w:val="21"/>
                <w:szCs w:val="21"/>
              </w:rPr>
              <w:t xml:space="preserve">Présenter les informations du projet </w:t>
            </w:r>
            <w:r w:rsidR="00D442A4" w:rsidRPr="00CF3BDE">
              <w:rPr>
                <w:rFonts w:eastAsia="Times New Roman"/>
                <w:sz w:val="21"/>
                <w:szCs w:val="21"/>
              </w:rPr>
              <w:t>PUSA aux</w:t>
            </w:r>
            <w:r w:rsidRPr="00CF3BDE">
              <w:rPr>
                <w:rFonts w:eastAsia="Times New Roman"/>
                <w:sz w:val="21"/>
                <w:szCs w:val="21"/>
              </w:rPr>
              <w:t xml:space="preserve"> groupe</w:t>
            </w:r>
            <w:r w:rsidR="00D442A4" w:rsidRPr="00CF3BDE">
              <w:rPr>
                <w:rFonts w:eastAsia="Times New Roman"/>
                <w:sz w:val="21"/>
                <w:szCs w:val="21"/>
              </w:rPr>
              <w:t>s</w:t>
            </w:r>
            <w:r w:rsidRPr="00CF3BDE">
              <w:rPr>
                <w:rFonts w:eastAsia="Times New Roman"/>
                <w:sz w:val="21"/>
                <w:szCs w:val="21"/>
              </w:rPr>
              <w:t xml:space="preserve"> de parties prenantes, en part</w:t>
            </w:r>
            <w:r w:rsidR="00A2541C" w:rsidRPr="00CF3BDE">
              <w:rPr>
                <w:rFonts w:eastAsia="Times New Roman"/>
                <w:sz w:val="21"/>
                <w:szCs w:val="21"/>
              </w:rPr>
              <w:t>iculier les communautés locales ;</w:t>
            </w:r>
          </w:p>
          <w:p w:rsidR="00A2541C" w:rsidRPr="00CF3BDE" w:rsidRDefault="00A824E6" w:rsidP="00A76F4A">
            <w:pPr>
              <w:ind w:right="12"/>
              <w:jc w:val="both"/>
              <w:rPr>
                <w:rFonts w:eastAsia="Times New Roman"/>
                <w:sz w:val="21"/>
                <w:szCs w:val="21"/>
              </w:rPr>
            </w:pPr>
            <w:r w:rsidRPr="00CF3BDE">
              <w:rPr>
                <w:rFonts w:eastAsia="Times New Roman"/>
                <w:sz w:val="21"/>
                <w:szCs w:val="21"/>
              </w:rPr>
              <w:t>Permettre au groupe de faire des commentaires et donner leurs avis qui seront reportés</w:t>
            </w:r>
            <w:r w:rsidR="00A2541C" w:rsidRPr="00CF3BDE">
              <w:rPr>
                <w:rFonts w:eastAsia="Times New Roman"/>
                <w:sz w:val="21"/>
                <w:szCs w:val="21"/>
              </w:rPr>
              <w:t> ;</w:t>
            </w:r>
          </w:p>
          <w:p w:rsidR="00A2541C" w:rsidRPr="00CF3BDE" w:rsidRDefault="00A824E6" w:rsidP="00A76F4A">
            <w:pPr>
              <w:ind w:right="12"/>
              <w:jc w:val="both"/>
              <w:rPr>
                <w:rFonts w:eastAsia="Times New Roman"/>
                <w:sz w:val="21"/>
                <w:szCs w:val="21"/>
              </w:rPr>
            </w:pPr>
            <w:r w:rsidRPr="00CF3BDE">
              <w:rPr>
                <w:rFonts w:eastAsia="Times New Roman"/>
                <w:sz w:val="21"/>
                <w:szCs w:val="21"/>
              </w:rPr>
              <w:t>Construire des relations avec les communautés</w:t>
            </w:r>
            <w:r w:rsidR="00A2541C" w:rsidRPr="00CF3BDE">
              <w:rPr>
                <w:rFonts w:eastAsia="Times New Roman"/>
                <w:sz w:val="21"/>
                <w:szCs w:val="21"/>
              </w:rPr>
              <w:t> ;</w:t>
            </w:r>
          </w:p>
          <w:p w:rsidR="00F26FB8" w:rsidRPr="00CF3BDE" w:rsidRDefault="00A824E6" w:rsidP="00A76F4A">
            <w:pPr>
              <w:ind w:right="12"/>
              <w:jc w:val="both"/>
              <w:rPr>
                <w:rFonts w:eastAsia="Times New Roman"/>
                <w:sz w:val="21"/>
                <w:szCs w:val="21"/>
              </w:rPr>
            </w:pPr>
            <w:r w:rsidRPr="00CF3BDE">
              <w:rPr>
                <w:rFonts w:eastAsia="Times New Roman"/>
                <w:sz w:val="21"/>
                <w:szCs w:val="21"/>
              </w:rPr>
              <w:t>Reporter les réponses aux différentes questions</w:t>
            </w:r>
            <w:r w:rsidR="00A2541C" w:rsidRPr="00CF3BDE">
              <w:rPr>
                <w:rFonts w:eastAsia="Times New Roman"/>
                <w:sz w:val="21"/>
                <w:szCs w:val="21"/>
              </w:rPr>
              <w:t> ;</w:t>
            </w:r>
          </w:p>
        </w:tc>
      </w:tr>
      <w:tr w:rsidR="00C92FAD" w:rsidRPr="00CF3BDE" w:rsidTr="00114EE1">
        <w:trPr>
          <w:jc w:val="center"/>
        </w:trPr>
        <w:tc>
          <w:tcPr>
            <w:tcW w:w="1787" w:type="dxa"/>
            <w:vAlign w:val="center"/>
          </w:tcPr>
          <w:p w:rsidR="00F26FB8" w:rsidRPr="00CF3BDE" w:rsidRDefault="00A824E6" w:rsidP="00A76F4A">
            <w:pPr>
              <w:ind w:right="12"/>
              <w:jc w:val="center"/>
              <w:rPr>
                <w:rFonts w:eastAsia="Times New Roman"/>
                <w:sz w:val="21"/>
                <w:szCs w:val="21"/>
              </w:rPr>
            </w:pPr>
            <w:r w:rsidRPr="00CF3BDE">
              <w:rPr>
                <w:rFonts w:eastAsia="Times New Roman"/>
                <w:sz w:val="21"/>
                <w:szCs w:val="21"/>
              </w:rPr>
              <w:t>Site WEB du projet</w:t>
            </w:r>
          </w:p>
        </w:tc>
        <w:tc>
          <w:tcPr>
            <w:tcW w:w="9123" w:type="dxa"/>
          </w:tcPr>
          <w:p w:rsidR="00F26FB8" w:rsidRPr="00CF3BDE" w:rsidRDefault="00A824E6" w:rsidP="00A76F4A">
            <w:pPr>
              <w:ind w:right="12"/>
              <w:rPr>
                <w:rFonts w:eastAsia="Times New Roman"/>
                <w:sz w:val="21"/>
                <w:szCs w:val="21"/>
              </w:rPr>
            </w:pPr>
            <w:r w:rsidRPr="00CF3BDE">
              <w:rPr>
                <w:rFonts w:eastAsia="Times New Roman"/>
                <w:sz w:val="21"/>
                <w:szCs w:val="21"/>
              </w:rPr>
              <w:t xml:space="preserve">Présenter des informations sur le projet </w:t>
            </w:r>
            <w:r w:rsidR="00A2541C" w:rsidRPr="00CF3BDE">
              <w:rPr>
                <w:rFonts w:eastAsia="Times New Roman"/>
                <w:sz w:val="21"/>
                <w:szCs w:val="21"/>
              </w:rPr>
              <w:t xml:space="preserve">PUSA </w:t>
            </w:r>
            <w:r w:rsidRPr="00CF3BDE">
              <w:rPr>
                <w:rFonts w:eastAsia="Times New Roman"/>
                <w:sz w:val="21"/>
                <w:szCs w:val="21"/>
              </w:rPr>
              <w:t>et les mises à jour de l’avancement</w:t>
            </w:r>
          </w:p>
        </w:tc>
      </w:tr>
    </w:tbl>
    <w:p w:rsidR="005C0E4F" w:rsidRDefault="005C0E4F" w:rsidP="00A76F4A">
      <w:pPr>
        <w:ind w:right="12"/>
        <w:rPr>
          <w:rFonts w:eastAsia="Times New Roman"/>
        </w:rPr>
      </w:pPr>
    </w:p>
    <w:p w:rsidR="007E3180" w:rsidRPr="008142E8" w:rsidRDefault="007E3180"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40" w:name="_Toc75432339"/>
      <w:r w:rsidRPr="00083B97">
        <w:rPr>
          <w:rFonts w:ascii="Times New Roman" w:hAnsi="Times New Roman"/>
          <w:b/>
          <w:bCs/>
          <w:sz w:val="24"/>
          <w:szCs w:val="24"/>
        </w:rPr>
        <w:t>Ressources et responsabilités pour la mise en œuvre des activités de mobilisation des parties prenantes</w:t>
      </w:r>
      <w:bookmarkEnd w:id="440"/>
    </w:p>
    <w:p w:rsidR="007E3180" w:rsidRPr="00CF3BDE" w:rsidRDefault="007E3180" w:rsidP="00A76F4A">
      <w:pPr>
        <w:pStyle w:val="Cabealho3"/>
        <w:numPr>
          <w:ilvl w:val="0"/>
          <w:numId w:val="164"/>
        </w:numPr>
        <w:spacing w:after="0"/>
        <w:ind w:right="12"/>
        <w:contextualSpacing/>
        <w:rPr>
          <w:rFonts w:ascii="Times New Roman" w:hAnsi="Times New Roman"/>
        </w:rPr>
      </w:pPr>
      <w:r w:rsidRPr="00CF3BDE">
        <w:rPr>
          <w:rFonts w:ascii="Times New Roman" w:hAnsi="Times New Roman"/>
        </w:rPr>
        <w:t>Ressources</w:t>
      </w:r>
    </w:p>
    <w:p w:rsidR="007E3180" w:rsidRPr="00CF3BDE" w:rsidRDefault="007E3180" w:rsidP="00A76F4A">
      <w:pPr>
        <w:autoSpaceDE w:val="0"/>
        <w:autoSpaceDN w:val="0"/>
        <w:adjustRightInd w:val="0"/>
        <w:ind w:right="12"/>
        <w:jc w:val="both"/>
      </w:pPr>
      <w:r w:rsidRPr="00CF3BDE">
        <w:t xml:space="preserve">Le ministère de l'Agriculture et du Développement rural sera chargé des activités d'engagement des parties prenantes. Le budget pour la mise en œuvre du SEP proviendra de la composante 4. </w:t>
      </w:r>
    </w:p>
    <w:p w:rsidR="0059269F" w:rsidRPr="00CF3BDE" w:rsidRDefault="007E3180" w:rsidP="00A76F4A">
      <w:pPr>
        <w:pStyle w:val="Cabealho3"/>
        <w:numPr>
          <w:ilvl w:val="0"/>
          <w:numId w:val="164"/>
        </w:numPr>
        <w:spacing w:after="0"/>
        <w:ind w:right="12"/>
        <w:contextualSpacing/>
        <w:rPr>
          <w:rFonts w:ascii="Times New Roman" w:hAnsi="Times New Roman"/>
        </w:rPr>
      </w:pPr>
      <w:r w:rsidRPr="00CF3BDE">
        <w:rPr>
          <w:rFonts w:ascii="Times New Roman" w:hAnsi="Times New Roman"/>
        </w:rPr>
        <w:t>Fonctions et responsabilités de gestion</w:t>
      </w:r>
    </w:p>
    <w:p w:rsidR="007E3180" w:rsidRDefault="007E3180" w:rsidP="00A76F4A">
      <w:pPr>
        <w:autoSpaceDE w:val="0"/>
        <w:autoSpaceDN w:val="0"/>
        <w:adjustRightInd w:val="0"/>
        <w:ind w:right="12"/>
        <w:jc w:val="both"/>
      </w:pPr>
      <w:r w:rsidRPr="00CF3BDE">
        <w:t>La mise en œuvre du projet sera sous la responsabilité du Ministère de l'Agriculture et du Développement Rural (MARD), à travers une Unité de Coordination Technique (TCU) en cours de mise en place avec le soutien d'autres partenaires au développement. La responsabilité première du TCU sera de contrat avec les partenaires d'appui à la mise en œuvre, suivi de la mise en œuvre (en collaboration avec les directions régionales de MARD) et rapport à la Banque. Pour ces fonctions, le TL'UC sera dotée d'un coordonnateur, d'un spécialiste de l'agriculture, d'un expert en suivi et évaluation, d'un spécialiste de la communication et d'un spécialiste de l'environnement et des sauvegardes sociales. Ces deux derniers seront responsables de la mise en œuvre du SEP.</w:t>
      </w:r>
    </w:p>
    <w:p w:rsidR="008142E8" w:rsidRPr="000F246E" w:rsidRDefault="008142E8" w:rsidP="00A76F4A">
      <w:pPr>
        <w:autoSpaceDE w:val="0"/>
        <w:autoSpaceDN w:val="0"/>
        <w:adjustRightInd w:val="0"/>
        <w:ind w:left="142" w:right="12"/>
        <w:jc w:val="both"/>
      </w:pPr>
    </w:p>
    <w:p w:rsidR="00B17D64" w:rsidRPr="00CF3BDE" w:rsidRDefault="005C0E4F"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41" w:name="_Toc75432340"/>
      <w:r w:rsidRPr="00CF3BDE">
        <w:rPr>
          <w:rFonts w:ascii="Times New Roman" w:hAnsi="Times New Roman"/>
          <w:b/>
          <w:bCs/>
          <w:sz w:val="24"/>
          <w:szCs w:val="24"/>
        </w:rPr>
        <w:t>A l’avenir dans le projet</w:t>
      </w:r>
      <w:bookmarkEnd w:id="441"/>
      <w:r w:rsidRPr="00CF3BDE">
        <w:rPr>
          <w:rFonts w:ascii="Times New Roman" w:hAnsi="Times New Roman"/>
          <w:b/>
          <w:bCs/>
          <w:sz w:val="24"/>
          <w:szCs w:val="24"/>
        </w:rPr>
        <w:t xml:space="preserve"> </w:t>
      </w:r>
    </w:p>
    <w:p w:rsidR="005C0E4F" w:rsidRDefault="005C0E4F" w:rsidP="00A76F4A">
      <w:pPr>
        <w:autoSpaceDE w:val="0"/>
        <w:autoSpaceDN w:val="0"/>
        <w:adjustRightInd w:val="0"/>
        <w:ind w:right="12"/>
        <w:jc w:val="both"/>
      </w:pPr>
      <w:r w:rsidRPr="00CF3BDE">
        <w:t>Les parties prenantes seront tenues régulièrement informées des différentes étapes de développement du projet notamment sur la performance environnementale et sociale du projet, la mise en œuvre du plan d’engagement des parties prenantes ainsi que sur les résultats du fonctionnement du mécanisme de gestion des plaint</w:t>
      </w:r>
      <w:r w:rsidR="00F6450D" w:rsidRPr="00CF3BDE">
        <w:t>e</w:t>
      </w:r>
      <w:r w:rsidRPr="00CF3BDE">
        <w:t xml:space="preserve">s. </w:t>
      </w:r>
    </w:p>
    <w:p w:rsidR="00377458" w:rsidRPr="00CF3BDE" w:rsidRDefault="00377458" w:rsidP="00A76F4A">
      <w:pPr>
        <w:autoSpaceDE w:val="0"/>
        <w:autoSpaceDN w:val="0"/>
        <w:adjustRightInd w:val="0"/>
        <w:ind w:left="142" w:right="12"/>
        <w:jc w:val="both"/>
      </w:pPr>
    </w:p>
    <w:p w:rsidR="00125C75" w:rsidRPr="00CF3BDE" w:rsidRDefault="00213BB1" w:rsidP="00A76F4A">
      <w:pPr>
        <w:pStyle w:val="PargrafodaLista"/>
        <w:numPr>
          <w:ilvl w:val="1"/>
          <w:numId w:val="283"/>
        </w:numPr>
        <w:spacing w:after="120" w:line="240" w:lineRule="auto"/>
        <w:ind w:right="12"/>
        <w:outlineLvl w:val="1"/>
        <w:rPr>
          <w:rFonts w:ascii="Times New Roman" w:hAnsi="Times New Roman"/>
          <w:b/>
          <w:bCs/>
          <w:sz w:val="24"/>
          <w:szCs w:val="24"/>
        </w:rPr>
      </w:pPr>
      <w:bookmarkStart w:id="442" w:name="_Toc535408386"/>
      <w:bookmarkStart w:id="443" w:name="_Toc11158410"/>
      <w:bookmarkStart w:id="444" w:name="_Toc51072630"/>
      <w:bookmarkStart w:id="445" w:name="_Toc75432341"/>
      <w:r w:rsidRPr="00CF3BDE">
        <w:rPr>
          <w:rFonts w:ascii="Times New Roman" w:hAnsi="Times New Roman"/>
          <w:b/>
          <w:bCs/>
          <w:sz w:val="24"/>
          <w:szCs w:val="24"/>
        </w:rPr>
        <w:t>MECANISME DE GESTION DES PLAINTES</w:t>
      </w:r>
      <w:bookmarkEnd w:id="442"/>
      <w:bookmarkEnd w:id="443"/>
      <w:bookmarkEnd w:id="444"/>
      <w:bookmarkEnd w:id="445"/>
      <w:r w:rsidR="00280089">
        <w:rPr>
          <w:rFonts w:ascii="Times New Roman" w:hAnsi="Times New Roman"/>
          <w:b/>
          <w:bCs/>
          <w:sz w:val="24"/>
          <w:szCs w:val="24"/>
        </w:rPr>
        <w:t xml:space="preserve"> </w:t>
      </w:r>
    </w:p>
    <w:p w:rsidR="007A4497" w:rsidRPr="00CF3BDE" w:rsidRDefault="00652396" w:rsidP="00ED1558">
      <w:pPr>
        <w:autoSpaceDE w:val="0"/>
        <w:autoSpaceDN w:val="0"/>
        <w:adjustRightInd w:val="0"/>
        <w:ind w:right="12"/>
        <w:jc w:val="both"/>
      </w:pPr>
      <w:r w:rsidRPr="00CF3BDE">
        <w:t>Le principal objectif d'un m</w:t>
      </w:r>
      <w:r w:rsidR="00EE1C9A" w:rsidRPr="00CF3BDE">
        <w:t xml:space="preserve">écanisme de </w:t>
      </w:r>
      <w:r w:rsidR="00A9214E" w:rsidRPr="00CF3BDE">
        <w:t>gestion</w:t>
      </w:r>
      <w:r w:rsidR="00EE1C9A" w:rsidRPr="00CF3BDE">
        <w:t xml:space="preserve"> des plaintes (</w:t>
      </w:r>
      <w:r w:rsidR="00A9214E" w:rsidRPr="00CF3BDE">
        <w:t>MG</w:t>
      </w:r>
      <w:r w:rsidR="00EE1C9A" w:rsidRPr="00CF3BDE">
        <w:t>P</w:t>
      </w:r>
      <w:r w:rsidRPr="00CF3BDE">
        <w:t>) est d'aider à résoudre les plaintes et les griefs d'une manière opportune, efficace et efficiente qui satisfait toutes les parties concernées. Plus précisément, il fournit un processus transparent et crédible pour des résultats équitables, efficaces et durables. Il renforce également la confiance et la coopération en tant que partie intégrante d'une consultation communautaire plus large qui facilite</w:t>
      </w:r>
      <w:r w:rsidR="00BF01BF" w:rsidRPr="00CF3BDE">
        <w:t xml:space="preserve"> les </w:t>
      </w:r>
      <w:r w:rsidR="00BF01BF" w:rsidRPr="00CF3BDE">
        <w:lastRenderedPageBreak/>
        <w:t xml:space="preserve">actions correctives. Le </w:t>
      </w:r>
      <w:r w:rsidR="00A9214E" w:rsidRPr="00CF3BDE">
        <w:t>MGP</w:t>
      </w:r>
      <w:r w:rsidRPr="00CF3BDE">
        <w:t xml:space="preserve"> qui est sensible aux plaintes est également une mesure </w:t>
      </w:r>
      <w:r w:rsidR="00BD4BF0">
        <w:t>de traiter ces incidents</w:t>
      </w:r>
      <w:r w:rsidR="00BD4BF0" w:rsidRPr="00CF3BDE">
        <w:t xml:space="preserve"> </w:t>
      </w:r>
      <w:r w:rsidRPr="00CF3BDE">
        <w:t xml:space="preserve">car il </w:t>
      </w:r>
      <w:r w:rsidR="00BD4BF0">
        <w:t xml:space="preserve">développe de </w:t>
      </w:r>
      <w:r w:rsidR="00377458">
        <w:t>procédures</w:t>
      </w:r>
      <w:r w:rsidR="00BD4BF0">
        <w:t xml:space="preserve"> </w:t>
      </w:r>
      <w:r w:rsidR="00377458">
        <w:t>spécifiques</w:t>
      </w:r>
      <w:r w:rsidR="00BD4BF0">
        <w:t xml:space="preserve"> qui garantissent la confidentialité et la sécurité de la plaignante et le présumé auteur, ainsi que toutes les actions sont </w:t>
      </w:r>
      <w:r w:rsidR="00377458">
        <w:t>axées</w:t>
      </w:r>
      <w:r w:rsidR="00BD4BF0">
        <w:t xml:space="preserve"> sur la survivante, et pourtant </w:t>
      </w:r>
      <w:r w:rsidRPr="00CF3BDE">
        <w:t xml:space="preserve">offre aux survivants un moyen sûr de signaler les abus et d'accéder aux services. </w:t>
      </w:r>
    </w:p>
    <w:p w:rsidR="00652396" w:rsidRPr="00CF3BDE" w:rsidRDefault="007A4497" w:rsidP="00A76F4A">
      <w:pPr>
        <w:autoSpaceDE w:val="0"/>
        <w:autoSpaceDN w:val="0"/>
        <w:adjustRightInd w:val="0"/>
        <w:ind w:right="12"/>
        <w:jc w:val="both"/>
      </w:pPr>
      <w:r w:rsidRPr="00CF3BDE">
        <w:t xml:space="preserve">Plus précisément, le </w:t>
      </w:r>
      <w:r w:rsidR="005F4E6B">
        <w:t>MGP</w:t>
      </w:r>
      <w:r w:rsidR="005F4E6B" w:rsidRPr="00CF3BDE">
        <w:t xml:space="preserve"> </w:t>
      </w:r>
      <w:r w:rsidR="00771453" w:rsidRPr="00CF3BDE">
        <w:t>:</w:t>
      </w:r>
    </w:p>
    <w:p w:rsidR="00652396" w:rsidRPr="00CF3BDE" w:rsidRDefault="00652396" w:rsidP="00A76F4A">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12"/>
        <w:jc w:val="both"/>
        <w:rPr>
          <w:rFonts w:ascii="Times New Roman" w:hAnsi="Times New Roman"/>
          <w:sz w:val="22"/>
          <w:szCs w:val="22"/>
        </w:rPr>
      </w:pPr>
      <w:r w:rsidRPr="00CF3BDE">
        <w:rPr>
          <w:rFonts w:ascii="Times New Roman" w:hAnsi="Times New Roman"/>
          <w:sz w:val="22"/>
          <w:szCs w:val="22"/>
        </w:rPr>
        <w:t xml:space="preserve">Fournit aux personnes concernées des moyens de déposer une plainte ou de résoudre tout différend pouvant survenir au cours de la mise en œuvre des </w:t>
      </w:r>
      <w:r w:rsidR="00771453" w:rsidRPr="00CF3BDE">
        <w:rPr>
          <w:rFonts w:ascii="Times New Roman" w:hAnsi="Times New Roman"/>
          <w:sz w:val="22"/>
          <w:szCs w:val="22"/>
        </w:rPr>
        <w:t>projets ;</w:t>
      </w:r>
    </w:p>
    <w:p w:rsidR="00652396" w:rsidRPr="00CF3BDE" w:rsidRDefault="00652396" w:rsidP="00A76F4A">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12"/>
        <w:jc w:val="both"/>
        <w:rPr>
          <w:rFonts w:ascii="Times New Roman" w:hAnsi="Times New Roman"/>
          <w:sz w:val="22"/>
          <w:szCs w:val="22"/>
        </w:rPr>
      </w:pPr>
      <w:r w:rsidRPr="00CF3BDE">
        <w:rPr>
          <w:rFonts w:ascii="Times New Roman" w:hAnsi="Times New Roman"/>
          <w:sz w:val="22"/>
          <w:szCs w:val="22"/>
        </w:rPr>
        <w:t xml:space="preserve">S'assure que des actions de réparation appropriées et mutuellement acceptables sont identifiées et mises en œuvre à la satisfaction des </w:t>
      </w:r>
      <w:r w:rsidR="00771453" w:rsidRPr="00CF3BDE">
        <w:rPr>
          <w:rFonts w:ascii="Times New Roman" w:hAnsi="Times New Roman"/>
          <w:sz w:val="22"/>
          <w:szCs w:val="22"/>
        </w:rPr>
        <w:t>plaignants ;</w:t>
      </w:r>
      <w:r w:rsidRPr="00CF3BDE">
        <w:rPr>
          <w:rFonts w:ascii="Times New Roman" w:hAnsi="Times New Roman"/>
          <w:sz w:val="22"/>
          <w:szCs w:val="22"/>
        </w:rPr>
        <w:t xml:space="preserve"> </w:t>
      </w:r>
    </w:p>
    <w:p w:rsidR="00652396" w:rsidRPr="00CF3BDE" w:rsidRDefault="00652396" w:rsidP="00A76F4A">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12"/>
        <w:jc w:val="both"/>
        <w:rPr>
          <w:rFonts w:ascii="Times New Roman" w:hAnsi="Times New Roman"/>
          <w:sz w:val="22"/>
          <w:szCs w:val="22"/>
        </w:rPr>
      </w:pPr>
      <w:r w:rsidRPr="00CF3BDE">
        <w:rPr>
          <w:rFonts w:ascii="Times New Roman" w:hAnsi="Times New Roman"/>
          <w:sz w:val="22"/>
          <w:szCs w:val="22"/>
        </w:rPr>
        <w:t>Fournit des références aux services pour les</w:t>
      </w:r>
      <w:r w:rsidR="00377458">
        <w:rPr>
          <w:rFonts w:ascii="Times New Roman" w:hAnsi="Times New Roman"/>
          <w:sz w:val="22"/>
          <w:szCs w:val="22"/>
        </w:rPr>
        <w:t xml:space="preserve"> suivis </w:t>
      </w:r>
      <w:r w:rsidRPr="00CF3BDE">
        <w:rPr>
          <w:rFonts w:ascii="Times New Roman" w:hAnsi="Times New Roman"/>
          <w:sz w:val="22"/>
          <w:szCs w:val="22"/>
        </w:rPr>
        <w:t>et</w:t>
      </w:r>
    </w:p>
    <w:p w:rsidR="00652396" w:rsidRDefault="00652396" w:rsidP="00A76F4A">
      <w:pPr>
        <w:pStyle w:val="PargrafodaList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
        <w:jc w:val="both"/>
        <w:rPr>
          <w:rFonts w:ascii="Times New Roman" w:hAnsi="Times New Roman"/>
          <w:sz w:val="22"/>
          <w:szCs w:val="22"/>
        </w:rPr>
      </w:pPr>
      <w:r w:rsidRPr="00CF3BDE">
        <w:rPr>
          <w:rFonts w:ascii="Times New Roman" w:hAnsi="Times New Roman"/>
          <w:sz w:val="22"/>
          <w:szCs w:val="22"/>
        </w:rPr>
        <w:t>Évite la nécessité de recourir à des procédures judiciaires.</w:t>
      </w:r>
    </w:p>
    <w:p w:rsidR="000F246E" w:rsidRPr="000F246E" w:rsidRDefault="000F246E" w:rsidP="00A76F4A">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
        <w:jc w:val="both"/>
        <w:rPr>
          <w:rFonts w:ascii="Times New Roman" w:hAnsi="Times New Roman"/>
          <w:sz w:val="22"/>
          <w:szCs w:val="22"/>
        </w:rPr>
      </w:pPr>
    </w:p>
    <w:p w:rsidR="00125C75" w:rsidRPr="00CF3BDE" w:rsidRDefault="00125C75" w:rsidP="00A76F4A">
      <w:pPr>
        <w:autoSpaceDE w:val="0"/>
        <w:autoSpaceDN w:val="0"/>
        <w:adjustRightInd w:val="0"/>
        <w:ind w:right="12"/>
        <w:jc w:val="both"/>
      </w:pPr>
      <w:r w:rsidRPr="00CF3BDE">
        <w:t xml:space="preserve">Ce mécanisme se justifie par le fait que dans la mise en œuvre des travaux et des mesures compensatoires y relatives, plusieurs conflits peuvent surgir. Ces conflits peuvent être liés aux problèmes suivants : </w:t>
      </w:r>
    </w:p>
    <w:p w:rsidR="00125C75" w:rsidRPr="000F246E" w:rsidRDefault="00125C75" w:rsidP="00A76F4A">
      <w:pPr>
        <w:pStyle w:val="Listecouleur-Accent12"/>
        <w:numPr>
          <w:ilvl w:val="0"/>
          <w:numId w:val="94"/>
        </w:numPr>
        <w:spacing w:after="200"/>
        <w:ind w:left="1276" w:right="12"/>
        <w:rPr>
          <w:sz w:val="22"/>
          <w:szCs w:val="22"/>
          <w:lang w:val="fr-FR"/>
        </w:rPr>
      </w:pPr>
      <w:r w:rsidRPr="000F246E">
        <w:rPr>
          <w:sz w:val="22"/>
          <w:szCs w:val="22"/>
          <w:lang w:val="fr-FR"/>
        </w:rPr>
        <w:t xml:space="preserve">conflit sur la propriété d’un </w:t>
      </w:r>
      <w:r w:rsidR="002764B5" w:rsidRPr="000F246E">
        <w:rPr>
          <w:sz w:val="22"/>
          <w:szCs w:val="22"/>
          <w:lang w:val="fr-FR"/>
        </w:rPr>
        <w:t>bien ou</w:t>
      </w:r>
      <w:r w:rsidRPr="000F246E">
        <w:rPr>
          <w:sz w:val="22"/>
          <w:szCs w:val="22"/>
          <w:lang w:val="fr-FR"/>
        </w:rPr>
        <w:t xml:space="preserve"> sur le titre de succession, à l’issue d’un divorce, conflits entre héritiers ; </w:t>
      </w:r>
    </w:p>
    <w:p w:rsidR="00125C75" w:rsidRPr="000F246E" w:rsidRDefault="00125C75" w:rsidP="00A76F4A">
      <w:pPr>
        <w:pStyle w:val="Listecouleur-Accent12"/>
        <w:numPr>
          <w:ilvl w:val="0"/>
          <w:numId w:val="94"/>
        </w:numPr>
        <w:spacing w:after="200"/>
        <w:ind w:left="1276" w:right="12"/>
        <w:rPr>
          <w:sz w:val="22"/>
          <w:szCs w:val="22"/>
          <w:lang w:val="fr-FR"/>
        </w:rPr>
      </w:pPr>
      <w:r w:rsidRPr="000F246E">
        <w:rPr>
          <w:sz w:val="22"/>
          <w:szCs w:val="22"/>
          <w:lang w:val="fr-FR"/>
        </w:rPr>
        <w:t xml:space="preserve">divergences dans l’acquisition et l’occupation des terres ; </w:t>
      </w:r>
    </w:p>
    <w:p w:rsidR="00125C75" w:rsidRPr="000F246E" w:rsidRDefault="00125C75" w:rsidP="00A76F4A">
      <w:pPr>
        <w:pStyle w:val="Listecouleur-Accent12"/>
        <w:numPr>
          <w:ilvl w:val="0"/>
          <w:numId w:val="94"/>
        </w:numPr>
        <w:spacing w:after="200"/>
        <w:ind w:left="1276" w:right="12"/>
        <w:rPr>
          <w:sz w:val="22"/>
          <w:szCs w:val="22"/>
          <w:lang w:val="fr-FR"/>
        </w:rPr>
      </w:pPr>
      <w:r w:rsidRPr="000F246E">
        <w:rPr>
          <w:sz w:val="22"/>
          <w:szCs w:val="22"/>
          <w:lang w:val="fr-FR"/>
        </w:rPr>
        <w:t xml:space="preserve">atteinte à une activité commerciale d’un riverain ; </w:t>
      </w:r>
    </w:p>
    <w:p w:rsidR="00125C75" w:rsidRPr="000F246E" w:rsidRDefault="00125C75" w:rsidP="00A76F4A">
      <w:pPr>
        <w:pStyle w:val="Listecouleur-Accent12"/>
        <w:numPr>
          <w:ilvl w:val="0"/>
          <w:numId w:val="94"/>
        </w:numPr>
        <w:spacing w:after="200"/>
        <w:ind w:left="1276" w:right="12"/>
        <w:rPr>
          <w:sz w:val="22"/>
          <w:szCs w:val="22"/>
          <w:lang w:val="fr-FR"/>
        </w:rPr>
      </w:pPr>
      <w:r w:rsidRPr="000F246E">
        <w:rPr>
          <w:sz w:val="22"/>
          <w:szCs w:val="22"/>
          <w:lang w:val="fr-FR"/>
        </w:rPr>
        <w:t xml:space="preserve">dégradation des biens </w:t>
      </w:r>
      <w:r w:rsidR="002764B5" w:rsidRPr="000F246E">
        <w:rPr>
          <w:sz w:val="22"/>
          <w:szCs w:val="22"/>
          <w:lang w:val="fr-FR"/>
        </w:rPr>
        <w:t>au-delà</w:t>
      </w:r>
      <w:r w:rsidRPr="000F246E">
        <w:rPr>
          <w:sz w:val="22"/>
          <w:szCs w:val="22"/>
          <w:lang w:val="fr-FR"/>
        </w:rPr>
        <w:t xml:space="preserve"> de l’emprise du projet ;</w:t>
      </w:r>
    </w:p>
    <w:p w:rsidR="00125C75" w:rsidRPr="000F246E" w:rsidRDefault="00125C75" w:rsidP="00A76F4A">
      <w:pPr>
        <w:pStyle w:val="Listecouleur-Accent12"/>
        <w:numPr>
          <w:ilvl w:val="0"/>
          <w:numId w:val="94"/>
        </w:numPr>
        <w:spacing w:after="200"/>
        <w:ind w:left="1276" w:right="12"/>
        <w:rPr>
          <w:sz w:val="22"/>
          <w:szCs w:val="22"/>
          <w:lang w:val="fr-FR"/>
        </w:rPr>
      </w:pPr>
      <w:r w:rsidRPr="000F246E">
        <w:rPr>
          <w:sz w:val="22"/>
          <w:szCs w:val="22"/>
          <w:lang w:val="fr-FR"/>
        </w:rPr>
        <w:t xml:space="preserve">nuisances et perturbations permanentes des riverains par les travaux… </w:t>
      </w:r>
    </w:p>
    <w:p w:rsidR="00125C75" w:rsidRPr="000F246E" w:rsidRDefault="00BD4BF0" w:rsidP="00A76F4A">
      <w:pPr>
        <w:pStyle w:val="Listecouleur-Accent12"/>
        <w:numPr>
          <w:ilvl w:val="0"/>
          <w:numId w:val="94"/>
        </w:numPr>
        <w:spacing w:after="200"/>
        <w:ind w:left="1276" w:right="12"/>
        <w:rPr>
          <w:sz w:val="22"/>
          <w:szCs w:val="22"/>
          <w:lang w:val="fr-FR"/>
        </w:rPr>
      </w:pPr>
      <w:r>
        <w:rPr>
          <w:szCs w:val="24"/>
          <w:lang w:val="fr-FR"/>
        </w:rPr>
        <w:t xml:space="preserve">Exploitation et abus sexuels et le </w:t>
      </w:r>
      <w:r w:rsidR="00125C75" w:rsidRPr="000F246E">
        <w:rPr>
          <w:sz w:val="22"/>
          <w:szCs w:val="22"/>
          <w:lang w:val="fr-FR"/>
        </w:rPr>
        <w:t>harcèlement sexuel, pédophilie, etc. ;</w:t>
      </w:r>
    </w:p>
    <w:p w:rsidR="00662249" w:rsidRPr="00ED1558" w:rsidRDefault="00125C75" w:rsidP="00ED1558">
      <w:pPr>
        <w:pStyle w:val="Listecouleur-Accent12"/>
        <w:numPr>
          <w:ilvl w:val="0"/>
          <w:numId w:val="94"/>
        </w:numPr>
        <w:spacing w:after="200"/>
        <w:ind w:left="1276" w:right="12"/>
        <w:rPr>
          <w:sz w:val="22"/>
          <w:szCs w:val="22"/>
          <w:lang w:val="fr-FR"/>
        </w:rPr>
      </w:pPr>
      <w:r w:rsidRPr="000F246E">
        <w:rPr>
          <w:sz w:val="22"/>
          <w:szCs w:val="22"/>
          <w:lang w:val="fr-FR"/>
        </w:rPr>
        <w:t>Discrimination basée sur le genre ou la vulnérabilité ;</w:t>
      </w:r>
    </w:p>
    <w:p w:rsidR="00125C75" w:rsidRPr="00CF3BDE" w:rsidRDefault="00125C75"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46" w:name="_Toc375311835"/>
      <w:bookmarkStart w:id="447" w:name="_Toc529964826"/>
      <w:bookmarkStart w:id="448" w:name="_Toc535408387"/>
      <w:bookmarkStart w:id="449" w:name="_Toc11158411"/>
      <w:bookmarkStart w:id="450" w:name="_Toc51072631"/>
      <w:bookmarkStart w:id="451" w:name="_Toc75432342"/>
      <w:r w:rsidRPr="00CF3BDE">
        <w:rPr>
          <w:rFonts w:ascii="Times New Roman" w:hAnsi="Times New Roman"/>
          <w:b/>
          <w:bCs/>
          <w:sz w:val="24"/>
          <w:szCs w:val="24"/>
        </w:rPr>
        <w:t>Organisation du Mécanisme de Gestion des Plaintes</w:t>
      </w:r>
      <w:bookmarkEnd w:id="446"/>
      <w:bookmarkEnd w:id="447"/>
      <w:bookmarkEnd w:id="448"/>
      <w:bookmarkEnd w:id="449"/>
      <w:bookmarkEnd w:id="450"/>
      <w:bookmarkEnd w:id="451"/>
    </w:p>
    <w:p w:rsidR="00125C75" w:rsidRPr="00CF3BDE" w:rsidRDefault="00125C75" w:rsidP="00A76F4A">
      <w:pPr>
        <w:autoSpaceDE w:val="0"/>
        <w:autoSpaceDN w:val="0"/>
        <w:adjustRightInd w:val="0"/>
        <w:ind w:right="12"/>
        <w:jc w:val="both"/>
      </w:pPr>
      <w:bookmarkStart w:id="452" w:name="_Toc110792322"/>
      <w:r w:rsidRPr="00CF3BDE">
        <w:t>Le Mécanisme de Gestion des Plaintes du projet PUSA s’organise en deux niveaux, ce qui permet aussi de définir les organes de gestion à chaque niveau.</w:t>
      </w:r>
    </w:p>
    <w:p w:rsidR="00125C75" w:rsidRPr="00CF3BDE" w:rsidRDefault="00125C75" w:rsidP="00A76F4A">
      <w:pPr>
        <w:ind w:left="-284" w:right="12"/>
      </w:pPr>
    </w:p>
    <w:p w:rsidR="00125C75" w:rsidRPr="00CF3BDE" w:rsidRDefault="00125C75" w:rsidP="00A76F4A">
      <w:pPr>
        <w:pStyle w:val="Listecouleur-Accent12"/>
        <w:numPr>
          <w:ilvl w:val="0"/>
          <w:numId w:val="95"/>
        </w:numPr>
        <w:ind w:right="12"/>
        <w:jc w:val="left"/>
        <w:rPr>
          <w:b/>
          <w:szCs w:val="24"/>
          <w:lang w:val="fr-FR"/>
        </w:rPr>
      </w:pPr>
      <w:r w:rsidRPr="00CF3BDE">
        <w:rPr>
          <w:b/>
          <w:szCs w:val="24"/>
          <w:lang w:val="fr-FR"/>
        </w:rPr>
        <w:t>Niveau du projet PUSA</w:t>
      </w:r>
    </w:p>
    <w:p w:rsidR="00125C75" w:rsidRPr="00CF3BDE" w:rsidRDefault="00135C9A" w:rsidP="00A76F4A">
      <w:pPr>
        <w:autoSpaceDE w:val="0"/>
        <w:autoSpaceDN w:val="0"/>
        <w:adjustRightInd w:val="0"/>
        <w:ind w:right="12"/>
        <w:jc w:val="both"/>
      </w:pPr>
      <w:r w:rsidRPr="00CF3BDE">
        <w:t>L’UC</w:t>
      </w:r>
      <w:r w:rsidR="00125C75" w:rsidRPr="00CF3BDE">
        <w:t>P du projet PUSA assure la supervision de la mise en œuvre du MGP. Il travaille en étroite collaboration avec les autorités locales et communales, y compris les acteurs institutionnels, l’ONG et les PAP pour le suivi, le traitement et le reporting de l’ensemble des plaintes liées directement ou indirectement aux activités du projet PUSA.</w:t>
      </w:r>
    </w:p>
    <w:p w:rsidR="00125C75" w:rsidRPr="00CF3BDE" w:rsidRDefault="00125C75" w:rsidP="00A76F4A">
      <w:pPr>
        <w:pStyle w:val="Listecouleur-Accent12"/>
        <w:numPr>
          <w:ilvl w:val="0"/>
          <w:numId w:val="95"/>
        </w:numPr>
        <w:spacing w:after="200"/>
        <w:ind w:right="12"/>
        <w:jc w:val="left"/>
        <w:rPr>
          <w:szCs w:val="24"/>
          <w:lang w:val="fr-FR"/>
        </w:rPr>
      </w:pPr>
      <w:r w:rsidRPr="00CF3BDE">
        <w:rPr>
          <w:b/>
          <w:szCs w:val="24"/>
          <w:lang w:val="fr-FR"/>
        </w:rPr>
        <w:t>Niveau local</w:t>
      </w:r>
      <w:r w:rsidRPr="00CF3BDE">
        <w:rPr>
          <w:szCs w:val="24"/>
          <w:lang w:val="fr-FR"/>
        </w:rPr>
        <w:t> :</w:t>
      </w:r>
    </w:p>
    <w:p w:rsidR="00125C75" w:rsidRPr="000F246E" w:rsidRDefault="00125C75" w:rsidP="00A76F4A">
      <w:pPr>
        <w:pStyle w:val="Listecouleur-Accent12"/>
        <w:numPr>
          <w:ilvl w:val="0"/>
          <w:numId w:val="96"/>
        </w:numPr>
        <w:spacing w:after="200"/>
        <w:ind w:right="12"/>
        <w:jc w:val="left"/>
        <w:rPr>
          <w:sz w:val="22"/>
          <w:szCs w:val="22"/>
          <w:lang w:val="fr-FR"/>
        </w:rPr>
      </w:pPr>
      <w:r w:rsidRPr="000F246E">
        <w:rPr>
          <w:sz w:val="22"/>
          <w:szCs w:val="22"/>
          <w:lang w:val="fr-FR"/>
        </w:rPr>
        <w:t xml:space="preserve">les responsables des quartiers (communautés locales, notabilités); </w:t>
      </w:r>
    </w:p>
    <w:p w:rsidR="00125C75" w:rsidRPr="000F246E" w:rsidRDefault="00125C75" w:rsidP="00A76F4A">
      <w:pPr>
        <w:pStyle w:val="Listecouleur-Accent12"/>
        <w:numPr>
          <w:ilvl w:val="0"/>
          <w:numId w:val="96"/>
        </w:numPr>
        <w:spacing w:after="200"/>
        <w:ind w:right="12"/>
        <w:jc w:val="left"/>
        <w:rPr>
          <w:sz w:val="22"/>
          <w:szCs w:val="22"/>
          <w:lang w:val="fr-FR"/>
        </w:rPr>
      </w:pPr>
      <w:r w:rsidRPr="000F246E">
        <w:rPr>
          <w:sz w:val="22"/>
          <w:szCs w:val="22"/>
          <w:lang w:val="fr-FR"/>
        </w:rPr>
        <w:t>les autorités municipales;</w:t>
      </w:r>
    </w:p>
    <w:p w:rsidR="00125C75" w:rsidRPr="000F246E" w:rsidRDefault="00125C75" w:rsidP="00A76F4A">
      <w:pPr>
        <w:pStyle w:val="Listecouleur-Accent12"/>
        <w:numPr>
          <w:ilvl w:val="0"/>
          <w:numId w:val="96"/>
        </w:numPr>
        <w:spacing w:after="200"/>
        <w:ind w:right="12"/>
        <w:jc w:val="left"/>
        <w:rPr>
          <w:sz w:val="22"/>
          <w:szCs w:val="22"/>
          <w:lang w:val="fr-FR"/>
        </w:rPr>
      </w:pPr>
      <w:r w:rsidRPr="000F246E">
        <w:rPr>
          <w:sz w:val="22"/>
          <w:szCs w:val="22"/>
          <w:lang w:val="fr-FR"/>
        </w:rPr>
        <w:t>les acteurs institutionnels (services techniques) ;</w:t>
      </w:r>
    </w:p>
    <w:p w:rsidR="00125C75" w:rsidRPr="000F246E" w:rsidRDefault="00125C75" w:rsidP="00A76F4A">
      <w:pPr>
        <w:pStyle w:val="Listecouleur-Accent12"/>
        <w:numPr>
          <w:ilvl w:val="0"/>
          <w:numId w:val="96"/>
        </w:numPr>
        <w:spacing w:after="200"/>
        <w:ind w:right="12"/>
        <w:jc w:val="left"/>
        <w:rPr>
          <w:sz w:val="22"/>
          <w:szCs w:val="22"/>
          <w:lang w:val="fr-FR"/>
        </w:rPr>
      </w:pPr>
      <w:r w:rsidRPr="000F246E">
        <w:rPr>
          <w:sz w:val="22"/>
          <w:szCs w:val="22"/>
          <w:lang w:val="fr-FR"/>
        </w:rPr>
        <w:t>une ONG locale comme tierce partie</w:t>
      </w:r>
    </w:p>
    <w:p w:rsidR="00B41431" w:rsidRPr="000F246E" w:rsidRDefault="00125C75" w:rsidP="00A76F4A">
      <w:pPr>
        <w:pStyle w:val="Listecouleur-Accent12"/>
        <w:numPr>
          <w:ilvl w:val="0"/>
          <w:numId w:val="96"/>
        </w:numPr>
        <w:spacing w:after="200"/>
        <w:ind w:right="12"/>
        <w:jc w:val="left"/>
        <w:rPr>
          <w:sz w:val="22"/>
          <w:szCs w:val="22"/>
          <w:lang w:val="fr-FR"/>
        </w:rPr>
      </w:pPr>
      <w:r w:rsidRPr="000F246E">
        <w:rPr>
          <w:sz w:val="22"/>
          <w:szCs w:val="22"/>
          <w:lang w:val="fr-FR"/>
        </w:rPr>
        <w:t xml:space="preserve">les Personnes Affectées par Projet (PAP). </w:t>
      </w:r>
    </w:p>
    <w:p w:rsidR="002B0F61" w:rsidRPr="00036229" w:rsidRDefault="00442F6B"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53" w:name="_Toc75432343"/>
      <w:r w:rsidRPr="00CF3BDE">
        <w:rPr>
          <w:rFonts w:ascii="Times New Roman" w:hAnsi="Times New Roman"/>
          <w:b/>
          <w:bCs/>
          <w:sz w:val="24"/>
          <w:szCs w:val="24"/>
        </w:rPr>
        <w:t>Description du MGP</w:t>
      </w:r>
      <w:bookmarkEnd w:id="453"/>
    </w:p>
    <w:p w:rsidR="00442F6B" w:rsidRPr="00CF3BDE" w:rsidRDefault="00442F6B" w:rsidP="00A76F4A">
      <w:pPr>
        <w:autoSpaceDE w:val="0"/>
        <w:autoSpaceDN w:val="0"/>
        <w:adjustRightInd w:val="0"/>
        <w:ind w:right="12"/>
        <w:jc w:val="both"/>
      </w:pPr>
      <w:r w:rsidRPr="00CF3BDE">
        <w:t xml:space="preserve">Le </w:t>
      </w:r>
      <w:r w:rsidR="00CA2717" w:rsidRPr="00CF3BDE">
        <w:t>MGP comprendra</w:t>
      </w:r>
      <w:r w:rsidR="002B0F61" w:rsidRPr="00CF3BDE">
        <w:t xml:space="preserve"> les étapes </w:t>
      </w:r>
      <w:r w:rsidR="00756E89" w:rsidRPr="00CF3BDE">
        <w:t>suivantes :</w:t>
      </w:r>
      <w:r w:rsidR="002B0F61" w:rsidRPr="00CF3BDE">
        <w:t xml:space="preserve"> </w:t>
      </w:r>
    </w:p>
    <w:p w:rsidR="002B0F61" w:rsidRPr="00094014" w:rsidRDefault="002B0F61" w:rsidP="00A76F4A">
      <w:pPr>
        <w:pStyle w:val="PargrafodaLista"/>
        <w:numPr>
          <w:ilvl w:val="0"/>
          <w:numId w:val="165"/>
        </w:numPr>
        <w:ind w:left="1134" w:right="12"/>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1: Soumission des griefs</w:t>
      </w:r>
    </w:p>
    <w:p w:rsidR="002B0F61" w:rsidRPr="00094014" w:rsidRDefault="002B0F61" w:rsidP="00A76F4A">
      <w:pPr>
        <w:pStyle w:val="PargrafodaLista"/>
        <w:numPr>
          <w:ilvl w:val="0"/>
          <w:numId w:val="165"/>
        </w:numPr>
        <w:ind w:left="1134" w:right="12"/>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2: Enregistrement du grief et fourniture de la réponse initiale</w:t>
      </w:r>
    </w:p>
    <w:p w:rsidR="002B0F61" w:rsidRPr="00094014" w:rsidRDefault="002B0F61" w:rsidP="00A76F4A">
      <w:pPr>
        <w:pStyle w:val="PargrafodaLista"/>
        <w:numPr>
          <w:ilvl w:val="0"/>
          <w:numId w:val="165"/>
        </w:numPr>
        <w:ind w:left="1134" w:right="12"/>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3: Enquête sur le grief</w:t>
      </w:r>
    </w:p>
    <w:p w:rsidR="002B0F61" w:rsidRPr="00094014" w:rsidRDefault="002B0F61" w:rsidP="00A76F4A">
      <w:pPr>
        <w:pStyle w:val="PargrafodaLista"/>
        <w:numPr>
          <w:ilvl w:val="0"/>
          <w:numId w:val="165"/>
        </w:numPr>
        <w:ind w:left="1134" w:right="12"/>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4: Communication de la réponse</w:t>
      </w:r>
    </w:p>
    <w:p w:rsidR="002B0F61" w:rsidRPr="00094014" w:rsidRDefault="002B0F61" w:rsidP="00A76F4A">
      <w:pPr>
        <w:pStyle w:val="PargrafodaLista"/>
        <w:numPr>
          <w:ilvl w:val="0"/>
          <w:numId w:val="165"/>
        </w:numPr>
        <w:ind w:left="1134" w:right="12"/>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5: Réponse du plaignant</w:t>
      </w:r>
    </w:p>
    <w:p w:rsidR="002B0F61" w:rsidRPr="00094014" w:rsidRDefault="002B0F61" w:rsidP="00A76F4A">
      <w:pPr>
        <w:pStyle w:val="PargrafodaLista"/>
        <w:numPr>
          <w:ilvl w:val="0"/>
          <w:numId w:val="165"/>
        </w:numPr>
        <w:ind w:left="1134" w:right="12"/>
        <w:jc w:val="thaiDistribute"/>
        <w:rPr>
          <w:rFonts w:ascii="Times New Roman" w:eastAsia="Times New Roman" w:hAnsi="Times New Roman"/>
          <w:i/>
          <w:sz w:val="22"/>
          <w:szCs w:val="22"/>
        </w:rPr>
      </w:pPr>
      <w:r w:rsidRPr="00094014">
        <w:rPr>
          <w:rFonts w:ascii="Times New Roman" w:eastAsia="Times New Roman" w:hAnsi="Times New Roman"/>
          <w:sz w:val="22"/>
          <w:szCs w:val="22"/>
        </w:rPr>
        <w:t>Étape 6: Clôture du grief ou prise de mesures supplémentaires si le grief reste ouvert</w:t>
      </w:r>
      <w:r w:rsidRPr="00094014">
        <w:rPr>
          <w:rFonts w:ascii="Times New Roman" w:eastAsia="Times New Roman" w:hAnsi="Times New Roman"/>
          <w:i/>
          <w:sz w:val="22"/>
          <w:szCs w:val="22"/>
        </w:rPr>
        <w:t xml:space="preserve"> </w:t>
      </w:r>
    </w:p>
    <w:p w:rsidR="002B0F61" w:rsidRPr="00094014" w:rsidRDefault="002B0F61" w:rsidP="00A76F4A">
      <w:pPr>
        <w:pStyle w:val="PargrafodaLista"/>
        <w:numPr>
          <w:ilvl w:val="0"/>
          <w:numId w:val="165"/>
        </w:numPr>
        <w:ind w:left="1134" w:right="12"/>
        <w:jc w:val="thaiDistribute"/>
        <w:rPr>
          <w:rFonts w:ascii="Times New Roman" w:eastAsia="Times New Roman" w:hAnsi="Times New Roman"/>
          <w:sz w:val="22"/>
          <w:szCs w:val="22"/>
        </w:rPr>
      </w:pPr>
      <w:r w:rsidRPr="00094014">
        <w:rPr>
          <w:rFonts w:ascii="Times New Roman" w:eastAsia="Times New Roman" w:hAnsi="Times New Roman"/>
          <w:sz w:val="22"/>
          <w:szCs w:val="22"/>
        </w:rPr>
        <w:t>Étape 7: Processus d'appel</w:t>
      </w:r>
    </w:p>
    <w:p w:rsidR="002B0F61" w:rsidRPr="00CF3BDE" w:rsidRDefault="002B0F61" w:rsidP="00A76F4A">
      <w:pPr>
        <w:autoSpaceDE w:val="0"/>
        <w:autoSpaceDN w:val="0"/>
        <w:adjustRightInd w:val="0"/>
        <w:ind w:right="12"/>
        <w:jc w:val="both"/>
      </w:pPr>
      <w:r w:rsidRPr="00CF3BDE">
        <w:lastRenderedPageBreak/>
        <w:t>Une fois que toutes les réparations possibles ont été proposées et si le plaignant n'est toujours pas satisfait, il doit être informé de son droit à un recours juridique.</w:t>
      </w:r>
      <w:r w:rsidRPr="00CF3BDE">
        <w:tab/>
      </w:r>
    </w:p>
    <w:p w:rsidR="002B0F61" w:rsidRPr="00094014" w:rsidRDefault="002B0F61" w:rsidP="00A76F4A">
      <w:pPr>
        <w:pStyle w:val="Cabealho3"/>
        <w:numPr>
          <w:ilvl w:val="0"/>
          <w:numId w:val="0"/>
        </w:numPr>
        <w:spacing w:before="120"/>
        <w:ind w:right="12"/>
        <w:rPr>
          <w:rFonts w:ascii="Times New Roman" w:hAnsi="Times New Roman"/>
          <w:b w:val="0"/>
        </w:rPr>
      </w:pPr>
      <w:r w:rsidRPr="00094014">
        <w:rPr>
          <w:rFonts w:ascii="Times New Roman" w:hAnsi="Times New Roman"/>
          <w:b w:val="0"/>
        </w:rPr>
        <w:t xml:space="preserve">Calendrier proposé pour le </w:t>
      </w:r>
      <w:r w:rsidR="00106557">
        <w:rPr>
          <w:rFonts w:ascii="Times New Roman" w:hAnsi="Times New Roman"/>
          <w:b w:val="0"/>
        </w:rPr>
        <w:t>MGP</w:t>
      </w:r>
    </w:p>
    <w:tbl>
      <w:tblPr>
        <w:tblW w:w="9182" w:type="dxa"/>
        <w:jc w:val="center"/>
        <w:tblLayout w:type="fixed"/>
        <w:tblCellMar>
          <w:left w:w="0" w:type="dxa"/>
          <w:right w:w="0" w:type="dxa"/>
        </w:tblCellMar>
        <w:tblLook w:val="0000" w:firstRow="0" w:lastRow="0" w:firstColumn="0" w:lastColumn="0" w:noHBand="0" w:noVBand="0"/>
      </w:tblPr>
      <w:tblGrid>
        <w:gridCol w:w="900"/>
        <w:gridCol w:w="6315"/>
        <w:gridCol w:w="1967"/>
      </w:tblGrid>
      <w:tr w:rsidR="002B0F61" w:rsidRPr="00036229" w:rsidTr="00345951">
        <w:trPr>
          <w:trHeight w:hRule="exact" w:val="331"/>
          <w:jc w:val="center"/>
        </w:trPr>
        <w:tc>
          <w:tcPr>
            <w:tcW w:w="900" w:type="dxa"/>
            <w:tcBorders>
              <w:top w:val="single" w:sz="13" w:space="0" w:color="000000"/>
              <w:left w:val="single" w:sz="12" w:space="0" w:color="000000"/>
              <w:bottom w:val="single" w:sz="6" w:space="0" w:color="000000"/>
              <w:right w:val="single" w:sz="6" w:space="0" w:color="000000"/>
            </w:tcBorders>
            <w:shd w:val="clear" w:color="auto" w:fill="D9D9D9"/>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b/>
                <w:bCs/>
                <w:spacing w:val="-1"/>
                <w:sz w:val="20"/>
                <w:szCs w:val="20"/>
              </w:rPr>
              <w:t>Étape</w:t>
            </w:r>
          </w:p>
        </w:tc>
        <w:tc>
          <w:tcPr>
            <w:tcW w:w="6315" w:type="dxa"/>
            <w:tcBorders>
              <w:top w:val="single" w:sz="13" w:space="0" w:color="000000"/>
              <w:left w:val="single" w:sz="6" w:space="0" w:color="000000"/>
              <w:bottom w:val="single" w:sz="6" w:space="0" w:color="000000"/>
              <w:right w:val="single" w:sz="6" w:space="0" w:color="000000"/>
            </w:tcBorders>
            <w:shd w:val="clear" w:color="auto" w:fill="D9D9D9"/>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b/>
                <w:bCs/>
                <w:spacing w:val="-1"/>
                <w:sz w:val="20"/>
                <w:szCs w:val="20"/>
              </w:rPr>
              <w:t>Traiter</w:t>
            </w:r>
          </w:p>
        </w:tc>
        <w:tc>
          <w:tcPr>
            <w:tcW w:w="1967" w:type="dxa"/>
            <w:tcBorders>
              <w:top w:val="single" w:sz="13" w:space="0" w:color="000000"/>
              <w:left w:val="single" w:sz="6" w:space="0" w:color="000000"/>
              <w:bottom w:val="single" w:sz="6" w:space="0" w:color="000000"/>
              <w:right w:val="single" w:sz="12" w:space="0" w:color="000000"/>
            </w:tcBorders>
            <w:shd w:val="clear" w:color="auto" w:fill="D9D9D9"/>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b/>
                <w:bCs/>
                <w:spacing w:val="-1"/>
                <w:sz w:val="20"/>
                <w:szCs w:val="20"/>
              </w:rPr>
              <w:t>Temps</w:t>
            </w:r>
            <w:r w:rsidR="00756E89" w:rsidRPr="00036229">
              <w:rPr>
                <w:rFonts w:eastAsia="Times New Roman"/>
                <w:b/>
                <w:bCs/>
                <w:spacing w:val="-1"/>
                <w:sz w:val="20"/>
                <w:szCs w:val="20"/>
              </w:rPr>
              <w:t xml:space="preserve"> </w:t>
            </w:r>
            <w:r w:rsidRPr="00036229">
              <w:rPr>
                <w:rFonts w:eastAsia="Times New Roman"/>
                <w:b/>
                <w:bCs/>
                <w:sz w:val="20"/>
                <w:szCs w:val="20"/>
              </w:rPr>
              <w:t>Cadre</w:t>
            </w:r>
          </w:p>
        </w:tc>
      </w:tr>
      <w:tr w:rsidR="002B0F61" w:rsidRPr="00036229"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z w:val="20"/>
                <w:szCs w:val="20"/>
              </w:rPr>
              <w:t>1</w:t>
            </w:r>
          </w:p>
        </w:tc>
        <w:tc>
          <w:tcPr>
            <w:tcW w:w="6315" w:type="dxa"/>
            <w:tcBorders>
              <w:top w:val="single" w:sz="6" w:space="0" w:color="000000"/>
              <w:left w:val="single" w:sz="6"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Recevoir et enregistrer les griefs</w:t>
            </w:r>
          </w:p>
        </w:tc>
        <w:tc>
          <w:tcPr>
            <w:tcW w:w="1967" w:type="dxa"/>
            <w:tcBorders>
              <w:top w:val="single" w:sz="6" w:space="0" w:color="000000"/>
              <w:left w:val="single" w:sz="6" w:space="0" w:color="000000"/>
              <w:bottom w:val="single" w:sz="6" w:space="0" w:color="000000"/>
              <w:right w:val="single" w:sz="12" w:space="0" w:color="000000"/>
            </w:tcBorders>
          </w:tcPr>
          <w:p w:rsidR="002B0F61" w:rsidRPr="00036229" w:rsidRDefault="00094014"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w:t>
            </w:r>
            <w:r w:rsidR="002B0F61" w:rsidRPr="00036229">
              <w:rPr>
                <w:rFonts w:eastAsia="Times New Roman"/>
                <w:spacing w:val="-1"/>
                <w:sz w:val="20"/>
                <w:szCs w:val="20"/>
              </w:rPr>
              <w:t>ans</w:t>
            </w:r>
            <w:r w:rsidRPr="00036229">
              <w:rPr>
                <w:rFonts w:eastAsia="Times New Roman"/>
                <w:spacing w:val="-1"/>
                <w:sz w:val="20"/>
                <w:szCs w:val="20"/>
              </w:rPr>
              <w:t xml:space="preserve"> </w:t>
            </w:r>
            <w:r w:rsidR="002B0F61" w:rsidRPr="00036229">
              <w:rPr>
                <w:rFonts w:eastAsia="Times New Roman"/>
                <w:sz w:val="20"/>
                <w:szCs w:val="20"/>
              </w:rPr>
              <w:t>24 heures</w:t>
            </w:r>
          </w:p>
        </w:tc>
      </w:tr>
      <w:tr w:rsidR="002B0F61" w:rsidRPr="00036229"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z w:val="20"/>
                <w:szCs w:val="20"/>
              </w:rPr>
              <w:t>2</w:t>
            </w:r>
          </w:p>
        </w:tc>
        <w:tc>
          <w:tcPr>
            <w:tcW w:w="6315" w:type="dxa"/>
            <w:tcBorders>
              <w:top w:val="single" w:sz="6" w:space="0" w:color="000000"/>
              <w:left w:val="single" w:sz="6"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Accuser réception</w:t>
            </w:r>
          </w:p>
        </w:tc>
        <w:tc>
          <w:tcPr>
            <w:tcW w:w="1967" w:type="dxa"/>
            <w:tcBorders>
              <w:top w:val="single" w:sz="6" w:space="0" w:color="000000"/>
              <w:left w:val="single" w:sz="6" w:space="0" w:color="000000"/>
              <w:bottom w:val="single" w:sz="6" w:space="0" w:color="000000"/>
              <w:right w:val="single" w:sz="12" w:space="0" w:color="000000"/>
            </w:tcBorders>
          </w:tcPr>
          <w:p w:rsidR="002B0F61" w:rsidRPr="00036229" w:rsidRDefault="00094014"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w:t>
            </w:r>
            <w:r w:rsidR="002B0F61" w:rsidRPr="00036229">
              <w:rPr>
                <w:rFonts w:eastAsia="Times New Roman"/>
                <w:spacing w:val="-1"/>
                <w:sz w:val="20"/>
                <w:szCs w:val="20"/>
              </w:rPr>
              <w:t>ans</w:t>
            </w:r>
            <w:r w:rsidRPr="00036229">
              <w:rPr>
                <w:rFonts w:eastAsia="Times New Roman"/>
                <w:spacing w:val="-1"/>
                <w:sz w:val="20"/>
                <w:szCs w:val="20"/>
              </w:rPr>
              <w:t xml:space="preserve"> </w:t>
            </w:r>
            <w:r w:rsidR="002B0F61" w:rsidRPr="00036229">
              <w:rPr>
                <w:rFonts w:eastAsia="Times New Roman"/>
                <w:sz w:val="20"/>
                <w:szCs w:val="20"/>
              </w:rPr>
              <w:t>24 heures</w:t>
            </w:r>
          </w:p>
        </w:tc>
      </w:tr>
      <w:tr w:rsidR="002B0F61" w:rsidRPr="00036229" w:rsidTr="00345951">
        <w:trPr>
          <w:trHeight w:hRule="exact" w:val="335"/>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z w:val="20"/>
                <w:szCs w:val="20"/>
              </w:rPr>
              <w:t>3</w:t>
            </w:r>
          </w:p>
        </w:tc>
        <w:tc>
          <w:tcPr>
            <w:tcW w:w="6315" w:type="dxa"/>
            <w:tcBorders>
              <w:top w:val="single" w:sz="6" w:space="0" w:color="000000"/>
              <w:left w:val="single" w:sz="6"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Évaluer le grief</w:t>
            </w:r>
          </w:p>
        </w:tc>
        <w:tc>
          <w:tcPr>
            <w:tcW w:w="1967" w:type="dxa"/>
            <w:tcBorders>
              <w:top w:val="single" w:sz="6" w:space="0" w:color="000000"/>
              <w:left w:val="single" w:sz="6" w:space="0" w:color="000000"/>
              <w:bottom w:val="single" w:sz="6" w:space="0" w:color="000000"/>
              <w:right w:val="single" w:sz="12" w:space="0" w:color="000000"/>
            </w:tcBorders>
          </w:tcPr>
          <w:p w:rsidR="002B0F61" w:rsidRPr="00036229" w:rsidRDefault="00094014"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w:t>
            </w:r>
            <w:r w:rsidR="002B0F61" w:rsidRPr="00036229">
              <w:rPr>
                <w:rFonts w:eastAsia="Times New Roman"/>
                <w:spacing w:val="-1"/>
                <w:sz w:val="20"/>
                <w:szCs w:val="20"/>
              </w:rPr>
              <w:t>ans</w:t>
            </w:r>
            <w:r w:rsidRPr="00036229">
              <w:rPr>
                <w:rFonts w:eastAsia="Times New Roman"/>
                <w:spacing w:val="-1"/>
                <w:sz w:val="20"/>
                <w:szCs w:val="20"/>
              </w:rPr>
              <w:t xml:space="preserve"> </w:t>
            </w:r>
            <w:r w:rsidR="002B0F61" w:rsidRPr="00036229">
              <w:rPr>
                <w:rFonts w:eastAsia="Times New Roman"/>
                <w:sz w:val="20"/>
                <w:szCs w:val="20"/>
              </w:rPr>
              <w:t>24 heures</w:t>
            </w:r>
          </w:p>
        </w:tc>
      </w:tr>
      <w:tr w:rsidR="002B0F61" w:rsidRPr="00036229"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z w:val="20"/>
                <w:szCs w:val="20"/>
              </w:rPr>
              <w:t>4</w:t>
            </w:r>
          </w:p>
        </w:tc>
        <w:tc>
          <w:tcPr>
            <w:tcW w:w="6315" w:type="dxa"/>
            <w:tcBorders>
              <w:top w:val="single" w:sz="6" w:space="0" w:color="000000"/>
              <w:left w:val="single" w:sz="6"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Attribuer la responsabilité</w:t>
            </w:r>
          </w:p>
        </w:tc>
        <w:tc>
          <w:tcPr>
            <w:tcW w:w="1967" w:type="dxa"/>
            <w:tcBorders>
              <w:top w:val="single" w:sz="6" w:space="0" w:color="000000"/>
              <w:left w:val="single" w:sz="6" w:space="0" w:color="000000"/>
              <w:bottom w:val="single" w:sz="6" w:space="0" w:color="000000"/>
              <w:right w:val="single" w:sz="12" w:space="0" w:color="000000"/>
            </w:tcBorders>
          </w:tcPr>
          <w:p w:rsidR="002B0F61" w:rsidRPr="00036229" w:rsidRDefault="00094014"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w:t>
            </w:r>
            <w:r w:rsidR="002B0F61" w:rsidRPr="00036229">
              <w:rPr>
                <w:rFonts w:eastAsia="Times New Roman"/>
                <w:spacing w:val="-1"/>
                <w:sz w:val="20"/>
                <w:szCs w:val="20"/>
              </w:rPr>
              <w:t>ans</w:t>
            </w:r>
            <w:r w:rsidRPr="00036229">
              <w:rPr>
                <w:rFonts w:eastAsia="Times New Roman"/>
                <w:spacing w:val="-1"/>
                <w:sz w:val="20"/>
                <w:szCs w:val="20"/>
              </w:rPr>
              <w:t xml:space="preserve"> </w:t>
            </w:r>
            <w:r w:rsidR="002B0F61" w:rsidRPr="00036229">
              <w:rPr>
                <w:rFonts w:eastAsia="Times New Roman"/>
                <w:sz w:val="20"/>
                <w:szCs w:val="20"/>
              </w:rPr>
              <w:t>2 jours</w:t>
            </w:r>
          </w:p>
        </w:tc>
      </w:tr>
      <w:tr w:rsidR="002B0F61" w:rsidRPr="00036229"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z w:val="20"/>
                <w:szCs w:val="20"/>
              </w:rPr>
              <w:t>5</w:t>
            </w:r>
          </w:p>
        </w:tc>
        <w:tc>
          <w:tcPr>
            <w:tcW w:w="6315" w:type="dxa"/>
            <w:tcBorders>
              <w:top w:val="single" w:sz="6" w:space="0" w:color="000000"/>
              <w:left w:val="single" w:sz="6"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Développement</w:t>
            </w:r>
            <w:r w:rsidR="002B1B29" w:rsidRPr="00036229">
              <w:rPr>
                <w:rFonts w:eastAsia="Times New Roman"/>
                <w:spacing w:val="-1"/>
                <w:sz w:val="20"/>
                <w:szCs w:val="20"/>
              </w:rPr>
              <w:t xml:space="preserve"> </w:t>
            </w:r>
            <w:r w:rsidRPr="00036229">
              <w:rPr>
                <w:rFonts w:eastAsia="Times New Roman"/>
                <w:sz w:val="20"/>
                <w:szCs w:val="20"/>
              </w:rPr>
              <w:t>de réponse</w:t>
            </w:r>
          </w:p>
        </w:tc>
        <w:tc>
          <w:tcPr>
            <w:tcW w:w="1967" w:type="dxa"/>
            <w:tcBorders>
              <w:top w:val="single" w:sz="6" w:space="0" w:color="000000"/>
              <w:left w:val="single" w:sz="6" w:space="0" w:color="000000"/>
              <w:bottom w:val="single" w:sz="6" w:space="0" w:color="000000"/>
              <w:right w:val="single" w:sz="12" w:space="0" w:color="000000"/>
            </w:tcBorders>
          </w:tcPr>
          <w:p w:rsidR="002B0F61" w:rsidRPr="00036229" w:rsidRDefault="00094014"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w:t>
            </w:r>
            <w:r w:rsidR="002B0F61" w:rsidRPr="00036229">
              <w:rPr>
                <w:rFonts w:eastAsia="Times New Roman"/>
                <w:spacing w:val="-1"/>
                <w:sz w:val="20"/>
                <w:szCs w:val="20"/>
              </w:rPr>
              <w:t>ans</w:t>
            </w:r>
            <w:r w:rsidRPr="00036229">
              <w:rPr>
                <w:rFonts w:eastAsia="Times New Roman"/>
                <w:spacing w:val="-1"/>
                <w:sz w:val="20"/>
                <w:szCs w:val="20"/>
              </w:rPr>
              <w:t xml:space="preserve"> </w:t>
            </w:r>
            <w:r w:rsidR="002B0F61" w:rsidRPr="00036229">
              <w:rPr>
                <w:rFonts w:eastAsia="Times New Roman"/>
                <w:sz w:val="20"/>
                <w:szCs w:val="20"/>
              </w:rPr>
              <w:t>7 jours</w:t>
            </w:r>
          </w:p>
        </w:tc>
      </w:tr>
      <w:tr w:rsidR="002B0F61" w:rsidRPr="00036229" w:rsidTr="00345951">
        <w:trPr>
          <w:trHeight w:hRule="exact" w:val="331"/>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z w:val="20"/>
                <w:szCs w:val="20"/>
              </w:rPr>
              <w:t>6</w:t>
            </w:r>
          </w:p>
        </w:tc>
        <w:tc>
          <w:tcPr>
            <w:tcW w:w="6315" w:type="dxa"/>
            <w:tcBorders>
              <w:top w:val="single" w:sz="6" w:space="0" w:color="000000"/>
              <w:left w:val="single" w:sz="6"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Mise en œuvre</w:t>
            </w:r>
            <w:r w:rsidR="002B1B29" w:rsidRPr="00036229">
              <w:rPr>
                <w:rFonts w:eastAsia="Times New Roman"/>
                <w:spacing w:val="-1"/>
                <w:sz w:val="20"/>
                <w:szCs w:val="20"/>
              </w:rPr>
              <w:t xml:space="preserve"> </w:t>
            </w:r>
            <w:r w:rsidRPr="00036229">
              <w:rPr>
                <w:rFonts w:eastAsia="Times New Roman"/>
                <w:sz w:val="20"/>
                <w:szCs w:val="20"/>
              </w:rPr>
              <w:t>de réponse en cas d'accord</w:t>
            </w:r>
          </w:p>
        </w:tc>
        <w:tc>
          <w:tcPr>
            <w:tcW w:w="1967" w:type="dxa"/>
            <w:tcBorders>
              <w:top w:val="single" w:sz="6" w:space="0" w:color="000000"/>
              <w:left w:val="single" w:sz="6" w:space="0" w:color="000000"/>
              <w:bottom w:val="single" w:sz="6" w:space="0" w:color="000000"/>
              <w:right w:val="single" w:sz="12" w:space="0" w:color="000000"/>
            </w:tcBorders>
          </w:tcPr>
          <w:p w:rsidR="002B0F61" w:rsidRPr="00036229" w:rsidRDefault="00094014"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w:t>
            </w:r>
            <w:r w:rsidR="002B0F61" w:rsidRPr="00036229">
              <w:rPr>
                <w:rFonts w:eastAsia="Times New Roman"/>
                <w:spacing w:val="-1"/>
                <w:sz w:val="20"/>
                <w:szCs w:val="20"/>
              </w:rPr>
              <w:t>ans</w:t>
            </w:r>
            <w:r w:rsidRPr="00036229">
              <w:rPr>
                <w:rFonts w:eastAsia="Times New Roman"/>
                <w:spacing w:val="-1"/>
                <w:sz w:val="20"/>
                <w:szCs w:val="20"/>
              </w:rPr>
              <w:t xml:space="preserve"> </w:t>
            </w:r>
            <w:r w:rsidR="002B0F61" w:rsidRPr="00036229">
              <w:rPr>
                <w:rFonts w:eastAsia="Times New Roman"/>
                <w:sz w:val="20"/>
                <w:szCs w:val="20"/>
              </w:rPr>
              <w:t>7 jours</w:t>
            </w:r>
          </w:p>
        </w:tc>
      </w:tr>
      <w:tr w:rsidR="002B0F61" w:rsidRPr="00036229" w:rsidTr="00345951">
        <w:trPr>
          <w:trHeight w:hRule="exact" w:val="335"/>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z w:val="20"/>
                <w:szCs w:val="20"/>
              </w:rPr>
              <w:t>7</w:t>
            </w:r>
          </w:p>
        </w:tc>
        <w:tc>
          <w:tcPr>
            <w:tcW w:w="6315" w:type="dxa"/>
            <w:tcBorders>
              <w:top w:val="single" w:sz="6" w:space="0" w:color="000000"/>
              <w:left w:val="single" w:sz="6"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Fermer le grief</w:t>
            </w:r>
          </w:p>
        </w:tc>
        <w:tc>
          <w:tcPr>
            <w:tcW w:w="1967" w:type="dxa"/>
            <w:tcBorders>
              <w:top w:val="single" w:sz="6" w:space="0" w:color="000000"/>
              <w:left w:val="single" w:sz="6" w:space="0" w:color="000000"/>
              <w:bottom w:val="single" w:sz="6" w:space="0" w:color="000000"/>
              <w:right w:val="single" w:sz="12" w:space="0" w:color="000000"/>
            </w:tcBorders>
          </w:tcPr>
          <w:p w:rsidR="002B0F61" w:rsidRPr="00036229" w:rsidRDefault="00094014"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w:t>
            </w:r>
            <w:r w:rsidR="002B0F61" w:rsidRPr="00036229">
              <w:rPr>
                <w:rFonts w:eastAsia="Times New Roman"/>
                <w:spacing w:val="-1"/>
                <w:sz w:val="20"/>
                <w:szCs w:val="20"/>
              </w:rPr>
              <w:t>ans</w:t>
            </w:r>
            <w:r w:rsidRPr="00036229">
              <w:rPr>
                <w:rFonts w:eastAsia="Times New Roman"/>
                <w:spacing w:val="-1"/>
                <w:sz w:val="20"/>
                <w:szCs w:val="20"/>
              </w:rPr>
              <w:t xml:space="preserve"> </w:t>
            </w:r>
            <w:r w:rsidR="002B0F61" w:rsidRPr="00036229">
              <w:rPr>
                <w:rFonts w:eastAsia="Times New Roman"/>
                <w:sz w:val="20"/>
                <w:szCs w:val="20"/>
              </w:rPr>
              <w:t>2 jours</w:t>
            </w:r>
          </w:p>
        </w:tc>
      </w:tr>
      <w:tr w:rsidR="002B0F61" w:rsidRPr="00036229" w:rsidTr="00036229">
        <w:trPr>
          <w:trHeight w:hRule="exact" w:val="383"/>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z w:val="20"/>
                <w:szCs w:val="20"/>
              </w:rPr>
              <w:t>8</w:t>
            </w:r>
          </w:p>
        </w:tc>
        <w:tc>
          <w:tcPr>
            <w:tcW w:w="6315" w:type="dxa"/>
            <w:tcBorders>
              <w:top w:val="single" w:sz="6" w:space="0" w:color="000000"/>
              <w:left w:val="single" w:sz="6"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Lancer un processus d'examen des griefs si aucun accord n'est trouvé</w:t>
            </w:r>
            <w:r w:rsidR="002B1B29" w:rsidRPr="00036229">
              <w:rPr>
                <w:rFonts w:eastAsia="Times New Roman"/>
                <w:spacing w:val="-1"/>
                <w:sz w:val="20"/>
                <w:szCs w:val="20"/>
              </w:rPr>
              <w:t xml:space="preserve"> </w:t>
            </w:r>
            <w:r w:rsidRPr="00036229">
              <w:rPr>
                <w:rFonts w:eastAsia="Times New Roman"/>
                <w:sz w:val="20"/>
                <w:szCs w:val="20"/>
              </w:rPr>
              <w:t>en première instance</w:t>
            </w:r>
          </w:p>
        </w:tc>
        <w:tc>
          <w:tcPr>
            <w:tcW w:w="1967" w:type="dxa"/>
            <w:tcBorders>
              <w:top w:val="single" w:sz="6" w:space="0" w:color="000000"/>
              <w:left w:val="single" w:sz="6" w:space="0" w:color="000000"/>
              <w:bottom w:val="single" w:sz="6" w:space="0" w:color="000000"/>
              <w:right w:val="single" w:sz="12" w:space="0" w:color="000000"/>
            </w:tcBorders>
          </w:tcPr>
          <w:p w:rsidR="002B0F61" w:rsidRPr="00036229" w:rsidRDefault="00756E89"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w:t>
            </w:r>
            <w:r w:rsidR="002B0F61" w:rsidRPr="00036229">
              <w:rPr>
                <w:rFonts w:eastAsia="Times New Roman"/>
                <w:spacing w:val="-1"/>
                <w:sz w:val="20"/>
                <w:szCs w:val="20"/>
              </w:rPr>
              <w:t>ans</w:t>
            </w:r>
            <w:r w:rsidRPr="00036229">
              <w:rPr>
                <w:rFonts w:eastAsia="Times New Roman"/>
                <w:spacing w:val="-1"/>
                <w:sz w:val="20"/>
                <w:szCs w:val="20"/>
              </w:rPr>
              <w:t xml:space="preserve"> </w:t>
            </w:r>
            <w:r w:rsidR="002B0F61" w:rsidRPr="00036229">
              <w:rPr>
                <w:rFonts w:eastAsia="Times New Roman"/>
                <w:sz w:val="20"/>
                <w:szCs w:val="20"/>
              </w:rPr>
              <w:t>7 jours</w:t>
            </w:r>
          </w:p>
        </w:tc>
      </w:tr>
      <w:tr w:rsidR="002B0F61" w:rsidRPr="00036229" w:rsidTr="00345951">
        <w:trPr>
          <w:trHeight w:hRule="exact" w:val="332"/>
          <w:jc w:val="center"/>
        </w:trPr>
        <w:tc>
          <w:tcPr>
            <w:tcW w:w="900" w:type="dxa"/>
            <w:tcBorders>
              <w:top w:val="single" w:sz="6" w:space="0" w:color="000000"/>
              <w:left w:val="single" w:sz="12"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z w:val="20"/>
                <w:szCs w:val="20"/>
              </w:rPr>
              <w:t>9</w:t>
            </w:r>
          </w:p>
        </w:tc>
        <w:tc>
          <w:tcPr>
            <w:tcW w:w="6315" w:type="dxa"/>
            <w:tcBorders>
              <w:top w:val="single" w:sz="6" w:space="0" w:color="000000"/>
              <w:left w:val="single" w:sz="6" w:space="0" w:color="000000"/>
              <w:bottom w:val="single" w:sz="6"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Mettre en œuvre la recommandation d'examen et clore le grief</w:t>
            </w:r>
          </w:p>
        </w:tc>
        <w:tc>
          <w:tcPr>
            <w:tcW w:w="1967" w:type="dxa"/>
            <w:tcBorders>
              <w:top w:val="single" w:sz="6" w:space="0" w:color="000000"/>
              <w:left w:val="single" w:sz="6" w:space="0" w:color="000000"/>
              <w:bottom w:val="single" w:sz="6" w:space="0" w:color="000000"/>
              <w:right w:val="single" w:sz="12" w:space="0" w:color="000000"/>
            </w:tcBorders>
          </w:tcPr>
          <w:p w:rsidR="002B0F61" w:rsidRPr="00036229" w:rsidRDefault="002B1489"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D</w:t>
            </w:r>
            <w:r w:rsidR="002B0F61" w:rsidRPr="00036229">
              <w:rPr>
                <w:rFonts w:eastAsia="Times New Roman"/>
                <w:spacing w:val="-1"/>
                <w:sz w:val="20"/>
                <w:szCs w:val="20"/>
              </w:rPr>
              <w:t>ans</w:t>
            </w:r>
            <w:r w:rsidRPr="00036229">
              <w:rPr>
                <w:rFonts w:eastAsia="Times New Roman"/>
                <w:spacing w:val="-1"/>
                <w:sz w:val="20"/>
                <w:szCs w:val="20"/>
              </w:rPr>
              <w:t xml:space="preserve"> </w:t>
            </w:r>
            <w:r w:rsidR="002B0F61" w:rsidRPr="00036229">
              <w:rPr>
                <w:rFonts w:eastAsia="Times New Roman"/>
                <w:sz w:val="20"/>
                <w:szCs w:val="20"/>
              </w:rPr>
              <w:t>14 jours</w:t>
            </w:r>
          </w:p>
        </w:tc>
      </w:tr>
      <w:tr w:rsidR="002B0F61" w:rsidRPr="00036229" w:rsidTr="00345951">
        <w:trPr>
          <w:trHeight w:hRule="exact" w:val="349"/>
          <w:jc w:val="center"/>
        </w:trPr>
        <w:tc>
          <w:tcPr>
            <w:tcW w:w="900" w:type="dxa"/>
            <w:tcBorders>
              <w:top w:val="single" w:sz="6" w:space="0" w:color="000000"/>
              <w:left w:val="single" w:sz="12" w:space="0" w:color="000000"/>
              <w:bottom w:val="single" w:sz="12"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2" w:right="12"/>
              <w:contextualSpacing/>
              <w:rPr>
                <w:rFonts w:eastAsia="Times New Roman"/>
                <w:sz w:val="20"/>
                <w:szCs w:val="20"/>
              </w:rPr>
            </w:pPr>
            <w:r w:rsidRPr="00036229">
              <w:rPr>
                <w:rFonts w:eastAsia="Times New Roman"/>
                <w:spacing w:val="-1"/>
                <w:sz w:val="20"/>
                <w:szCs w:val="20"/>
              </w:rPr>
              <w:t>dix</w:t>
            </w:r>
          </w:p>
        </w:tc>
        <w:tc>
          <w:tcPr>
            <w:tcW w:w="6315" w:type="dxa"/>
            <w:tcBorders>
              <w:top w:val="single" w:sz="6" w:space="0" w:color="000000"/>
              <w:left w:val="single" w:sz="6" w:space="0" w:color="000000"/>
              <w:bottom w:val="single" w:sz="12" w:space="0" w:color="000000"/>
              <w:right w:val="single" w:sz="6"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r w:rsidRPr="00036229">
              <w:rPr>
                <w:rFonts w:eastAsia="Times New Roman"/>
                <w:spacing w:val="-1"/>
                <w:sz w:val="20"/>
                <w:szCs w:val="20"/>
              </w:rPr>
              <w:t>Grief</w:t>
            </w:r>
            <w:r w:rsidR="002B1B29" w:rsidRPr="00036229">
              <w:rPr>
                <w:rFonts w:eastAsia="Times New Roman"/>
                <w:spacing w:val="-1"/>
                <w:sz w:val="20"/>
                <w:szCs w:val="20"/>
              </w:rPr>
              <w:t xml:space="preserve"> </w:t>
            </w:r>
            <w:r w:rsidRPr="00036229">
              <w:rPr>
                <w:rFonts w:eastAsia="Times New Roman"/>
                <w:sz w:val="20"/>
                <w:szCs w:val="20"/>
              </w:rPr>
              <w:t>traduit en justice par le plaignant</w:t>
            </w:r>
          </w:p>
        </w:tc>
        <w:tc>
          <w:tcPr>
            <w:tcW w:w="1967" w:type="dxa"/>
            <w:tcBorders>
              <w:top w:val="single" w:sz="6" w:space="0" w:color="000000"/>
              <w:left w:val="single" w:sz="6" w:space="0" w:color="000000"/>
              <w:bottom w:val="single" w:sz="12" w:space="0" w:color="000000"/>
              <w:right w:val="single" w:sz="12" w:space="0" w:color="000000"/>
            </w:tcBorders>
          </w:tcPr>
          <w:p w:rsidR="002B0F61" w:rsidRPr="00036229" w:rsidRDefault="002B0F61" w:rsidP="00A76F4A">
            <w:pPr>
              <w:widowControl w:val="0"/>
              <w:kinsoku w:val="0"/>
              <w:overflowPunct w:val="0"/>
              <w:autoSpaceDE w:val="0"/>
              <w:autoSpaceDN w:val="0"/>
              <w:adjustRightInd w:val="0"/>
              <w:ind w:left="99" w:right="12"/>
              <w:contextualSpacing/>
              <w:rPr>
                <w:rFonts w:eastAsia="Times New Roman"/>
                <w:sz w:val="20"/>
                <w:szCs w:val="20"/>
              </w:rPr>
            </w:pPr>
          </w:p>
        </w:tc>
      </w:tr>
    </w:tbl>
    <w:p w:rsidR="002B0F61" w:rsidRPr="00CF3BDE" w:rsidRDefault="002B0F61" w:rsidP="00A76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
        <w:contextualSpacing/>
        <w:rPr>
          <w:b/>
          <w:color w:val="538135"/>
        </w:rPr>
      </w:pPr>
    </w:p>
    <w:p w:rsidR="002B0F61" w:rsidRPr="00036229" w:rsidRDefault="002B0F61"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54" w:name="_Toc75432344"/>
      <w:r w:rsidRPr="00CF3BDE">
        <w:rPr>
          <w:rFonts w:ascii="Times New Roman" w:hAnsi="Times New Roman"/>
          <w:b/>
          <w:bCs/>
          <w:sz w:val="24"/>
          <w:szCs w:val="24"/>
        </w:rPr>
        <w:t>Lieux d'</w:t>
      </w:r>
      <w:r w:rsidR="00E31232" w:rsidRPr="00CF3BDE">
        <w:rPr>
          <w:rFonts w:ascii="Times New Roman" w:hAnsi="Times New Roman"/>
          <w:b/>
          <w:bCs/>
          <w:sz w:val="24"/>
          <w:szCs w:val="24"/>
        </w:rPr>
        <w:t>enregistrement des plaintes</w:t>
      </w:r>
      <w:r w:rsidRPr="00CF3BDE">
        <w:rPr>
          <w:rFonts w:ascii="Times New Roman" w:hAnsi="Times New Roman"/>
          <w:b/>
          <w:bCs/>
          <w:sz w:val="24"/>
          <w:szCs w:val="24"/>
        </w:rPr>
        <w:t xml:space="preserve"> - Voies de recours</w:t>
      </w:r>
      <w:bookmarkEnd w:id="454"/>
    </w:p>
    <w:p w:rsidR="000C5C6E" w:rsidRPr="00CF3BDE" w:rsidRDefault="002B0F61" w:rsidP="00A76F4A">
      <w:pPr>
        <w:autoSpaceDE w:val="0"/>
        <w:autoSpaceDN w:val="0"/>
        <w:adjustRightInd w:val="0"/>
        <w:ind w:right="12"/>
        <w:jc w:val="both"/>
      </w:pPr>
      <w:r w:rsidRPr="00CF3BDE">
        <w:t>Une réclamation peut être enregistrée directement via</w:t>
      </w:r>
      <w:r w:rsidR="004D706A" w:rsidRPr="00CF3BDE">
        <w:t xml:space="preserve"> l'un des modes suivants et, si </w:t>
      </w:r>
      <w:r w:rsidRPr="00CF3BDE">
        <w:t>nécessaire, de manière anonyme ou par l'intermédiaire de tiers.</w:t>
      </w:r>
    </w:p>
    <w:p w:rsidR="002B0F61" w:rsidRPr="00094014" w:rsidRDefault="002B0F61" w:rsidP="00A76F4A">
      <w:pPr>
        <w:pStyle w:val="Textodecomentrio"/>
        <w:numPr>
          <w:ilvl w:val="0"/>
          <w:numId w:val="166"/>
        </w:numPr>
        <w:ind w:right="12"/>
        <w:jc w:val="both"/>
        <w:rPr>
          <w:sz w:val="22"/>
          <w:szCs w:val="22"/>
        </w:rPr>
      </w:pPr>
      <w:r w:rsidRPr="00094014">
        <w:rPr>
          <w:sz w:val="22"/>
          <w:szCs w:val="22"/>
        </w:rPr>
        <w:t xml:space="preserve">En personne avec </w:t>
      </w:r>
      <w:r w:rsidR="000F4659" w:rsidRPr="00094014">
        <w:rPr>
          <w:sz w:val="22"/>
          <w:szCs w:val="22"/>
        </w:rPr>
        <w:t>ou par lettre au point focal MGP</w:t>
      </w:r>
      <w:r w:rsidRPr="00094014">
        <w:rPr>
          <w:sz w:val="22"/>
          <w:szCs w:val="22"/>
        </w:rPr>
        <w:t xml:space="preserve"> local</w:t>
      </w:r>
    </w:p>
    <w:p w:rsidR="002B0F61" w:rsidRPr="00094014" w:rsidRDefault="002B0F61" w:rsidP="00A76F4A">
      <w:pPr>
        <w:pStyle w:val="Textodecomentrio"/>
        <w:numPr>
          <w:ilvl w:val="0"/>
          <w:numId w:val="166"/>
        </w:numPr>
        <w:ind w:right="12"/>
        <w:jc w:val="both"/>
        <w:rPr>
          <w:sz w:val="22"/>
          <w:szCs w:val="22"/>
        </w:rPr>
      </w:pPr>
      <w:r w:rsidRPr="00094014">
        <w:rPr>
          <w:sz w:val="22"/>
          <w:szCs w:val="22"/>
        </w:rPr>
        <w:t>Par téléphone (appel gratuit à établir avec MARD)</w:t>
      </w:r>
    </w:p>
    <w:p w:rsidR="002B0F61" w:rsidRPr="00094014" w:rsidRDefault="002B0F61" w:rsidP="00A76F4A">
      <w:pPr>
        <w:pStyle w:val="Textodecomentrio"/>
        <w:numPr>
          <w:ilvl w:val="0"/>
          <w:numId w:val="166"/>
        </w:numPr>
        <w:ind w:right="12"/>
        <w:jc w:val="both"/>
        <w:rPr>
          <w:sz w:val="22"/>
          <w:szCs w:val="22"/>
        </w:rPr>
      </w:pPr>
      <w:r w:rsidRPr="00094014">
        <w:rPr>
          <w:sz w:val="22"/>
          <w:szCs w:val="22"/>
        </w:rPr>
        <w:t>Par e-mail à (l'adresse sera bientôt activée)</w:t>
      </w:r>
    </w:p>
    <w:p w:rsidR="002B0F61" w:rsidRPr="00CF3BDE" w:rsidRDefault="002B0F61" w:rsidP="00A76F4A">
      <w:pPr>
        <w:pStyle w:val="Textodecomentrio"/>
        <w:ind w:right="12"/>
        <w:jc w:val="both"/>
      </w:pPr>
    </w:p>
    <w:p w:rsidR="002B0F61" w:rsidRPr="00CF3BDE" w:rsidRDefault="00635768" w:rsidP="00A76F4A">
      <w:pPr>
        <w:autoSpaceDE w:val="0"/>
        <w:autoSpaceDN w:val="0"/>
        <w:adjustRightInd w:val="0"/>
        <w:ind w:right="12"/>
        <w:jc w:val="both"/>
      </w:pPr>
      <w:r>
        <w:t>Ainsi, comme indique dans la dernière mise à jour du PMPP, l</w:t>
      </w:r>
      <w:r w:rsidR="002B0F61" w:rsidRPr="00CF3BDE">
        <w:t>e ministère de l'Agriculture et du Développement rural met en place des mesures supplémentaires pour traiter les plaintes sensibles et confidentielles, y compris celles liées à l'exploitation et aux abus / harcèlement sexuels (</w:t>
      </w:r>
      <w:r w:rsidR="00BD4BF0">
        <w:t>EAS/HS</w:t>
      </w:r>
      <w:r w:rsidR="002B0F61" w:rsidRPr="00CF3BDE">
        <w:t>). Les détails seront fournis dans la mise à jour du SEP.</w:t>
      </w:r>
    </w:p>
    <w:p w:rsidR="002B0F61" w:rsidRPr="007617B8" w:rsidRDefault="002B0F61" w:rsidP="00A76F4A">
      <w:pPr>
        <w:autoSpaceDE w:val="0"/>
        <w:autoSpaceDN w:val="0"/>
        <w:adjustRightInd w:val="0"/>
        <w:ind w:right="12"/>
        <w:jc w:val="both"/>
      </w:pPr>
      <w:r w:rsidRPr="00CF3BDE">
        <w:t>Une fois qu'une plainte a été reçue, elle doit être enreg</w:t>
      </w:r>
      <w:r w:rsidR="000F4659" w:rsidRPr="00CF3BDE">
        <w:t>istrée par les points focaux MGP</w:t>
      </w:r>
      <w:r w:rsidRPr="00CF3BDE">
        <w:t xml:space="preserve"> locaux ou le spécialiste E&amp;S de la CEP dans le registre des plaintes ou da</w:t>
      </w:r>
      <w:r w:rsidR="000C5C6E" w:rsidRPr="00CF3BDE">
        <w:t>ns la base de données des plaintes</w:t>
      </w:r>
      <w:r w:rsidRPr="00CF3BDE">
        <w:t xml:space="preserve"> Excel-Sheet-. </w:t>
      </w:r>
    </w:p>
    <w:p w:rsidR="002B0F61" w:rsidRPr="00036229" w:rsidRDefault="002B0F61"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55" w:name="_Toc75432345"/>
      <w:r w:rsidRPr="00CF3BDE">
        <w:rPr>
          <w:rFonts w:ascii="Times New Roman" w:hAnsi="Times New Roman"/>
          <w:b/>
          <w:bCs/>
          <w:sz w:val="24"/>
          <w:szCs w:val="24"/>
        </w:rPr>
        <w:t>Dispositions organisationnelles</w:t>
      </w:r>
      <w:bookmarkEnd w:id="455"/>
    </w:p>
    <w:p w:rsidR="002B0F61" w:rsidRPr="00CF3BDE" w:rsidRDefault="002B0F61" w:rsidP="00A76F4A">
      <w:pPr>
        <w:autoSpaceDE w:val="0"/>
        <w:autoSpaceDN w:val="0"/>
        <w:adjustRightInd w:val="0"/>
        <w:ind w:right="12"/>
        <w:jc w:val="both"/>
      </w:pPr>
      <w:r w:rsidRPr="00CF3BDE">
        <w:t xml:space="preserve">Les réclamations seront traitées au niveau national par MARD. Le </w:t>
      </w:r>
      <w:r w:rsidR="00106557">
        <w:t>MGP</w:t>
      </w:r>
      <w:r w:rsidRPr="00CF3BDE">
        <w:t xml:space="preserve"> comprendra les étapes </w:t>
      </w:r>
      <w:r w:rsidR="006D0E5F" w:rsidRPr="00CF3BDE">
        <w:t>suivantes :</w:t>
      </w:r>
    </w:p>
    <w:p w:rsidR="002B0F61" w:rsidRPr="00036229" w:rsidRDefault="002B0F61" w:rsidP="00A76F4A">
      <w:pPr>
        <w:pStyle w:val="Textodecomentrio"/>
        <w:numPr>
          <w:ilvl w:val="0"/>
          <w:numId w:val="167"/>
        </w:numPr>
        <w:ind w:right="12"/>
        <w:jc w:val="both"/>
      </w:pPr>
      <w:r w:rsidRPr="00036229">
        <w:t>Étape 1: Réclamation soulevée auprès du point focal de règlement des griefs de la communauté locale</w:t>
      </w:r>
    </w:p>
    <w:p w:rsidR="002B0F61" w:rsidRPr="00036229" w:rsidRDefault="002B0F61" w:rsidP="00A76F4A">
      <w:pPr>
        <w:pStyle w:val="Textodecomentrio"/>
        <w:numPr>
          <w:ilvl w:val="0"/>
          <w:numId w:val="167"/>
        </w:numPr>
        <w:ind w:right="12"/>
        <w:jc w:val="both"/>
      </w:pPr>
      <w:r w:rsidRPr="00036229">
        <w:t>Étape 2: Les griefs non résolus portés au comité des griefs MARD</w:t>
      </w:r>
    </w:p>
    <w:p w:rsidR="002B0F61" w:rsidRPr="00CF3BDE" w:rsidRDefault="002B0F61" w:rsidP="00A76F4A">
      <w:pPr>
        <w:pStyle w:val="Textodecomentrio"/>
        <w:ind w:right="12"/>
        <w:jc w:val="both"/>
      </w:pPr>
    </w:p>
    <w:p w:rsidR="002B0F61" w:rsidRPr="00CF3BDE" w:rsidRDefault="002B0F61" w:rsidP="00A76F4A">
      <w:pPr>
        <w:autoSpaceDE w:val="0"/>
        <w:autoSpaceDN w:val="0"/>
        <w:adjustRightInd w:val="0"/>
        <w:ind w:right="12"/>
        <w:jc w:val="both"/>
      </w:pPr>
      <w:r w:rsidRPr="00CF3BDE">
        <w:t>Une fois que toutes les réparations possibles ont été proposées et si le plaignant n'est toujours pas satisfait, il doit être informé de son droit à un recours juridique.</w:t>
      </w:r>
    </w:p>
    <w:p w:rsidR="002B0F61" w:rsidRPr="00CF3BDE" w:rsidRDefault="002B0F61" w:rsidP="00A76F4A">
      <w:pPr>
        <w:autoSpaceDE w:val="0"/>
        <w:autoSpaceDN w:val="0"/>
        <w:adjustRightInd w:val="0"/>
        <w:ind w:right="12"/>
        <w:jc w:val="both"/>
      </w:pPr>
      <w:r w:rsidRPr="00CF3BDE">
        <w:t xml:space="preserve">Au niveau national, le </w:t>
      </w:r>
      <w:r w:rsidR="00106557">
        <w:t>MGP</w:t>
      </w:r>
      <w:r w:rsidRPr="00CF3BDE">
        <w:t xml:space="preserve"> sera géré au niveau de l'UCP MARD. Le spécialiste E&amp;S gérera le </w:t>
      </w:r>
      <w:r w:rsidR="00106557">
        <w:t>MGP</w:t>
      </w:r>
      <w:r w:rsidRPr="00CF3BDE">
        <w:t xml:space="preserve"> au jour le jour, y compris les interactions avec les points focaux </w:t>
      </w:r>
      <w:r w:rsidR="00106557">
        <w:t>MGP</w:t>
      </w:r>
      <w:r w:rsidRPr="00CF3BDE">
        <w:t xml:space="preserve"> locaux, qui en rendront compte périodiquement.</w:t>
      </w:r>
    </w:p>
    <w:p w:rsidR="002B0F61" w:rsidRPr="009C1D9E" w:rsidRDefault="002B0F61" w:rsidP="00A76F4A">
      <w:pPr>
        <w:autoSpaceDE w:val="0"/>
        <w:autoSpaceDN w:val="0"/>
        <w:adjustRightInd w:val="0"/>
        <w:ind w:right="12"/>
        <w:jc w:val="both"/>
      </w:pPr>
    </w:p>
    <w:p w:rsidR="00743A8C" w:rsidRPr="00CF3BDE" w:rsidRDefault="00743A8C" w:rsidP="00A76F4A">
      <w:pPr>
        <w:autoSpaceDE w:val="0"/>
        <w:autoSpaceDN w:val="0"/>
        <w:adjustRightInd w:val="0"/>
        <w:ind w:right="12"/>
        <w:jc w:val="both"/>
      </w:pPr>
      <w:r w:rsidRPr="00CF3BDE">
        <w:t xml:space="preserve">En ce qui concerne les plaintes d’EAS/HS, le traitement confidentiel des données est essentiel, et l’enregistrement de la plainte doit être fait que par l’opérateur du MGP, et mis en connaissance de la Banque Mondiale dans </w:t>
      </w:r>
      <w:r w:rsidR="00955B8D" w:rsidRPr="00CF3BDE">
        <w:t>un délai</w:t>
      </w:r>
      <w:r w:rsidRPr="00CF3BDE">
        <w:t xml:space="preserve"> de 24 heures dès l’enregistrement.</w:t>
      </w:r>
    </w:p>
    <w:p w:rsidR="00743A8C" w:rsidRPr="00CF3BDE" w:rsidRDefault="00743A8C" w:rsidP="00A76F4A">
      <w:pPr>
        <w:autoSpaceDE w:val="0"/>
        <w:autoSpaceDN w:val="0"/>
        <w:adjustRightInd w:val="0"/>
        <w:ind w:right="12"/>
        <w:jc w:val="both"/>
      </w:pPr>
      <w:r w:rsidRPr="00CF3BDE">
        <w:t xml:space="preserve">Si le projet recruté une ONG spécialisé pour l’appui dans la mise en œuvre des actions contre l’EAS/HS, y compris le MGP, cette organisation pourra réaliser l’enregistrement de la plainte </w:t>
      </w:r>
      <w:r w:rsidRPr="00CF3BDE">
        <w:lastRenderedPageBreak/>
        <w:t>et aussi assurera la représentation de la survivante auprès du MGP avec son consentement éclairé</w:t>
      </w:r>
    </w:p>
    <w:p w:rsidR="00743A8C" w:rsidRPr="00CF3BDE" w:rsidRDefault="00743A8C" w:rsidP="00A76F4A">
      <w:pPr>
        <w:autoSpaceDE w:val="0"/>
        <w:autoSpaceDN w:val="0"/>
        <w:adjustRightInd w:val="0"/>
        <w:ind w:right="12"/>
        <w:jc w:val="both"/>
      </w:pPr>
      <w:r w:rsidRPr="00CF3BDE">
        <w:t xml:space="preserve">Une fois que le processus de vérification a terminé et conclu que la plainte est liée au projet, le présumé auteur devra être informé de la sanction établie, ainsi que la survivante </w:t>
      </w:r>
    </w:p>
    <w:p w:rsidR="00125C75" w:rsidRDefault="00743A8C" w:rsidP="00A76F4A">
      <w:pPr>
        <w:autoSpaceDE w:val="0"/>
        <w:autoSpaceDN w:val="0"/>
        <w:adjustRightInd w:val="0"/>
        <w:ind w:right="12"/>
        <w:jc w:val="both"/>
      </w:pPr>
      <w:r w:rsidRPr="00CF3BDE">
        <w:t xml:space="preserve">Le processus de vérification est un processus administratif qui ne donnera pas aucune compensation économique à la survivante, et conclura avec une sanction, dans le cas échéant, au présumé auteur. Cette résolution ne détermine pas la responsabilité et/ou culpabilité, sinon la probabilité que cet acte soit lié ou pas au projet  </w:t>
      </w:r>
    </w:p>
    <w:p w:rsidR="00125C75" w:rsidRPr="00CF3BDE" w:rsidRDefault="00125C75" w:rsidP="00A76F4A">
      <w:pPr>
        <w:pStyle w:val="PargrafodaLista"/>
        <w:numPr>
          <w:ilvl w:val="2"/>
          <w:numId w:val="283"/>
        </w:numPr>
        <w:spacing w:after="120" w:line="240" w:lineRule="auto"/>
        <w:ind w:right="12"/>
        <w:outlineLvl w:val="1"/>
        <w:rPr>
          <w:rFonts w:ascii="Times New Roman" w:hAnsi="Times New Roman"/>
          <w:b/>
          <w:bCs/>
          <w:sz w:val="24"/>
          <w:szCs w:val="24"/>
        </w:rPr>
      </w:pPr>
      <w:bookmarkStart w:id="456" w:name="_Toc153567905"/>
      <w:bookmarkStart w:id="457" w:name="_Toc375311836"/>
      <w:bookmarkStart w:id="458" w:name="_Toc529964829"/>
      <w:bookmarkStart w:id="459" w:name="_Toc535408390"/>
      <w:bookmarkStart w:id="460" w:name="_Toc11158414"/>
      <w:bookmarkStart w:id="461" w:name="_Toc51072634"/>
      <w:bookmarkStart w:id="462" w:name="_Toc75432346"/>
      <w:bookmarkEnd w:id="452"/>
      <w:r w:rsidRPr="00CF3BDE">
        <w:rPr>
          <w:rFonts w:ascii="Times New Roman" w:hAnsi="Times New Roman"/>
          <w:b/>
          <w:bCs/>
          <w:sz w:val="24"/>
          <w:szCs w:val="24"/>
        </w:rPr>
        <w:t>Dispositions administratives et recours à la justice</w:t>
      </w:r>
      <w:bookmarkEnd w:id="456"/>
      <w:bookmarkEnd w:id="457"/>
      <w:bookmarkEnd w:id="458"/>
      <w:bookmarkEnd w:id="459"/>
      <w:bookmarkEnd w:id="460"/>
      <w:bookmarkEnd w:id="461"/>
      <w:bookmarkEnd w:id="462"/>
    </w:p>
    <w:p w:rsidR="00125C75" w:rsidRDefault="00125C75" w:rsidP="00A76F4A">
      <w:pPr>
        <w:autoSpaceDE w:val="0"/>
        <w:autoSpaceDN w:val="0"/>
        <w:adjustRightInd w:val="0"/>
        <w:ind w:right="12"/>
        <w:jc w:val="both"/>
      </w:pPr>
      <w:r w:rsidRPr="00CF3BDE">
        <w:t xml:space="preserve">Le recours à la justice est aussi possible indépendamment de la voie amiable. Le plaignant peut à tout moment saisir la justice à travers le tribunal Départemental. Pour cela, la démarche à suivre est la suivante : (i) le plaignant rédige une plainte adressée au Juge du Tribunal départemental concernée ; (ii) le plaignant dépose la plainte au Tribunal départemental ; (iii) le Juge convoque le plaignant et le représentant du projet PUSA pour les entendre ; (iv) le Juge commet au besoin une commission d’évaluation de la plainte ; (iv) le Juge rend son verdict. </w:t>
      </w:r>
    </w:p>
    <w:p w:rsidR="000E214D" w:rsidRPr="00CF3BDE" w:rsidRDefault="000E214D" w:rsidP="00A76F4A">
      <w:pPr>
        <w:autoSpaceDE w:val="0"/>
        <w:autoSpaceDN w:val="0"/>
        <w:adjustRightInd w:val="0"/>
        <w:ind w:left="142" w:right="12"/>
        <w:jc w:val="both"/>
      </w:pPr>
    </w:p>
    <w:p w:rsidR="00125C75" w:rsidRPr="000E214D" w:rsidRDefault="00125C75" w:rsidP="00A76F4A">
      <w:pPr>
        <w:pStyle w:val="PargrafodaLista"/>
        <w:numPr>
          <w:ilvl w:val="0"/>
          <w:numId w:val="98"/>
        </w:numPr>
        <w:autoSpaceDE w:val="0"/>
        <w:autoSpaceDN w:val="0"/>
        <w:adjustRightInd w:val="0"/>
        <w:spacing w:after="0" w:line="240" w:lineRule="auto"/>
        <w:ind w:right="12"/>
        <w:jc w:val="both"/>
        <w:rPr>
          <w:rFonts w:ascii="Times New Roman" w:hAnsi="Times New Roman"/>
          <w:b/>
          <w:bCs/>
          <w:sz w:val="24"/>
          <w:szCs w:val="28"/>
        </w:rPr>
      </w:pPr>
      <w:bookmarkStart w:id="463" w:name="_Toc501105932"/>
      <w:bookmarkStart w:id="464" w:name="_Toc511207474"/>
      <w:r w:rsidRPr="00CF3BDE">
        <w:rPr>
          <w:rFonts w:ascii="Times New Roman" w:hAnsi="Times New Roman"/>
          <w:b/>
          <w:bCs/>
          <w:sz w:val="24"/>
          <w:szCs w:val="28"/>
        </w:rPr>
        <w:t xml:space="preserve">Procédure de la Gestion des Plaintes du </w:t>
      </w:r>
      <w:bookmarkEnd w:id="463"/>
      <w:bookmarkEnd w:id="464"/>
      <w:r w:rsidRPr="00CF3BDE">
        <w:rPr>
          <w:rFonts w:ascii="Times New Roman" w:hAnsi="Times New Roman"/>
          <w:b/>
          <w:bCs/>
          <w:sz w:val="24"/>
          <w:szCs w:val="28"/>
        </w:rPr>
        <w:t>projet PUSA</w:t>
      </w:r>
    </w:p>
    <w:p w:rsidR="00125C75" w:rsidRPr="00036229" w:rsidRDefault="00125C75" w:rsidP="00A76F4A">
      <w:pPr>
        <w:pStyle w:val="PargrafodaLista"/>
        <w:numPr>
          <w:ilvl w:val="0"/>
          <w:numId w:val="97"/>
        </w:numPr>
        <w:autoSpaceDE w:val="0"/>
        <w:autoSpaceDN w:val="0"/>
        <w:adjustRightInd w:val="0"/>
        <w:spacing w:after="0" w:line="240" w:lineRule="auto"/>
        <w:ind w:left="1134" w:right="12" w:hanging="425"/>
        <w:jc w:val="both"/>
        <w:rPr>
          <w:rFonts w:ascii="Times New Roman" w:hAnsi="Times New Roman"/>
          <w:b/>
        </w:rPr>
      </w:pPr>
      <w:r w:rsidRPr="00036229">
        <w:rPr>
          <w:rFonts w:ascii="Times New Roman" w:hAnsi="Times New Roman"/>
          <w:b/>
        </w:rPr>
        <w:t xml:space="preserve">Enregistrement des Plaintes </w:t>
      </w:r>
      <w:r w:rsidRPr="00036229">
        <w:rPr>
          <w:rFonts w:ascii="Times New Roman" w:hAnsi="Times New Roman"/>
        </w:rPr>
        <w:t>(l’accès à l’information concernant le fonctionnement du système de dépôt et de gestion des plaintes</w:t>
      </w:r>
      <w:r w:rsidR="00587A3B" w:rsidRPr="00036229">
        <w:rPr>
          <w:rFonts w:ascii="Times New Roman" w:hAnsi="Times New Roman"/>
        </w:rPr>
        <w:t>) ;</w:t>
      </w:r>
    </w:p>
    <w:p w:rsidR="00125C75" w:rsidRPr="00036229" w:rsidRDefault="00125C75" w:rsidP="00A76F4A">
      <w:pPr>
        <w:pStyle w:val="PargrafodaLista"/>
        <w:numPr>
          <w:ilvl w:val="0"/>
          <w:numId w:val="97"/>
        </w:numPr>
        <w:autoSpaceDE w:val="0"/>
        <w:autoSpaceDN w:val="0"/>
        <w:adjustRightInd w:val="0"/>
        <w:spacing w:after="0" w:line="240" w:lineRule="auto"/>
        <w:ind w:left="1134" w:right="12" w:hanging="425"/>
        <w:jc w:val="both"/>
        <w:rPr>
          <w:rFonts w:ascii="Times New Roman" w:hAnsi="Times New Roman"/>
          <w:b/>
        </w:rPr>
      </w:pPr>
      <w:r w:rsidRPr="00036229">
        <w:rPr>
          <w:rFonts w:ascii="Times New Roman" w:hAnsi="Times New Roman"/>
          <w:b/>
        </w:rPr>
        <w:t>Tri et le traitement</w:t>
      </w:r>
      <w:r w:rsidRPr="00036229">
        <w:rPr>
          <w:rFonts w:ascii="Times New Roman" w:hAnsi="Times New Roman"/>
        </w:rPr>
        <w:t xml:space="preserve"> des </w:t>
      </w:r>
      <w:r w:rsidR="00587A3B" w:rsidRPr="00036229">
        <w:rPr>
          <w:rFonts w:ascii="Times New Roman" w:hAnsi="Times New Roman"/>
        </w:rPr>
        <w:t>plaintes ;</w:t>
      </w:r>
    </w:p>
    <w:p w:rsidR="00125C75" w:rsidRPr="00036229" w:rsidRDefault="00125C75" w:rsidP="00A76F4A">
      <w:pPr>
        <w:pStyle w:val="PargrafodaLista"/>
        <w:numPr>
          <w:ilvl w:val="0"/>
          <w:numId w:val="97"/>
        </w:numPr>
        <w:autoSpaceDE w:val="0"/>
        <w:autoSpaceDN w:val="0"/>
        <w:adjustRightInd w:val="0"/>
        <w:spacing w:after="0" w:line="240" w:lineRule="auto"/>
        <w:ind w:left="1134" w:right="12" w:hanging="425"/>
        <w:jc w:val="both"/>
        <w:rPr>
          <w:rFonts w:ascii="Times New Roman" w:hAnsi="Times New Roman"/>
          <w:b/>
        </w:rPr>
      </w:pPr>
      <w:r w:rsidRPr="00036229">
        <w:rPr>
          <w:rFonts w:ascii="Times New Roman" w:hAnsi="Times New Roman"/>
          <w:b/>
        </w:rPr>
        <w:t>Examen et enquête</w:t>
      </w:r>
    </w:p>
    <w:p w:rsidR="00125C75" w:rsidRPr="00036229" w:rsidRDefault="00125C75" w:rsidP="00A76F4A">
      <w:pPr>
        <w:pStyle w:val="PargrafodaLista"/>
        <w:numPr>
          <w:ilvl w:val="0"/>
          <w:numId w:val="97"/>
        </w:numPr>
        <w:autoSpaceDE w:val="0"/>
        <w:autoSpaceDN w:val="0"/>
        <w:adjustRightInd w:val="0"/>
        <w:spacing w:after="0" w:line="240" w:lineRule="auto"/>
        <w:ind w:left="1134" w:right="12" w:hanging="425"/>
        <w:jc w:val="both"/>
        <w:rPr>
          <w:rFonts w:ascii="Times New Roman" w:hAnsi="Times New Roman"/>
          <w:b/>
        </w:rPr>
      </w:pPr>
      <w:r w:rsidRPr="00036229">
        <w:rPr>
          <w:rFonts w:ascii="Times New Roman" w:hAnsi="Times New Roman"/>
          <w:b/>
        </w:rPr>
        <w:t>Réponse et prise de mesures</w:t>
      </w:r>
    </w:p>
    <w:p w:rsidR="00125C75" w:rsidRPr="00036229" w:rsidRDefault="00125C75" w:rsidP="00A76F4A">
      <w:pPr>
        <w:pStyle w:val="PargrafodaLista"/>
        <w:numPr>
          <w:ilvl w:val="0"/>
          <w:numId w:val="97"/>
        </w:numPr>
        <w:autoSpaceDE w:val="0"/>
        <w:autoSpaceDN w:val="0"/>
        <w:adjustRightInd w:val="0"/>
        <w:spacing w:after="0" w:line="240" w:lineRule="auto"/>
        <w:ind w:left="1134" w:right="12" w:hanging="425"/>
        <w:jc w:val="both"/>
        <w:rPr>
          <w:rFonts w:ascii="Times New Roman" w:hAnsi="Times New Roman"/>
          <w:b/>
        </w:rPr>
      </w:pPr>
      <w:r w:rsidRPr="00036229">
        <w:rPr>
          <w:rFonts w:ascii="Times New Roman" w:hAnsi="Times New Roman"/>
          <w:b/>
        </w:rPr>
        <w:t>Procédure d’appel</w:t>
      </w:r>
    </w:p>
    <w:p w:rsidR="00125C75" w:rsidRPr="00036229" w:rsidRDefault="00125C75" w:rsidP="00A76F4A">
      <w:pPr>
        <w:pStyle w:val="PargrafodaLista"/>
        <w:numPr>
          <w:ilvl w:val="0"/>
          <w:numId w:val="97"/>
        </w:numPr>
        <w:autoSpaceDE w:val="0"/>
        <w:autoSpaceDN w:val="0"/>
        <w:adjustRightInd w:val="0"/>
        <w:spacing w:after="0" w:line="240" w:lineRule="auto"/>
        <w:ind w:left="1134" w:right="12" w:hanging="425"/>
        <w:jc w:val="both"/>
        <w:rPr>
          <w:rFonts w:ascii="Times New Roman" w:hAnsi="Times New Roman"/>
          <w:b/>
        </w:rPr>
      </w:pPr>
      <w:r w:rsidRPr="00036229">
        <w:rPr>
          <w:rFonts w:ascii="Times New Roman" w:hAnsi="Times New Roman"/>
          <w:b/>
        </w:rPr>
        <w:t>Résolution</w:t>
      </w:r>
    </w:p>
    <w:p w:rsidR="00125C75" w:rsidRPr="00036229" w:rsidRDefault="00125C75" w:rsidP="00A76F4A">
      <w:pPr>
        <w:pStyle w:val="PargrafodaLista"/>
        <w:numPr>
          <w:ilvl w:val="0"/>
          <w:numId w:val="97"/>
        </w:numPr>
        <w:autoSpaceDE w:val="0"/>
        <w:autoSpaceDN w:val="0"/>
        <w:adjustRightInd w:val="0"/>
        <w:spacing w:after="0" w:line="240" w:lineRule="auto"/>
        <w:ind w:left="1134" w:right="12" w:hanging="425"/>
        <w:jc w:val="both"/>
        <w:rPr>
          <w:rFonts w:ascii="Times New Roman" w:hAnsi="Times New Roman"/>
          <w:b/>
        </w:rPr>
      </w:pPr>
      <w:r w:rsidRPr="00036229">
        <w:rPr>
          <w:rFonts w:ascii="Times New Roman" w:hAnsi="Times New Roman"/>
          <w:b/>
        </w:rPr>
        <w:t>Recours au Tribunal</w:t>
      </w:r>
    </w:p>
    <w:p w:rsidR="00125C75" w:rsidRPr="00036229" w:rsidRDefault="00125C75" w:rsidP="00A76F4A">
      <w:pPr>
        <w:pStyle w:val="PargrafodaLista"/>
        <w:numPr>
          <w:ilvl w:val="0"/>
          <w:numId w:val="97"/>
        </w:numPr>
        <w:autoSpaceDE w:val="0"/>
        <w:autoSpaceDN w:val="0"/>
        <w:adjustRightInd w:val="0"/>
        <w:spacing w:after="0" w:line="240" w:lineRule="auto"/>
        <w:ind w:left="1134" w:right="12" w:hanging="425"/>
        <w:jc w:val="both"/>
        <w:rPr>
          <w:rFonts w:ascii="Times New Roman" w:hAnsi="Times New Roman"/>
          <w:b/>
        </w:rPr>
      </w:pPr>
      <w:r w:rsidRPr="00036229">
        <w:rPr>
          <w:rFonts w:ascii="Times New Roman" w:hAnsi="Times New Roman"/>
          <w:b/>
        </w:rPr>
        <w:t>Suivi et enregistrement des plaintes</w:t>
      </w:r>
    </w:p>
    <w:p w:rsidR="002A3AA9" w:rsidRPr="00CF3BDE" w:rsidRDefault="002A3AA9" w:rsidP="00A76F4A">
      <w:pPr>
        <w:ind w:right="12"/>
        <w:jc w:val="both"/>
      </w:pPr>
    </w:p>
    <w:p w:rsidR="006B07CE" w:rsidRPr="00CF3BDE" w:rsidRDefault="00F6724C" w:rsidP="00ED1558">
      <w:pPr>
        <w:autoSpaceDE w:val="0"/>
        <w:autoSpaceDN w:val="0"/>
        <w:adjustRightInd w:val="0"/>
        <w:ind w:left="142" w:right="12"/>
        <w:jc w:val="both"/>
      </w:pPr>
      <w:r>
        <w:rPr>
          <w:b/>
          <w:bCs/>
        </w:rPr>
        <w:t xml:space="preserve">Ainsi, le </w:t>
      </w:r>
      <w:r w:rsidRPr="002B08BA">
        <w:rPr>
          <w:b/>
          <w:bCs/>
        </w:rPr>
        <w:t>traitement de plaintes D’EAS/HS</w:t>
      </w:r>
      <w:r w:rsidRPr="00A05698" w:rsidDel="00622329">
        <w:rPr>
          <w:b/>
          <w:bCs/>
        </w:rPr>
        <w:t xml:space="preserve"> </w:t>
      </w:r>
      <w:r w:rsidRPr="00A05698">
        <w:rPr>
          <w:b/>
          <w:bCs/>
        </w:rPr>
        <w:t>ET VCE</w:t>
      </w:r>
      <w:r>
        <w:rPr>
          <w:b/>
          <w:bCs/>
        </w:rPr>
        <w:t xml:space="preserve"> est développé dans l’annexe n°3 </w:t>
      </w:r>
      <w:r w:rsidRPr="00CF3BDE">
        <w:t xml:space="preserve"> </w:t>
      </w:r>
    </w:p>
    <w:p w:rsidR="00125C75" w:rsidRPr="00CF3BDE" w:rsidRDefault="00125C75" w:rsidP="00A76F4A">
      <w:pPr>
        <w:autoSpaceDE w:val="0"/>
        <w:autoSpaceDN w:val="0"/>
        <w:adjustRightInd w:val="0"/>
        <w:ind w:right="12"/>
        <w:jc w:val="both"/>
      </w:pPr>
      <w:r w:rsidRPr="00CF3BDE">
        <w:t>La figure</w:t>
      </w:r>
      <w:r w:rsidR="005C76E4">
        <w:t xml:space="preserve"> 8 </w:t>
      </w:r>
      <w:r w:rsidRPr="00CF3BDE">
        <w:t xml:space="preserve">suivante résume le circuit du MGP du projet </w:t>
      </w:r>
      <w:r w:rsidR="00587A3B" w:rsidRPr="00CF3BDE">
        <w:t>PUSA :</w:t>
      </w:r>
      <w:r w:rsidRPr="00CF3BDE">
        <w:t xml:space="preserve"> </w:t>
      </w:r>
      <w:bookmarkStart w:id="465" w:name="_Toc32512031"/>
      <w:bookmarkStart w:id="466" w:name="_Toc534971791"/>
      <w:bookmarkStart w:id="467" w:name="_Toc11158998"/>
    </w:p>
    <w:p w:rsidR="001A5BB0" w:rsidRPr="00CF3BDE" w:rsidRDefault="001A5BB0" w:rsidP="00A76F4A">
      <w:pPr>
        <w:ind w:right="12"/>
        <w:rPr>
          <w:highlight w:val="yellow"/>
        </w:rPr>
      </w:pPr>
      <w:r w:rsidRPr="00CF3BDE">
        <w:rPr>
          <w:noProof/>
          <w:lang w:val="pt-PT" w:eastAsia="pt-PT"/>
        </w:rPr>
        <mc:AlternateContent>
          <mc:Choice Requires="wps">
            <w:drawing>
              <wp:anchor distT="0" distB="0" distL="114300" distR="114300" simplePos="0" relativeHeight="251658277" behindDoc="0" locked="0" layoutInCell="1" allowOverlap="1" wp14:anchorId="0B0D5209" wp14:editId="1910E9DB">
                <wp:simplePos x="0" y="0"/>
                <wp:positionH relativeFrom="column">
                  <wp:posOffset>1604645</wp:posOffset>
                </wp:positionH>
                <wp:positionV relativeFrom="paragraph">
                  <wp:posOffset>146685</wp:posOffset>
                </wp:positionV>
                <wp:extent cx="2210435" cy="612140"/>
                <wp:effectExtent l="0" t="0" r="0" b="0"/>
                <wp:wrapNone/>
                <wp:docPr id="30"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612140"/>
                        </a:xfrm>
                        <a:prstGeom prst="rect">
                          <a:avLst/>
                        </a:prstGeom>
                        <a:gradFill rotWithShape="1">
                          <a:gsLst>
                            <a:gs pos="0">
                              <a:srgbClr val="4B7430"/>
                            </a:gs>
                            <a:gs pos="48000">
                              <a:srgbClr val="74B349"/>
                            </a:gs>
                            <a:gs pos="100000">
                              <a:srgbClr val="A9D18E"/>
                            </a:gs>
                          </a:gsLst>
                          <a:lin ang="16200000" scaled="1"/>
                        </a:gradFill>
                        <a:ln>
                          <a:noFill/>
                        </a:ln>
                      </wps:spPr>
                      <wps:txbx>
                        <w:txbxContent>
                          <w:p w:rsidR="00293642" w:rsidRPr="00AA45E9" w:rsidRDefault="00293642" w:rsidP="001A5BB0">
                            <w:pPr>
                              <w:jc w:val="center"/>
                              <w:rPr>
                                <w:b/>
                                <w:color w:val="000000"/>
                                <w:sz w:val="28"/>
                                <w:szCs w:val="28"/>
                              </w:rPr>
                            </w:pPr>
                            <w:r w:rsidRPr="00AA45E9">
                              <w:rPr>
                                <w:b/>
                                <w:color w:val="000000"/>
                                <w:sz w:val="28"/>
                                <w:szCs w:val="28"/>
                              </w:rPr>
                              <w:t>TRIBUNAL</w:t>
                            </w:r>
                          </w:p>
                          <w:p w:rsidR="00293642" w:rsidRPr="00AA45E9" w:rsidRDefault="00293642" w:rsidP="001A5BB0">
                            <w:pPr>
                              <w:jc w:val="center"/>
                              <w:rPr>
                                <w:b/>
                                <w:color w:val="000000"/>
                                <w:sz w:val="28"/>
                                <w:szCs w:val="28"/>
                              </w:rPr>
                            </w:pPr>
                            <w:r w:rsidRPr="00AA45E9">
                              <w:rPr>
                                <w:b/>
                                <w:color w:val="000000"/>
                                <w:sz w:val="28"/>
                                <w:szCs w:val="28"/>
                              </w:rPr>
                              <w:t>(Recours en justice)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D5209" id="Rectangle 1679" o:spid="_x0000_s1038" style="position:absolute;margin-left:126.35pt;margin-top:11.55pt;width:174.05pt;height:48.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" fillcolor="#4b7430" stroked="f">
                <v:fill color2="#a9d18e" rotate="t" angle="180" colors="0 #4b7430;31457f #74b349;1 #a9d18e" focus="100%" type="gradient"/>
                <v:textbox>
                  <w:txbxContent>
                    <w:p w14:paraId="0382F583" w14:textId="77777777" w:rsidR="00293642" w:rsidRPr="00AA45E9" w:rsidRDefault="00293642" w:rsidP="001A5BB0">
                      <w:pPr>
                        <w:jc w:val="center"/>
                        <w:rPr>
                          <w:b/>
                          <w:color w:val="000000"/>
                          <w:sz w:val="28"/>
                          <w:szCs w:val="28"/>
                        </w:rPr>
                      </w:pPr>
                      <w:r w:rsidRPr="00AA45E9">
                        <w:rPr>
                          <w:b/>
                          <w:color w:val="000000"/>
                          <w:sz w:val="28"/>
                          <w:szCs w:val="28"/>
                        </w:rPr>
                        <w:t>TRIBUNAL</w:t>
                      </w:r>
                    </w:p>
                    <w:p w14:paraId="5211559E" w14:textId="77777777" w:rsidR="00293642" w:rsidRPr="00AA45E9" w:rsidRDefault="00293642" w:rsidP="001A5BB0">
                      <w:pPr>
                        <w:jc w:val="center"/>
                        <w:rPr>
                          <w:b/>
                          <w:color w:val="000000"/>
                          <w:sz w:val="28"/>
                          <w:szCs w:val="28"/>
                        </w:rPr>
                      </w:pPr>
                      <w:r w:rsidRPr="00AA45E9">
                        <w:rPr>
                          <w:b/>
                          <w:color w:val="000000"/>
                          <w:sz w:val="28"/>
                          <w:szCs w:val="28"/>
                        </w:rPr>
                        <w:t>(Recours en justice)</w:t>
                      </w:r>
                    </w:p>
                  </w:txbxContent>
                </v:textbox>
              </v:rect>
            </w:pict>
          </mc:Fallback>
        </mc:AlternateContent>
      </w:r>
    </w:p>
    <w:p w:rsidR="001A5BB0" w:rsidRPr="00CF3BDE" w:rsidRDefault="001A5BB0" w:rsidP="00A76F4A">
      <w:pPr>
        <w:ind w:right="12"/>
        <w:rPr>
          <w:highlight w:val="yellow"/>
        </w:rPr>
      </w:pPr>
    </w:p>
    <w:p w:rsidR="001A5BB0" w:rsidRPr="00CF3BDE" w:rsidRDefault="001A5BB0" w:rsidP="00A76F4A">
      <w:pPr>
        <w:ind w:right="12"/>
        <w:rPr>
          <w:highlight w:val="yellow"/>
        </w:rPr>
      </w:pPr>
      <w:r w:rsidRPr="00CF3BDE">
        <w:rPr>
          <w:noProof/>
          <w:lang w:val="pt-PT" w:eastAsia="pt-PT"/>
        </w:rPr>
        <mc:AlternateContent>
          <mc:Choice Requires="wps">
            <w:drawing>
              <wp:anchor distT="0" distB="0" distL="114300" distR="114300" simplePos="0" relativeHeight="251658296" behindDoc="0" locked="0" layoutInCell="1" allowOverlap="1" wp14:anchorId="38E82E15" wp14:editId="3E3CA5F5">
                <wp:simplePos x="0" y="0"/>
                <wp:positionH relativeFrom="column">
                  <wp:posOffset>3854450</wp:posOffset>
                </wp:positionH>
                <wp:positionV relativeFrom="paragraph">
                  <wp:posOffset>133350</wp:posOffset>
                </wp:positionV>
                <wp:extent cx="1784350" cy="90170"/>
                <wp:effectExtent l="0" t="0" r="69850" b="113030"/>
                <wp:wrapNone/>
                <wp:docPr id="64" name="Connecteur en angl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0" cy="90170"/>
                        </a:xfrm>
                        <a:prstGeom prst="bentConnector3">
                          <a:avLst>
                            <a:gd name="adj1" fmla="val 50000"/>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F7AA8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68" o:spid="_x0000_s1026" type="#_x0000_t34" style="position:absolute;margin-left:303.5pt;margin-top:10.5pt;width:140.5pt;height:7.1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" strokecolor="black [3200]" strokeweight="1.5pt">
                <v:stroke endarrow="block"/>
              </v:shape>
            </w:pict>
          </mc:Fallback>
        </mc:AlternateContent>
      </w:r>
    </w:p>
    <w:p w:rsidR="001A5BB0" w:rsidRPr="00CF3BDE" w:rsidRDefault="001A5BB0" w:rsidP="00A76F4A">
      <w:pPr>
        <w:ind w:right="12"/>
        <w:rPr>
          <w:highlight w:val="yellow"/>
        </w:rPr>
      </w:pPr>
      <w:r w:rsidRPr="00CF3BDE">
        <w:rPr>
          <w:noProof/>
          <w:lang w:val="pt-PT" w:eastAsia="pt-PT"/>
        </w:rPr>
        <mc:AlternateContent>
          <mc:Choice Requires="wps">
            <w:drawing>
              <wp:anchor distT="0" distB="0" distL="114300" distR="114300" simplePos="0" relativeHeight="251658288" behindDoc="0" locked="0" layoutInCell="1" allowOverlap="1" wp14:anchorId="37B78909" wp14:editId="171100BA">
                <wp:simplePos x="0" y="0"/>
                <wp:positionH relativeFrom="column">
                  <wp:posOffset>2787015</wp:posOffset>
                </wp:positionH>
                <wp:positionV relativeFrom="paragraph">
                  <wp:posOffset>749300</wp:posOffset>
                </wp:positionV>
                <wp:extent cx="3563620" cy="2115185"/>
                <wp:effectExtent l="0" t="12383" r="56198" b="81597"/>
                <wp:wrapNone/>
                <wp:docPr id="255" name="Connecteur en angl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63620" cy="2115185"/>
                        </a:xfrm>
                        <a:prstGeom prst="bentConnector3">
                          <a:avLst>
                            <a:gd name="adj1" fmla="val 99889"/>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D84BA" id="Connecteur en angle 568" o:spid="_x0000_s1026" type="#_x0000_t34" style="position:absolute;margin-left:219.45pt;margin-top:59pt;width:280.6pt;height:166.55pt;rotation:90;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" adj="21576" strokecolor="black [3200]" strokeweight="1.5pt">
                <v:stroke endarrow="block"/>
              </v:shape>
            </w:pict>
          </mc:Fallback>
        </mc:AlternateContent>
      </w:r>
      <w:r w:rsidRPr="00CF3BDE">
        <w:rPr>
          <w:noProof/>
          <w:lang w:val="pt-PT" w:eastAsia="pt-PT"/>
        </w:rPr>
        <mc:AlternateContent>
          <mc:Choice Requires="wps">
            <w:drawing>
              <wp:anchor distT="0" distB="0" distL="114300" distR="114300" simplePos="0" relativeHeight="251658278" behindDoc="0" locked="0" layoutInCell="1" allowOverlap="1" wp14:anchorId="0255ACFA" wp14:editId="2BD99849">
                <wp:simplePos x="0" y="0"/>
                <wp:positionH relativeFrom="column">
                  <wp:posOffset>2105025</wp:posOffset>
                </wp:positionH>
                <wp:positionV relativeFrom="paragraph">
                  <wp:posOffset>305435</wp:posOffset>
                </wp:positionV>
                <wp:extent cx="1345565" cy="422910"/>
                <wp:effectExtent l="209550" t="0" r="6985" b="167640"/>
                <wp:wrapNone/>
                <wp:docPr id="89" name="Rectangl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422910"/>
                        </a:xfrm>
                        <a:prstGeom prst="rect">
                          <a:avLst/>
                        </a:prstGeom>
                        <a:gradFill rotWithShape="1">
                          <a:gsLst>
                            <a:gs pos="0">
                              <a:srgbClr val="2A69A2"/>
                            </a:gs>
                            <a:gs pos="48000">
                              <a:srgbClr val="609ED6"/>
                            </a:gs>
                            <a:gs pos="100000">
                              <a:srgbClr val="9DC3E6"/>
                            </a:gs>
                          </a:gsLst>
                          <a:lin ang="16200000" scaled="1"/>
                        </a:gradFill>
                        <a:ln w="9525">
                          <a:solidFill>
                            <a:srgbClr val="5B9BD5"/>
                          </a:solidFill>
                          <a:miter lim="800000"/>
                          <a:headEnd/>
                          <a:tailEnd/>
                        </a:ln>
                        <a:effectLst>
                          <a:outerShdw dist="250190" dir="8459995" algn="ctr" rotWithShape="0">
                            <a:srgbClr val="808080">
                              <a:alpha val="28000"/>
                            </a:srgbClr>
                          </a:outerShdw>
                        </a:effectLst>
                      </wps:spPr>
                      <wps:txbx>
                        <w:txbxContent>
                          <w:p w:rsidR="00293642" w:rsidRPr="00AA45E9" w:rsidRDefault="00293642" w:rsidP="001A5BB0">
                            <w:pPr>
                              <w:rPr>
                                <w:rFonts w:ascii="Maiandra GD" w:hAnsi="Maiandra GD"/>
                                <w:b/>
                                <w:color w:val="000000"/>
                              </w:rPr>
                            </w:pPr>
                            <w:r>
                              <w:rPr>
                                <w:rFonts w:ascii="Maiandra GD" w:hAnsi="Maiandra GD"/>
                                <w:b/>
                                <w:color w:val="000000"/>
                              </w:rPr>
                              <w:t xml:space="preserve"> UC</w:t>
                            </w:r>
                            <w:r w:rsidRPr="00AA45E9">
                              <w:rPr>
                                <w:rFonts w:ascii="Maiandra GD" w:hAnsi="Maiandra GD"/>
                                <w:b/>
                                <w:color w:val="000000"/>
                              </w:rPr>
                              <w:t xml:space="preserve">P du </w:t>
                            </w:r>
                            <w:r>
                              <w:rPr>
                                <w:rFonts w:ascii="Maiandra GD" w:hAnsi="Maiandra GD"/>
                                <w:b/>
                                <w:color w:val="000000"/>
                              </w:rPr>
                              <w:t>PUSA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55ACFA" id="Rectangle 1675" o:spid="_x0000_s1039" style="position:absolute;margin-left:165.75pt;margin-top:24.05pt;width:105.95pt;height:33.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" fillcolor="#2a69a2" strokecolor="#5b9bd5">
                <v:fill color2="#9dc3e6" rotate="t" angle="180" colors="0 #2a69a2;31457f #609ed6;1 #9dc3e6" focus="100%" type="gradient"/>
                <v:shadow on="t" opacity="18350f" offset="-5.40094mm,4.37361mm"/>
                <v:textbox>
                  <w:txbxContent>
                    <w:p w14:paraId="080431E2" w14:textId="77777777" w:rsidR="00293642" w:rsidRPr="00AA45E9" w:rsidRDefault="00293642" w:rsidP="001A5BB0">
                      <w:pPr>
                        <w:rPr>
                          <w:rFonts w:ascii="Maiandra GD" w:hAnsi="Maiandra GD"/>
                          <w:b/>
                          <w:color w:val="000000"/>
                        </w:rPr>
                      </w:pPr>
                      <w:r>
                        <w:rPr>
                          <w:rFonts w:ascii="Maiandra GD" w:hAnsi="Maiandra GD"/>
                          <w:b/>
                          <w:color w:val="000000"/>
                        </w:rPr>
                        <w:t xml:space="preserve"> UC</w:t>
                      </w:r>
                      <w:r w:rsidRPr="00AA45E9">
                        <w:rPr>
                          <w:rFonts w:ascii="Maiandra GD" w:hAnsi="Maiandra GD"/>
                          <w:b/>
                          <w:color w:val="000000"/>
                        </w:rPr>
                        <w:t xml:space="preserve">P du </w:t>
                      </w:r>
                      <w:r>
                        <w:rPr>
                          <w:rFonts w:ascii="Maiandra GD" w:hAnsi="Maiandra GD"/>
                          <w:b/>
                          <w:color w:val="000000"/>
                        </w:rPr>
                        <w:t>PUSA</w:t>
                      </w:r>
                    </w:p>
                  </w:txbxContent>
                </v:textbox>
              </v:rect>
            </w:pict>
          </mc:Fallback>
        </mc:AlternateContent>
      </w:r>
    </w:p>
    <w:p w:rsidR="001A5BB0" w:rsidRPr="00CF3BDE" w:rsidRDefault="001A5BB0" w:rsidP="00A76F4A">
      <w:pPr>
        <w:ind w:right="12"/>
        <w:rPr>
          <w:highlight w:val="yellow"/>
        </w:rPr>
      </w:pPr>
      <w:r w:rsidRPr="00CF3BDE">
        <w:rPr>
          <w:noProof/>
          <w:lang w:val="pt-PT" w:eastAsia="pt-PT"/>
        </w:rPr>
        <mc:AlternateContent>
          <mc:Choice Requires="wps">
            <w:drawing>
              <wp:anchor distT="0" distB="0" distL="114300" distR="114300" simplePos="0" relativeHeight="251658295" behindDoc="0" locked="0" layoutInCell="1" allowOverlap="1" wp14:anchorId="55B3FB77" wp14:editId="74C2F7FE">
                <wp:simplePos x="0" y="0"/>
                <wp:positionH relativeFrom="column">
                  <wp:posOffset>2749550</wp:posOffset>
                </wp:positionH>
                <wp:positionV relativeFrom="paragraph">
                  <wp:posOffset>76835</wp:posOffset>
                </wp:positionV>
                <wp:extent cx="176530" cy="45085"/>
                <wp:effectExtent l="40322" t="61278" r="66993" b="16192"/>
                <wp:wrapNone/>
                <wp:docPr id="254" name="Connecteur droit avec flèch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76530" cy="45085"/>
                        </a:xfrm>
                        <a:prstGeom prst="bentConnector3">
                          <a:avLst>
                            <a:gd name="adj1" fmla="val 50000"/>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73EB6" id="Connecteur droit avec flèche 569" o:spid="_x0000_s1026" type="#_x0000_t34" style="position:absolute;margin-left:216.5pt;margin-top:6.05pt;width:13.9pt;height:3.55pt;rotation:-90;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" strokecolor="black [3200]" strokeweight="1.5pt">
                <v:stroke endarrow="block"/>
              </v:shape>
            </w:pict>
          </mc:Fallback>
        </mc:AlternateContent>
      </w:r>
      <w:r w:rsidRPr="00CF3BDE">
        <w:rPr>
          <w:highlight w:val="yellow"/>
        </w:rPr>
        <w:t xml:space="preserve">                                                             </w:t>
      </w:r>
    </w:p>
    <w:p w:rsidR="001A5BB0" w:rsidRPr="00CF3BDE" w:rsidRDefault="001A5BB0" w:rsidP="00A76F4A">
      <w:pPr>
        <w:ind w:right="12"/>
        <w:rPr>
          <w:highlight w:val="yellow"/>
        </w:rPr>
      </w:pPr>
      <w:r w:rsidRPr="00CF3BDE">
        <w:rPr>
          <w:noProof/>
          <w:lang w:val="pt-PT" w:eastAsia="pt-PT"/>
        </w:rPr>
        <mc:AlternateContent>
          <mc:Choice Requires="wps">
            <w:drawing>
              <wp:anchor distT="0" distB="0" distL="114300" distR="114300" simplePos="0" relativeHeight="251658289" behindDoc="0" locked="0" layoutInCell="1" allowOverlap="1" wp14:anchorId="76B0BD76" wp14:editId="7561512C">
                <wp:simplePos x="0" y="0"/>
                <wp:positionH relativeFrom="column">
                  <wp:posOffset>668655</wp:posOffset>
                </wp:positionH>
                <wp:positionV relativeFrom="paragraph">
                  <wp:posOffset>535305</wp:posOffset>
                </wp:positionV>
                <wp:extent cx="1923415" cy="950595"/>
                <wp:effectExtent l="17145" t="23495" r="60960" b="15240"/>
                <wp:wrapNone/>
                <wp:docPr id="253" name="Connecteur en angl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23415" cy="950595"/>
                        </a:xfrm>
                        <a:prstGeom prst="bentConnector3">
                          <a:avLst>
                            <a:gd name="adj1" fmla="val 9973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E902C" id="Connecteur en angle 570" o:spid="_x0000_s1026" type="#_x0000_t34" style="position:absolute;margin-left:52.65pt;margin-top:42.15pt;width:151.45pt;height:74.85pt;rotation:-90;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" adj="21542" strokeweight="1.5pt">
                <v:stroke endarrow="block"/>
              </v:shape>
            </w:pict>
          </mc:Fallback>
        </mc:AlternateContent>
      </w:r>
      <w:r w:rsidRPr="00CF3BDE">
        <w:rPr>
          <w:noProof/>
          <w:lang w:val="pt-PT" w:eastAsia="pt-PT"/>
        </w:rPr>
        <mc:AlternateContent>
          <mc:Choice Requires="wps">
            <w:drawing>
              <wp:anchor distT="0" distB="0" distL="114300" distR="114300" simplePos="0" relativeHeight="251658292" behindDoc="0" locked="0" layoutInCell="1" allowOverlap="1" wp14:anchorId="3174082F" wp14:editId="4B6ACF03">
                <wp:simplePos x="0" y="0"/>
                <wp:positionH relativeFrom="column">
                  <wp:posOffset>2567305</wp:posOffset>
                </wp:positionH>
                <wp:positionV relativeFrom="paragraph">
                  <wp:posOffset>372745</wp:posOffset>
                </wp:positionV>
                <wp:extent cx="507365" cy="45085"/>
                <wp:effectExtent l="27940" t="48260" r="79375" b="28575"/>
                <wp:wrapNone/>
                <wp:docPr id="252" name="Connecteur droit avec flèch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07365" cy="45085"/>
                        </a:xfrm>
                        <a:prstGeom prst="bentConnector3">
                          <a:avLst>
                            <a:gd name="adj1" fmla="val 49935"/>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FBF7D" id="Connecteur droit avec flèche 571" o:spid="_x0000_s1026" type="#_x0000_t34" style="position:absolute;margin-left:202.15pt;margin-top:29.35pt;width:39.95pt;height:3.55pt;rotation:-90;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" adj="10786" strokecolor="black [3200]" strokeweight="1.5pt">
                <v:stroke endarrow="block"/>
              </v:shape>
            </w:pict>
          </mc:Fallback>
        </mc:AlternateContent>
      </w:r>
    </w:p>
    <w:p w:rsidR="001A5BB0" w:rsidRPr="00CF3BDE" w:rsidRDefault="001A5BB0" w:rsidP="00A76F4A">
      <w:pPr>
        <w:ind w:right="12"/>
        <w:rPr>
          <w:highlight w:val="yellow"/>
        </w:rPr>
      </w:pPr>
    </w:p>
    <w:p w:rsidR="001A5BB0" w:rsidRPr="00CF3BDE" w:rsidRDefault="001A5BB0" w:rsidP="00A76F4A">
      <w:pPr>
        <w:ind w:right="12"/>
        <w:rPr>
          <w:highlight w:val="yellow"/>
        </w:rPr>
      </w:pPr>
    </w:p>
    <w:p w:rsidR="001A5BB0" w:rsidRPr="00CF3BDE" w:rsidRDefault="001A5BB0" w:rsidP="00A76F4A">
      <w:pPr>
        <w:ind w:right="12"/>
        <w:rPr>
          <w:highlight w:val="yellow"/>
        </w:rPr>
      </w:pPr>
      <w:r w:rsidRPr="00CF3BDE">
        <w:rPr>
          <w:noProof/>
          <w:lang w:val="pt-PT" w:eastAsia="pt-PT"/>
        </w:rPr>
        <mc:AlternateContent>
          <mc:Choice Requires="wps">
            <w:drawing>
              <wp:anchor distT="0" distB="0" distL="114300" distR="114300" simplePos="0" relativeHeight="251658279" behindDoc="0" locked="0" layoutInCell="1" allowOverlap="1" wp14:anchorId="5B947B0F" wp14:editId="6A41C789">
                <wp:simplePos x="0" y="0"/>
                <wp:positionH relativeFrom="column">
                  <wp:posOffset>1604645</wp:posOffset>
                </wp:positionH>
                <wp:positionV relativeFrom="paragraph">
                  <wp:posOffset>80010</wp:posOffset>
                </wp:positionV>
                <wp:extent cx="2456815" cy="524510"/>
                <wp:effectExtent l="0" t="0" r="19685" b="27940"/>
                <wp:wrapNone/>
                <wp:docPr id="85"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524510"/>
                        </a:xfrm>
                        <a:prstGeom prst="rect">
                          <a:avLst/>
                        </a:prstGeom>
                        <a:gradFill rotWithShape="1">
                          <a:gsLst>
                            <a:gs pos="0">
                              <a:srgbClr val="B0500F"/>
                            </a:gs>
                            <a:gs pos="48000">
                              <a:srgbClr val="EE8137"/>
                            </a:gs>
                            <a:gs pos="100000">
                              <a:srgbClr val="F4B183"/>
                            </a:gs>
                          </a:gsLst>
                          <a:lin ang="16200000" scaled="1"/>
                        </a:gradFill>
                        <a:ln>
                          <a:noFill/>
                        </a:ln>
                        <a:effectLst>
                          <a:outerShdw dist="33020" dir="3179998" algn="ctr" rotWithShape="0">
                            <a:srgbClr val="808080">
                              <a:alpha val="29999"/>
                            </a:srgbClr>
                          </a:outerShdw>
                        </a:effectLst>
                      </wps:spPr>
                      <wps:txbx>
                        <w:txbxContent>
                          <w:p w:rsidR="00293642" w:rsidRPr="00AA45E9" w:rsidRDefault="00293642" w:rsidP="001A5BB0">
                            <w:pPr>
                              <w:jc w:val="center"/>
                              <w:rPr>
                                <w:rFonts w:ascii="Maiandra GD" w:hAnsi="Maiandra GD"/>
                                <w:b/>
                                <w:color w:val="000000"/>
                                <w:sz w:val="20"/>
                                <w:szCs w:val="20"/>
                              </w:rPr>
                            </w:pPr>
                            <w:r w:rsidRPr="00AA45E9">
                              <w:rPr>
                                <w:rFonts w:ascii="Maiandra GD" w:hAnsi="Maiandra GD"/>
                                <w:b/>
                                <w:color w:val="000000"/>
                                <w:sz w:val="20"/>
                                <w:szCs w:val="20"/>
                              </w:rPr>
                              <w:t>Comité de gestion du MGP</w:t>
                            </w:r>
                          </w:p>
                          <w:p w:rsidR="00293642" w:rsidRPr="00AA45E9" w:rsidRDefault="00293642" w:rsidP="001A5BB0">
                            <w:pPr>
                              <w:jc w:val="center"/>
                              <w:rPr>
                                <w:rFonts w:ascii="Maiandra GD" w:hAnsi="Maiandra GD"/>
                                <w:b/>
                                <w:color w:val="000000"/>
                                <w:sz w:val="20"/>
                                <w:szCs w:val="20"/>
                              </w:rPr>
                            </w:pPr>
                            <w:r w:rsidRPr="00AA45E9">
                              <w:rPr>
                                <w:rFonts w:ascii="Maiandra GD" w:hAnsi="Maiandra GD"/>
                                <w:b/>
                                <w:color w:val="000000"/>
                                <w:sz w:val="20"/>
                                <w:szCs w:val="20"/>
                              </w:rPr>
                              <w:t>03 jours pour le traitement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947B0F" id="Rectangle 1671" o:spid="_x0000_s1040" style="position:absolute;margin-left:126.35pt;margin-top:6.3pt;width:193.45pt;height:41.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" fillcolor="#b0500f" stroked="f">
                <v:fill color2="#f4b183" rotate="t" angle="180" colors="0 #b0500f;31457f #ee8137;1 #f4b183" focus="100%" type="gradient"/>
                <v:shadow on="t" opacity="19660f" offset=".552mm,.73253mm"/>
                <v:textbox>
                  <w:txbxContent>
                    <w:p w14:paraId="54FA3D3C" w14:textId="77777777" w:rsidR="00293642" w:rsidRPr="00AA45E9" w:rsidRDefault="00293642" w:rsidP="001A5BB0">
                      <w:pPr>
                        <w:jc w:val="center"/>
                        <w:rPr>
                          <w:rFonts w:ascii="Maiandra GD" w:hAnsi="Maiandra GD"/>
                          <w:b/>
                          <w:color w:val="000000"/>
                          <w:sz w:val="20"/>
                          <w:szCs w:val="20"/>
                        </w:rPr>
                      </w:pPr>
                      <w:r w:rsidRPr="00AA45E9">
                        <w:rPr>
                          <w:rFonts w:ascii="Maiandra GD" w:hAnsi="Maiandra GD"/>
                          <w:b/>
                          <w:color w:val="000000"/>
                          <w:sz w:val="20"/>
                          <w:szCs w:val="20"/>
                        </w:rPr>
                        <w:t>Comité de gestion du MGP</w:t>
                      </w:r>
                    </w:p>
                    <w:p w14:paraId="1F0BF733" w14:textId="77777777" w:rsidR="00293642" w:rsidRPr="00AA45E9" w:rsidRDefault="00293642" w:rsidP="001A5BB0">
                      <w:pPr>
                        <w:jc w:val="center"/>
                        <w:rPr>
                          <w:rFonts w:ascii="Maiandra GD" w:hAnsi="Maiandra GD"/>
                          <w:b/>
                          <w:color w:val="000000"/>
                          <w:sz w:val="20"/>
                          <w:szCs w:val="20"/>
                        </w:rPr>
                      </w:pPr>
                      <w:r w:rsidRPr="00AA45E9">
                        <w:rPr>
                          <w:rFonts w:ascii="Maiandra GD" w:hAnsi="Maiandra GD"/>
                          <w:b/>
                          <w:color w:val="000000"/>
                          <w:sz w:val="20"/>
                          <w:szCs w:val="20"/>
                        </w:rPr>
                        <w:t>03 jours pour le traitement</w:t>
                      </w:r>
                    </w:p>
                  </w:txbxContent>
                </v:textbox>
              </v:rect>
            </w:pict>
          </mc:Fallback>
        </mc:AlternateContent>
      </w:r>
    </w:p>
    <w:p w:rsidR="001A5BB0" w:rsidRPr="00CF3BDE" w:rsidRDefault="001A5BB0" w:rsidP="00A76F4A">
      <w:pPr>
        <w:ind w:right="12"/>
      </w:pPr>
      <w:r w:rsidRPr="00CF3BDE">
        <w:rPr>
          <w:noProof/>
          <w:lang w:val="pt-PT" w:eastAsia="pt-PT"/>
        </w:rPr>
        <mc:AlternateContent>
          <mc:Choice Requires="wps">
            <w:drawing>
              <wp:anchor distT="0" distB="0" distL="114300" distR="114300" simplePos="0" relativeHeight="251658290" behindDoc="0" locked="0" layoutInCell="1" allowOverlap="1" wp14:anchorId="7890D1D8" wp14:editId="66CF4E11">
                <wp:simplePos x="0" y="0"/>
                <wp:positionH relativeFrom="column">
                  <wp:posOffset>1213485</wp:posOffset>
                </wp:positionH>
                <wp:positionV relativeFrom="paragraph">
                  <wp:posOffset>59690</wp:posOffset>
                </wp:positionV>
                <wp:extent cx="343535" cy="45085"/>
                <wp:effectExtent l="18415" t="59055" r="19050" b="19685"/>
                <wp:wrapNone/>
                <wp:docPr id="251" name="Connecteur droit avec flèch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535" cy="45085"/>
                        </a:xfrm>
                        <a:prstGeom prst="bentConnector3">
                          <a:avLst>
                            <a:gd name="adj1" fmla="val 4990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CC71A" id="Connecteur droit avec flèche 572" o:spid="_x0000_s1026" type="#_x0000_t34" style="position:absolute;margin-left:95.55pt;margin-top:4.7pt;width:27.05pt;height:3.55pt;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" adj="10780" strokeweight="1.5pt">
                <v:stroke endarrow="block"/>
              </v:shape>
            </w:pict>
          </mc:Fallback>
        </mc:AlternateContent>
      </w:r>
      <w:r w:rsidRPr="00CF3BDE">
        <w:t xml:space="preserve">          Ampliation</w:t>
      </w:r>
    </w:p>
    <w:p w:rsidR="001A5BB0" w:rsidRPr="00CF3BDE" w:rsidRDefault="001A5BB0" w:rsidP="00A76F4A">
      <w:pPr>
        <w:ind w:right="12"/>
      </w:pPr>
      <w:r w:rsidRPr="00CF3BDE">
        <w:rPr>
          <w:noProof/>
          <w:lang w:val="pt-PT" w:eastAsia="pt-PT"/>
        </w:rPr>
        <mc:AlternateContent>
          <mc:Choice Requires="wps">
            <w:drawing>
              <wp:anchor distT="0" distB="0" distL="114300" distR="114300" simplePos="0" relativeHeight="251658281" behindDoc="0" locked="0" layoutInCell="1" allowOverlap="1" wp14:anchorId="39F2D318" wp14:editId="33990F4B">
                <wp:simplePos x="0" y="0"/>
                <wp:positionH relativeFrom="column">
                  <wp:posOffset>4007485</wp:posOffset>
                </wp:positionH>
                <wp:positionV relativeFrom="paragraph">
                  <wp:posOffset>227330</wp:posOffset>
                </wp:positionV>
                <wp:extent cx="643255" cy="451485"/>
                <wp:effectExtent l="60325" t="20320" r="12065" b="12700"/>
                <wp:wrapNone/>
                <wp:docPr id="250" name="Connecteur droit avec flèch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43255" cy="451485"/>
                        </a:xfrm>
                        <a:prstGeom prst="bentConnector3">
                          <a:avLst>
                            <a:gd name="adj1" fmla="val 100884"/>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37FE7" id="Connecteur droit avec flèche 1670" o:spid="_x0000_s1026" type="#_x0000_t34" style="position:absolute;margin-left:315.55pt;margin-top:17.9pt;width:50.65pt;height:35.55pt;rotation:-90;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" adj="21791" strokeweight="1.5pt">
                <v:stroke endarrow="block"/>
              </v:shape>
            </w:pict>
          </mc:Fallback>
        </mc:AlternateContent>
      </w:r>
      <w:r w:rsidRPr="00CF3BDE">
        <w:t xml:space="preserve">           Plai</w:t>
      </w:r>
      <w:r w:rsidR="00361E11" w:rsidRPr="00CF3BDE">
        <w:t xml:space="preserve">nte </w:t>
      </w:r>
    </w:p>
    <w:p w:rsidR="001A5BB0" w:rsidRPr="00CF3BDE" w:rsidRDefault="001A5BB0" w:rsidP="00A76F4A">
      <w:pPr>
        <w:ind w:right="12"/>
      </w:pPr>
      <w:r w:rsidRPr="00CF3BDE">
        <w:rPr>
          <w:noProof/>
          <w:lang w:val="pt-PT" w:eastAsia="pt-PT"/>
        </w:rPr>
        <mc:AlternateContent>
          <mc:Choice Requires="wps">
            <w:drawing>
              <wp:anchor distT="0" distB="0" distL="114300" distR="114300" simplePos="0" relativeHeight="251658291" behindDoc="0" locked="0" layoutInCell="1" allowOverlap="1" wp14:anchorId="11EC8658" wp14:editId="39EA8622">
                <wp:simplePos x="0" y="0"/>
                <wp:positionH relativeFrom="column">
                  <wp:posOffset>2663825</wp:posOffset>
                </wp:positionH>
                <wp:positionV relativeFrom="paragraph">
                  <wp:posOffset>358775</wp:posOffset>
                </wp:positionV>
                <wp:extent cx="435610" cy="45085"/>
                <wp:effectExtent l="15875" t="27940" r="62865" b="12700"/>
                <wp:wrapNone/>
                <wp:docPr id="249" name="Connecteur droit avec flèch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35610" cy="4508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8E9AE6" id="Connecteur droit avec flèche 573" o:spid="_x0000_s1026" type="#_x0000_t34" style="position:absolute;margin-left:209.75pt;margin-top:28.25pt;width:34.3pt;height:3.55pt;rotation:-90;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" strokeweight="1.5pt">
                <v:stroke endarrow="block"/>
              </v:shape>
            </w:pict>
          </mc:Fallback>
        </mc:AlternateContent>
      </w:r>
      <w:r w:rsidRPr="00CF3BDE">
        <w:t xml:space="preserve">             </w:t>
      </w:r>
    </w:p>
    <w:p w:rsidR="001A5BB0" w:rsidRPr="00CF3BDE" w:rsidRDefault="001A5BB0" w:rsidP="00A76F4A">
      <w:pPr>
        <w:ind w:right="12"/>
        <w:rPr>
          <w:highlight w:val="yellow"/>
        </w:rPr>
      </w:pPr>
    </w:p>
    <w:p w:rsidR="001A5BB0" w:rsidRPr="00CF3BDE" w:rsidRDefault="001A5BB0" w:rsidP="00A76F4A">
      <w:pPr>
        <w:ind w:right="12"/>
        <w:rPr>
          <w:highlight w:val="yellow"/>
        </w:rPr>
      </w:pPr>
      <w:r w:rsidRPr="00CF3BDE">
        <w:rPr>
          <w:highlight w:val="yellow"/>
        </w:rPr>
        <w:t xml:space="preserve"> </w:t>
      </w:r>
    </w:p>
    <w:p w:rsidR="001A5BB0" w:rsidRPr="00CF3BDE" w:rsidRDefault="001A5BB0" w:rsidP="00A76F4A">
      <w:pPr>
        <w:ind w:right="12"/>
        <w:rPr>
          <w:highlight w:val="yellow"/>
        </w:rPr>
      </w:pPr>
      <w:r w:rsidRPr="00CF3BDE">
        <w:rPr>
          <w:noProof/>
          <w:lang w:val="pt-PT" w:eastAsia="pt-PT"/>
        </w:rPr>
        <mc:AlternateContent>
          <mc:Choice Requires="wps">
            <w:drawing>
              <wp:anchor distT="0" distB="0" distL="114300" distR="114300" simplePos="0" relativeHeight="251658282" behindDoc="0" locked="0" layoutInCell="1" allowOverlap="1" wp14:anchorId="7528879C" wp14:editId="2EE773E5">
                <wp:simplePos x="0" y="0"/>
                <wp:positionH relativeFrom="column">
                  <wp:posOffset>2230755</wp:posOffset>
                </wp:positionH>
                <wp:positionV relativeFrom="paragraph">
                  <wp:posOffset>9525</wp:posOffset>
                </wp:positionV>
                <wp:extent cx="1236345" cy="1206500"/>
                <wp:effectExtent l="0" t="0" r="1905" b="0"/>
                <wp:wrapNone/>
                <wp:docPr id="80" name="Ellipse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1206500"/>
                        </a:xfrm>
                        <a:prstGeom prst="ellipse">
                          <a:avLst/>
                        </a:prstGeom>
                        <a:solidFill>
                          <a:srgbClr val="000000">
                            <a:alpha val="50195"/>
                          </a:srgbClr>
                        </a:solidFill>
                        <a:ln>
                          <a:noFill/>
                        </a:ln>
                      </wps:spPr>
                      <wps:txbx>
                        <w:txbxContent>
                          <w:p w:rsidR="00293642" w:rsidRPr="00037B2A" w:rsidRDefault="00293642" w:rsidP="001A5BB0">
                            <w:pPr>
                              <w:jc w:val="center"/>
                              <w:rPr>
                                <w:rFonts w:ascii="Maiandra GD" w:hAnsi="Maiandra GD"/>
                                <w:b/>
                                <w:sz w:val="20"/>
                                <w:szCs w:val="20"/>
                              </w:rPr>
                            </w:pPr>
                            <w:r w:rsidRPr="00037B2A">
                              <w:rPr>
                                <w:rFonts w:ascii="Maiandra GD" w:hAnsi="Maiandra GD"/>
                                <w:b/>
                                <w:sz w:val="20"/>
                                <w:szCs w:val="20"/>
                              </w:rPr>
                              <w:t>Chefs de quartiers 02 Jrs pour le traitement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28879C" id="Ellipse 1665" o:spid="_x0000_s1041" style="position:absolute;margin-left:175.65pt;margin-top:.75pt;width:97.35pt;height: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" fillcolor="black" stroked="f">
                <v:fill opacity="32896f"/>
                <v:textbox>
                  <w:txbxContent>
                    <w:p w14:paraId="74AE45A1" w14:textId="77777777" w:rsidR="00293642" w:rsidRPr="00037B2A" w:rsidRDefault="00293642" w:rsidP="001A5BB0">
                      <w:pPr>
                        <w:jc w:val="center"/>
                        <w:rPr>
                          <w:rFonts w:ascii="Maiandra GD" w:hAnsi="Maiandra GD"/>
                          <w:b/>
                          <w:sz w:val="20"/>
                          <w:szCs w:val="20"/>
                        </w:rPr>
                      </w:pPr>
                      <w:r w:rsidRPr="00037B2A">
                        <w:rPr>
                          <w:rFonts w:ascii="Maiandra GD" w:hAnsi="Maiandra GD"/>
                          <w:b/>
                          <w:sz w:val="20"/>
                          <w:szCs w:val="20"/>
                        </w:rPr>
                        <w:t>Chefs de quartiers 02 Jrs pour le traitement</w:t>
                      </w:r>
                    </w:p>
                  </w:txbxContent>
                </v:textbox>
              </v:oval>
            </w:pict>
          </mc:Fallback>
        </mc:AlternateContent>
      </w:r>
      <w:r w:rsidRPr="00CF3BDE">
        <w:rPr>
          <w:noProof/>
          <w:lang w:val="pt-PT" w:eastAsia="pt-PT"/>
        </w:rPr>
        <mc:AlternateContent>
          <mc:Choice Requires="wps">
            <w:drawing>
              <wp:anchor distT="0" distB="0" distL="114300" distR="114300" simplePos="0" relativeHeight="251658280" behindDoc="0" locked="0" layoutInCell="1" allowOverlap="1" wp14:anchorId="0055D45D" wp14:editId="77C0A1CA">
                <wp:simplePos x="0" y="0"/>
                <wp:positionH relativeFrom="column">
                  <wp:posOffset>4176395</wp:posOffset>
                </wp:positionH>
                <wp:positionV relativeFrom="paragraph">
                  <wp:posOffset>81915</wp:posOffset>
                </wp:positionV>
                <wp:extent cx="1252220" cy="844550"/>
                <wp:effectExtent l="0" t="0" r="0" b="0"/>
                <wp:wrapNone/>
                <wp:docPr id="81" name="Ellipse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844550"/>
                        </a:xfrm>
                        <a:prstGeom prst="ellipse">
                          <a:avLst/>
                        </a:prstGeom>
                        <a:solidFill>
                          <a:srgbClr val="000000">
                            <a:alpha val="50195"/>
                          </a:srgbClr>
                        </a:solidFill>
                        <a:ln>
                          <a:noFill/>
                        </a:ln>
                      </wps:spPr>
                      <wps:txbx>
                        <w:txbxContent>
                          <w:p w:rsidR="00293642" w:rsidRPr="00037B2A" w:rsidRDefault="00293642" w:rsidP="001A5BB0">
                            <w:pPr>
                              <w:jc w:val="center"/>
                              <w:rPr>
                                <w:rFonts w:ascii="Maiandra GD" w:hAnsi="Maiandra GD"/>
                                <w:b/>
                                <w:sz w:val="20"/>
                                <w:szCs w:val="20"/>
                              </w:rPr>
                            </w:pPr>
                            <w:r w:rsidRPr="00037B2A">
                              <w:rPr>
                                <w:rFonts w:ascii="Maiandra GD" w:hAnsi="Maiandra GD"/>
                                <w:b/>
                                <w:sz w:val="20"/>
                                <w:szCs w:val="20"/>
                              </w:rPr>
                              <w:t>Entreprises et Missions de contrôle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55D45D" id="Ellipse 1667" o:spid="_x0000_s1042" style="position:absolute;margin-left:328.85pt;margin-top:6.45pt;width:98.6pt;height:6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" fillcolor="black" stroked="f">
                <v:fill opacity="32896f"/>
                <v:textbox>
                  <w:txbxContent>
                    <w:p w14:paraId="3818686E" w14:textId="77777777" w:rsidR="00293642" w:rsidRPr="00037B2A" w:rsidRDefault="00293642" w:rsidP="001A5BB0">
                      <w:pPr>
                        <w:jc w:val="center"/>
                        <w:rPr>
                          <w:rFonts w:ascii="Maiandra GD" w:hAnsi="Maiandra GD"/>
                          <w:b/>
                          <w:sz w:val="20"/>
                          <w:szCs w:val="20"/>
                        </w:rPr>
                      </w:pPr>
                      <w:r w:rsidRPr="00037B2A">
                        <w:rPr>
                          <w:rFonts w:ascii="Maiandra GD" w:hAnsi="Maiandra GD"/>
                          <w:b/>
                          <w:sz w:val="20"/>
                          <w:szCs w:val="20"/>
                        </w:rPr>
                        <w:t>Entreprises et Missions de contrôle</w:t>
                      </w:r>
                    </w:p>
                  </w:txbxContent>
                </v:textbox>
              </v:oval>
            </w:pict>
          </mc:Fallback>
        </mc:AlternateContent>
      </w:r>
      <w:r w:rsidRPr="00CF3BDE">
        <w:rPr>
          <w:highlight w:val="yellow"/>
        </w:rPr>
        <w:t xml:space="preserve">                                                                                                                                                                                                                      </w:t>
      </w:r>
    </w:p>
    <w:p w:rsidR="001A5BB0" w:rsidRPr="00CF3BDE" w:rsidRDefault="001A5BB0" w:rsidP="00A76F4A">
      <w:pPr>
        <w:ind w:right="12"/>
        <w:rPr>
          <w:highlight w:val="yellow"/>
        </w:rPr>
      </w:pPr>
      <w:r w:rsidRPr="00CF3BDE">
        <w:rPr>
          <w:noProof/>
          <w:lang w:val="pt-PT" w:eastAsia="pt-PT"/>
        </w:rPr>
        <mc:AlternateContent>
          <mc:Choice Requires="wps">
            <w:drawing>
              <wp:anchor distT="0" distB="0" distL="114300" distR="114300" simplePos="0" relativeHeight="251658285" behindDoc="0" locked="0" layoutInCell="1" allowOverlap="1" wp14:anchorId="340BB074" wp14:editId="3F7D33EC">
                <wp:simplePos x="0" y="0"/>
                <wp:positionH relativeFrom="column">
                  <wp:posOffset>1043305</wp:posOffset>
                </wp:positionH>
                <wp:positionV relativeFrom="paragraph">
                  <wp:posOffset>151765</wp:posOffset>
                </wp:positionV>
                <wp:extent cx="1004570" cy="889000"/>
                <wp:effectExtent l="0" t="0" r="5080" b="6350"/>
                <wp:wrapNone/>
                <wp:docPr id="78" name="Ellipse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889000"/>
                        </a:xfrm>
                        <a:prstGeom prst="ellipse">
                          <a:avLst/>
                        </a:prstGeom>
                        <a:solidFill>
                          <a:srgbClr val="000000">
                            <a:alpha val="50195"/>
                          </a:srgbClr>
                        </a:solidFill>
                        <a:ln>
                          <a:noFill/>
                        </a:ln>
                      </wps:spPr>
                      <wps:txbx>
                        <w:txbxContent>
                          <w:p w:rsidR="00293642" w:rsidRPr="00037B2A" w:rsidRDefault="00293642" w:rsidP="001A5BB0">
                            <w:pPr>
                              <w:jc w:val="center"/>
                              <w:rPr>
                                <w:b/>
                              </w:rPr>
                            </w:pPr>
                            <w:r w:rsidRPr="00037B2A">
                              <w:rPr>
                                <w:b/>
                              </w:rPr>
                              <w:t>Dépôt de la plainte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0BB074" id="Ellipse 1664" o:spid="_x0000_s1043" style="position:absolute;margin-left:82.15pt;margin-top:11.95pt;width:79.1pt;height:70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" fillcolor="black" stroked="f">
                <v:fill opacity="32896f"/>
                <v:textbox>
                  <w:txbxContent>
                    <w:p w14:paraId="7588C87B" w14:textId="77777777" w:rsidR="00293642" w:rsidRPr="00037B2A" w:rsidRDefault="00293642" w:rsidP="001A5BB0">
                      <w:pPr>
                        <w:jc w:val="center"/>
                        <w:rPr>
                          <w:b/>
                        </w:rPr>
                      </w:pPr>
                      <w:r w:rsidRPr="00037B2A">
                        <w:rPr>
                          <w:b/>
                        </w:rPr>
                        <w:t>Dépôt de la plainte</w:t>
                      </w:r>
                    </w:p>
                  </w:txbxContent>
                </v:textbox>
              </v:oval>
            </w:pict>
          </mc:Fallback>
        </mc:AlternateContent>
      </w:r>
      <w:r w:rsidRPr="00CF3BDE">
        <w:rPr>
          <w:highlight w:val="yellow"/>
        </w:rPr>
        <w:t xml:space="preserve">                                                                                                                                          </w:t>
      </w:r>
    </w:p>
    <w:p w:rsidR="001A5BB0" w:rsidRPr="00CF3BDE" w:rsidRDefault="001A5BB0" w:rsidP="00A76F4A">
      <w:pPr>
        <w:ind w:right="12"/>
        <w:rPr>
          <w:highlight w:val="yellow"/>
        </w:rPr>
      </w:pPr>
      <w:r w:rsidRPr="00CF3BDE">
        <w:rPr>
          <w:noProof/>
          <w:lang w:val="pt-PT" w:eastAsia="pt-PT"/>
        </w:rPr>
        <mc:AlternateContent>
          <mc:Choice Requires="wps">
            <w:drawing>
              <wp:anchor distT="0" distB="0" distL="114300" distR="114300" simplePos="0" relativeHeight="251658283" behindDoc="0" locked="0" layoutInCell="1" allowOverlap="1" wp14:anchorId="413DC026" wp14:editId="79013C5B">
                <wp:simplePos x="0" y="0"/>
                <wp:positionH relativeFrom="column">
                  <wp:posOffset>3638550</wp:posOffset>
                </wp:positionH>
                <wp:positionV relativeFrom="paragraph">
                  <wp:posOffset>114935</wp:posOffset>
                </wp:positionV>
                <wp:extent cx="464820" cy="54610"/>
                <wp:effectExtent l="19050" t="19050" r="11430" b="21590"/>
                <wp:wrapNone/>
                <wp:docPr id="76" name="Double flèche horizontale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54610"/>
                        </a:xfrm>
                        <a:prstGeom prst="leftRightArrow">
                          <a:avLst>
                            <a:gd name="adj1" fmla="val 50000"/>
                            <a:gd name="adj2" fmla="val 62471"/>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164FE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666" o:spid="_x0000_s1026" type="#_x0000_t69" style="position:absolute;margin-left:286.5pt;margin-top:9.05pt;width:36.6pt;height:4.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" adj="1585" fillcolor="#9b9b9b" strokeweight=".5pt">
                <v:fill color2="#797979" rotate="t" colors="0 #9b9b9b;.5 #8e8e8e;1 #797979" focus="100%" type="gradient">
                  <o:fill v:ext="view" type="gradientUnscaled"/>
                </v:fill>
              </v:shape>
            </w:pict>
          </mc:Fallback>
        </mc:AlternateContent>
      </w:r>
      <w:r w:rsidRPr="00CF3BDE">
        <w:rPr>
          <w:noProof/>
          <w:lang w:val="pt-PT" w:eastAsia="pt-PT"/>
        </w:rPr>
        <mc:AlternateContent>
          <mc:Choice Requires="wps">
            <w:drawing>
              <wp:anchor distT="0" distB="0" distL="114300" distR="114300" simplePos="0" relativeHeight="251658287" behindDoc="0" locked="0" layoutInCell="1" allowOverlap="1" wp14:anchorId="3F7564FF" wp14:editId="15B060E2">
                <wp:simplePos x="0" y="0"/>
                <wp:positionH relativeFrom="column">
                  <wp:posOffset>1835150</wp:posOffset>
                </wp:positionH>
                <wp:positionV relativeFrom="paragraph">
                  <wp:posOffset>14605</wp:posOffset>
                </wp:positionV>
                <wp:extent cx="339090" cy="45085"/>
                <wp:effectExtent l="11430" t="12065" r="20955" b="57150"/>
                <wp:wrapNone/>
                <wp:docPr id="248" name="Connecteur droit avec flèch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4508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AC031" id="Connecteur droit avec flèche 574" o:spid="_x0000_s1026" type="#_x0000_t34" style="position:absolute;margin-left:144.5pt;margin-top:1.15pt;width:26.7pt;height:3.5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" strokeweight="1.5pt">
                <v:stroke endarrow="block"/>
              </v:shape>
            </w:pict>
          </mc:Fallback>
        </mc:AlternateContent>
      </w:r>
      <w:r w:rsidRPr="00CF3BDE">
        <w:rPr>
          <w:highlight w:val="yellow"/>
        </w:rPr>
        <w:t xml:space="preserve">                                                           </w:t>
      </w:r>
    </w:p>
    <w:p w:rsidR="001A5BB0" w:rsidRPr="00CF3BDE" w:rsidRDefault="001A5BB0" w:rsidP="00A76F4A">
      <w:pPr>
        <w:ind w:right="12"/>
        <w:rPr>
          <w:highlight w:val="yellow"/>
        </w:rPr>
      </w:pPr>
      <w:r w:rsidRPr="00CF3BDE">
        <w:rPr>
          <w:highlight w:val="yellow"/>
        </w:rPr>
        <w:t xml:space="preserve">                                                                          </w:t>
      </w:r>
    </w:p>
    <w:p w:rsidR="001A5BB0" w:rsidRPr="00CF3BDE" w:rsidRDefault="001A5BB0" w:rsidP="00A76F4A">
      <w:pPr>
        <w:ind w:right="12"/>
      </w:pPr>
      <w:r w:rsidRPr="00CF3BDE">
        <w:rPr>
          <w:noProof/>
          <w:lang w:val="pt-PT" w:eastAsia="pt-PT"/>
        </w:rPr>
        <mc:AlternateContent>
          <mc:Choice Requires="wps">
            <w:drawing>
              <wp:anchor distT="0" distB="0" distL="114300" distR="114300" simplePos="0" relativeHeight="251658284" behindDoc="0" locked="0" layoutInCell="1" allowOverlap="1" wp14:anchorId="7B5D783F" wp14:editId="362BB91B">
                <wp:simplePos x="0" y="0"/>
                <wp:positionH relativeFrom="column">
                  <wp:posOffset>3522345</wp:posOffset>
                </wp:positionH>
                <wp:positionV relativeFrom="paragraph">
                  <wp:posOffset>170180</wp:posOffset>
                </wp:positionV>
                <wp:extent cx="1108075" cy="563245"/>
                <wp:effectExtent l="22225" t="13335" r="12700" b="61595"/>
                <wp:wrapNone/>
                <wp:docPr id="247" name="Connecteur droit avec flèch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08075" cy="563245"/>
                        </a:xfrm>
                        <a:prstGeom prst="bentConnector3">
                          <a:avLst>
                            <a:gd name="adj1" fmla="val 4997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2C083" id="Connecteur droit avec flèche 575" o:spid="_x0000_s1026" type="#_x0000_t34" style="position:absolute;margin-left:277.35pt;margin-top:13.4pt;width:87.25pt;height:44.35pt;rotation:180;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" adj="10794" strokeweight="1.5pt">
                <v:stroke endarrow="block"/>
              </v:shape>
            </w:pict>
          </mc:Fallback>
        </mc:AlternateContent>
      </w:r>
      <w:r w:rsidRPr="00CF3BDE">
        <w:t xml:space="preserve">                                                                                                                                                                                                  </w:t>
      </w:r>
    </w:p>
    <w:p w:rsidR="001A5BB0" w:rsidRPr="00CF3BDE" w:rsidRDefault="005C76E4" w:rsidP="00A76F4A">
      <w:pPr>
        <w:ind w:right="12"/>
      </w:pPr>
      <w:r w:rsidRPr="00CF3BDE">
        <w:rPr>
          <w:noProof/>
          <w:lang w:val="pt-PT" w:eastAsia="pt-PT"/>
        </w:rPr>
        <mc:AlternateContent>
          <mc:Choice Requires="wps">
            <w:drawing>
              <wp:anchor distT="0" distB="0" distL="114299" distR="114299" simplePos="0" relativeHeight="251658293" behindDoc="0" locked="0" layoutInCell="1" allowOverlap="1" wp14:anchorId="2A817434" wp14:editId="44348ADD">
                <wp:simplePos x="0" y="0"/>
                <wp:positionH relativeFrom="column">
                  <wp:posOffset>2822900</wp:posOffset>
                </wp:positionH>
                <wp:positionV relativeFrom="paragraph">
                  <wp:posOffset>156209</wp:posOffset>
                </wp:positionV>
                <wp:extent cx="45719" cy="565123"/>
                <wp:effectExtent l="50800" t="50800" r="56515" b="19685"/>
                <wp:wrapNone/>
                <wp:docPr id="72" name="Connecteur droit avec flèch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565123"/>
                        </a:xfrm>
                        <a:prstGeom prst="straightConnector1">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985F89" id="_x0000_t32" coordsize="21600,21600" o:spt="32" o:oned="t" path="m,l21600,21600e" filled="f">
                <v:path arrowok="t" fillok="f" o:connecttype="none"/>
                <o:lock v:ext="edit" shapetype="t"/>
              </v:shapetype>
              <v:shape id="Connecteur droit avec flèche 1921" o:spid="_x0000_s1026" type="#_x0000_t32" style="position:absolute;margin-left:222.3pt;margin-top:12.3pt;width:3.6pt;height:44.5pt;flip:x y;z-index:25165829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" strokecolor="black [3200]" strokeweight="1.5pt">
                <v:stroke endarrow="block" joinstyle="miter"/>
              </v:shape>
            </w:pict>
          </mc:Fallback>
        </mc:AlternateContent>
      </w:r>
      <w:r w:rsidR="001A5BB0" w:rsidRPr="00CF3BDE">
        <w:rPr>
          <w:noProof/>
          <w:lang w:val="pt-PT" w:eastAsia="pt-PT"/>
        </w:rPr>
        <mc:AlternateContent>
          <mc:Choice Requires="wps">
            <w:drawing>
              <wp:anchor distT="0" distB="0" distL="114300" distR="114300" simplePos="0" relativeHeight="251658294" behindDoc="0" locked="0" layoutInCell="1" allowOverlap="1" wp14:anchorId="2D320684" wp14:editId="022AD8CB">
                <wp:simplePos x="0" y="0"/>
                <wp:positionH relativeFrom="column">
                  <wp:posOffset>1438275</wp:posOffset>
                </wp:positionH>
                <wp:positionV relativeFrom="paragraph">
                  <wp:posOffset>24130</wp:posOffset>
                </wp:positionV>
                <wp:extent cx="862965" cy="629285"/>
                <wp:effectExtent l="76200" t="50800" r="26035" b="31115"/>
                <wp:wrapNone/>
                <wp:docPr id="246" name="Connecteur en angl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62965" cy="629285"/>
                        </a:xfrm>
                        <a:prstGeom prst="bentConnector3">
                          <a:avLst>
                            <a:gd name="adj1" fmla="val 103162"/>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0F6C3" id="Connecteur en angle 1920" o:spid="_x0000_s1026" type="#_x0000_t34" style="position:absolute;margin-left:113.25pt;margin-top:1.9pt;width:67.95pt;height:49.55pt;rotation:180;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" adj="22283" strokecolor="black [3200]" strokeweight="1.5pt">
                <v:stroke endarrow="block"/>
              </v:shape>
            </w:pict>
          </mc:Fallback>
        </mc:AlternateContent>
      </w:r>
    </w:p>
    <w:p w:rsidR="001A5BB0" w:rsidRPr="00CF3BDE" w:rsidRDefault="001A5BB0" w:rsidP="00A76F4A">
      <w:pPr>
        <w:ind w:right="12"/>
        <w:jc w:val="both"/>
      </w:pPr>
      <w:r w:rsidRPr="00CF3BDE">
        <w:rPr>
          <w:noProof/>
          <w:lang w:val="pt-PT" w:eastAsia="pt-PT"/>
        </w:rPr>
        <mc:AlternateContent>
          <mc:Choice Requires="wps">
            <w:drawing>
              <wp:anchor distT="0" distB="0" distL="114300" distR="114300" simplePos="0" relativeHeight="251658286" behindDoc="0" locked="0" layoutInCell="1" allowOverlap="1" wp14:anchorId="32C00EFF" wp14:editId="0D0C1F23">
                <wp:simplePos x="0" y="0"/>
                <wp:positionH relativeFrom="column">
                  <wp:posOffset>2310130</wp:posOffset>
                </wp:positionH>
                <wp:positionV relativeFrom="paragraph">
                  <wp:posOffset>231775</wp:posOffset>
                </wp:positionV>
                <wp:extent cx="1172845" cy="465455"/>
                <wp:effectExtent l="0" t="0" r="0" b="0"/>
                <wp:wrapNone/>
                <wp:docPr id="71"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465455"/>
                        </a:xfrm>
                        <a:prstGeom prst="rect">
                          <a:avLst/>
                        </a:prstGeom>
                        <a:gradFill rotWithShape="1">
                          <a:gsLst>
                            <a:gs pos="0">
                              <a:srgbClr val="2A4B86"/>
                            </a:gs>
                            <a:gs pos="48000">
                              <a:srgbClr val="4A76C6"/>
                            </a:gs>
                            <a:gs pos="100000">
                              <a:srgbClr val="8FAADC"/>
                            </a:gs>
                          </a:gsLst>
                          <a:lin ang="16200000" scaled="1"/>
                        </a:gradFill>
                        <a:ln>
                          <a:noFill/>
                        </a:ln>
                      </wps:spPr>
                      <wps:txbx>
                        <w:txbxContent>
                          <w:p w:rsidR="00293642" w:rsidRPr="00B5147B" w:rsidRDefault="00293642" w:rsidP="001A5BB0">
                            <w:pPr>
                              <w:rPr>
                                <w:rFonts w:ascii="Maiandra GD" w:hAnsi="Maiandra GD"/>
                                <w:b/>
                              </w:rPr>
                            </w:pPr>
                            <w:r w:rsidRPr="00B5147B">
                              <w:rPr>
                                <w:b/>
                              </w:rPr>
                              <w:t xml:space="preserve">       </w:t>
                            </w:r>
                            <w:r w:rsidRPr="00B5147B">
                              <w:rPr>
                                <w:rFonts w:ascii="Maiandra GD" w:hAnsi="Maiandra GD"/>
                                <w:b/>
                              </w:rPr>
                              <w:t xml:space="preserve">Plaignant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00EFF" id="Rectangle 1922" o:spid="_x0000_s1044" style="position:absolute;left:0;text-align:left;margin-left:181.9pt;margin-top:18.25pt;width:92.35pt;height:36.6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" fillcolor="#2a4b86" stroked="f">
                <v:fill color2="#8faadc" rotate="t" angle="180" colors="0 #2a4b86;31457f #4a76c6;1 #8faadc" focus="100%" type="gradient"/>
                <v:textbox>
                  <w:txbxContent>
                    <w:p w14:paraId="1A544726" w14:textId="77777777" w:rsidR="00293642" w:rsidRPr="00B5147B" w:rsidRDefault="00293642" w:rsidP="001A5BB0">
                      <w:pPr>
                        <w:rPr>
                          <w:rFonts w:ascii="Maiandra GD" w:hAnsi="Maiandra GD"/>
                          <w:b/>
                        </w:rPr>
                      </w:pPr>
                      <w:r w:rsidRPr="00B5147B">
                        <w:rPr>
                          <w:b/>
                        </w:rPr>
                        <w:t xml:space="preserve">       </w:t>
                      </w:r>
                      <w:r w:rsidRPr="00B5147B">
                        <w:rPr>
                          <w:rFonts w:ascii="Maiandra GD" w:hAnsi="Maiandra GD"/>
                          <w:b/>
                        </w:rPr>
                        <w:t xml:space="preserve">Plaignant </w:t>
                      </w:r>
                    </w:p>
                  </w:txbxContent>
                </v:textbox>
              </v:rect>
            </w:pict>
          </mc:Fallback>
        </mc:AlternateContent>
      </w:r>
    </w:p>
    <w:p w:rsidR="001A5BB0" w:rsidRPr="00CF3BDE" w:rsidRDefault="001A5BB0" w:rsidP="00A76F4A">
      <w:pPr>
        <w:pStyle w:val="Legenda"/>
        <w:ind w:right="12"/>
      </w:pPr>
    </w:p>
    <w:p w:rsidR="0043217A" w:rsidRPr="00CF3BDE" w:rsidRDefault="0043217A" w:rsidP="00A76F4A">
      <w:pPr>
        <w:ind w:right="12"/>
      </w:pPr>
    </w:p>
    <w:p w:rsidR="006877FD" w:rsidRDefault="00125C75" w:rsidP="00ED1558">
      <w:pPr>
        <w:ind w:right="12"/>
        <w:rPr>
          <w:b/>
          <w:bCs/>
          <w:kern w:val="32"/>
          <w:sz w:val="32"/>
          <w:szCs w:val="32"/>
        </w:rPr>
      </w:pPr>
      <w:bookmarkStart w:id="468" w:name="_Toc75433073"/>
      <w:r w:rsidRPr="00CF3BDE">
        <w:t xml:space="preserve">Figure </w:t>
      </w:r>
      <w:r w:rsidR="001C4071">
        <w:fldChar w:fldCharType="begin"/>
      </w:r>
      <w:r w:rsidR="001C4071">
        <w:instrText xml:space="preserve"> </w:instrText>
      </w:r>
      <w:r w:rsidR="006C5620">
        <w:instrText>SEQ</w:instrText>
      </w:r>
      <w:r w:rsidR="001C4071">
        <w:instrText xml:space="preserve"> Figure \* ARABIC </w:instrText>
      </w:r>
      <w:r w:rsidR="001C4071">
        <w:fldChar w:fldCharType="separate"/>
      </w:r>
      <w:r w:rsidR="005C76E4">
        <w:rPr>
          <w:noProof/>
        </w:rPr>
        <w:t>8</w:t>
      </w:r>
      <w:r w:rsidR="001C4071">
        <w:rPr>
          <w:noProof/>
        </w:rPr>
        <w:fldChar w:fldCharType="end"/>
      </w:r>
      <w:r w:rsidRPr="00CF3BDE">
        <w:t> : Diagramme de fonctionnement du MGP du</w:t>
      </w:r>
      <w:bookmarkEnd w:id="465"/>
      <w:r w:rsidRPr="00CF3BDE">
        <w:t xml:space="preserve"> </w:t>
      </w:r>
      <w:bookmarkEnd w:id="466"/>
      <w:bookmarkEnd w:id="467"/>
      <w:r w:rsidRPr="00CF3BDE">
        <w:t>projet PUSA</w:t>
      </w:r>
      <w:bookmarkEnd w:id="418"/>
      <w:bookmarkEnd w:id="419"/>
      <w:bookmarkEnd w:id="468"/>
      <w:r w:rsidR="006877FD">
        <w:br w:type="page"/>
      </w:r>
    </w:p>
    <w:p w:rsidR="006877FD" w:rsidRPr="00A05698" w:rsidRDefault="006877FD" w:rsidP="00A76F4A">
      <w:pPr>
        <w:pStyle w:val="Cabealho1"/>
        <w:numPr>
          <w:ilvl w:val="0"/>
          <w:numId w:val="0"/>
        </w:numPr>
        <w:pBdr>
          <w:bottom w:val="thickThinSmallGap" w:sz="24" w:space="1" w:color="auto"/>
        </w:pBdr>
        <w:shd w:val="clear" w:color="auto" w:fill="E2EFD9" w:themeFill="accent6" w:themeFillTint="33"/>
        <w:spacing w:after="120"/>
        <w:ind w:right="12"/>
        <w:rPr>
          <w:rFonts w:ascii="Times New Roman" w:hAnsi="Times New Roman"/>
        </w:rPr>
      </w:pPr>
      <w:bookmarkStart w:id="469" w:name="_Toc75432347"/>
      <w:r w:rsidRPr="00A05698">
        <w:rPr>
          <w:rFonts w:ascii="Times New Roman" w:hAnsi="Times New Roman"/>
        </w:rPr>
        <w:lastRenderedPageBreak/>
        <w:t>REFERENCE BIBLIOGRAPHIQUE</w:t>
      </w:r>
      <w:bookmarkEnd w:id="469"/>
    </w:p>
    <w:p w:rsidR="006877FD" w:rsidRPr="00A05698" w:rsidRDefault="006877FD" w:rsidP="00A76F4A">
      <w:pPr>
        <w:ind w:right="12"/>
        <w:rPr>
          <w:rFonts w:eastAsia="Calibri"/>
          <w:sz w:val="20"/>
          <w:szCs w:val="20"/>
        </w:rPr>
      </w:pPr>
    </w:p>
    <w:p w:rsidR="006877FD" w:rsidRPr="003A5BAE" w:rsidRDefault="006877FD" w:rsidP="00A76F4A">
      <w:pPr>
        <w:pStyle w:val="PargrafodaLista"/>
        <w:numPr>
          <w:ilvl w:val="0"/>
          <w:numId w:val="116"/>
        </w:numPr>
        <w:spacing w:after="0" w:line="240" w:lineRule="auto"/>
        <w:ind w:right="12"/>
        <w:jc w:val="both"/>
        <w:rPr>
          <w:rFonts w:ascii="Times New Roman" w:hAnsi="Times New Roman"/>
          <w:i/>
        </w:rPr>
      </w:pPr>
      <w:r w:rsidRPr="003A5BAE">
        <w:rPr>
          <w:i/>
        </w:rPr>
        <w:t>Cadre de gestion environnementale et sociale du PEASA II, Avril  2014; Document de projet du PEASA 2 (P174336-GB Food Security Draft SEP.docx) 2021</w:t>
      </w:r>
      <w:r w:rsidRPr="003A5BAE">
        <w:rPr>
          <w:rFonts w:ascii="Times New Roman" w:hAnsi="Times New Roman"/>
          <w:bCs/>
          <w:i/>
          <w:color w:val="000000"/>
        </w:rPr>
        <w:t xml:space="preserve">Le Décret 14/2011 du 22 février sur les forêts </w:t>
      </w:r>
      <w:r w:rsidRPr="003A5BAE">
        <w:rPr>
          <w:rFonts w:ascii="Times New Roman" w:hAnsi="Times New Roman"/>
          <w:i/>
        </w:rPr>
        <w:t>en Guinée Bissau</w:t>
      </w:r>
    </w:p>
    <w:p w:rsidR="006877FD" w:rsidRPr="00A05698" w:rsidRDefault="006877FD" w:rsidP="00A76F4A">
      <w:pPr>
        <w:pStyle w:val="PargrafodaLista"/>
        <w:numPr>
          <w:ilvl w:val="0"/>
          <w:numId w:val="116"/>
        </w:numPr>
        <w:spacing w:after="0" w:line="240" w:lineRule="auto"/>
        <w:ind w:right="12"/>
        <w:jc w:val="both"/>
        <w:rPr>
          <w:rFonts w:ascii="Times New Roman" w:hAnsi="Times New Roman"/>
          <w:i/>
          <w:color w:val="000000"/>
        </w:rPr>
      </w:pPr>
      <w:r w:rsidRPr="00A05698">
        <w:rPr>
          <w:rFonts w:ascii="Times New Roman" w:hAnsi="Times New Roman"/>
          <w:bCs/>
          <w:i/>
          <w:color w:val="000000"/>
        </w:rPr>
        <w:t>Loi n° 2/98 portant sur le foncier</w:t>
      </w:r>
      <w:r w:rsidRPr="00A05698">
        <w:rPr>
          <w:rFonts w:ascii="Times New Roman" w:hAnsi="Times New Roman"/>
          <w:i/>
        </w:rPr>
        <w:t xml:space="preserve"> en Guinée Bissau</w:t>
      </w:r>
    </w:p>
    <w:p w:rsidR="006877FD" w:rsidRPr="00A05698" w:rsidRDefault="006877FD" w:rsidP="00A76F4A">
      <w:pPr>
        <w:pStyle w:val="PargrafodaLista"/>
        <w:numPr>
          <w:ilvl w:val="0"/>
          <w:numId w:val="116"/>
        </w:numPr>
        <w:spacing w:after="0" w:line="240" w:lineRule="auto"/>
        <w:ind w:right="12"/>
        <w:jc w:val="both"/>
        <w:rPr>
          <w:rFonts w:ascii="Times New Roman" w:hAnsi="Times New Roman"/>
          <w:i/>
          <w:color w:val="000000"/>
        </w:rPr>
      </w:pPr>
      <w:r w:rsidRPr="00A05698">
        <w:rPr>
          <w:rFonts w:ascii="Times New Roman" w:hAnsi="Times New Roman"/>
          <w:bCs/>
          <w:i/>
          <w:color w:val="000000"/>
        </w:rPr>
        <w:t>La Loi n°10/2010 du 24 septembre 2010 sur l’évaluation environnementale</w:t>
      </w:r>
    </w:p>
    <w:p w:rsidR="006877FD" w:rsidRPr="00A05698" w:rsidRDefault="006877FD" w:rsidP="00A76F4A">
      <w:pPr>
        <w:pStyle w:val="PargrafodaLista"/>
        <w:numPr>
          <w:ilvl w:val="0"/>
          <w:numId w:val="116"/>
        </w:numPr>
        <w:spacing w:after="0" w:line="240" w:lineRule="auto"/>
        <w:ind w:right="12"/>
        <w:jc w:val="both"/>
        <w:rPr>
          <w:rFonts w:ascii="Times New Roman" w:hAnsi="Times New Roman"/>
          <w:i/>
          <w:color w:val="000000"/>
        </w:rPr>
      </w:pPr>
      <w:r w:rsidRPr="00A05698">
        <w:rPr>
          <w:rFonts w:ascii="Times New Roman" w:hAnsi="Times New Roman"/>
          <w:i/>
          <w:color w:val="000000"/>
        </w:rPr>
        <w:t>Loi de base n°1/2011</w:t>
      </w:r>
      <w:r w:rsidRPr="00A05698">
        <w:rPr>
          <w:rFonts w:ascii="Times New Roman" w:hAnsi="Times New Roman"/>
          <w:i/>
        </w:rPr>
        <w:t xml:space="preserve"> en Guinée Bissau</w:t>
      </w:r>
    </w:p>
    <w:p w:rsidR="006877FD" w:rsidRPr="00A05698" w:rsidRDefault="006877FD" w:rsidP="00A76F4A">
      <w:pPr>
        <w:pStyle w:val="PargrafodaLista"/>
        <w:numPr>
          <w:ilvl w:val="0"/>
          <w:numId w:val="116"/>
        </w:numPr>
        <w:spacing w:after="0" w:line="240" w:lineRule="auto"/>
        <w:ind w:right="12"/>
        <w:jc w:val="both"/>
        <w:rPr>
          <w:rFonts w:ascii="Times New Roman" w:hAnsi="Times New Roman"/>
          <w:i/>
          <w:color w:val="000000"/>
        </w:rPr>
      </w:pPr>
      <w:r w:rsidRPr="00A05698">
        <w:rPr>
          <w:rFonts w:ascii="Times New Roman" w:hAnsi="Times New Roman"/>
          <w:i/>
        </w:rPr>
        <w:t>Loi de base sur l’environnement en Guinée Bissau</w:t>
      </w:r>
    </w:p>
    <w:p w:rsidR="006877FD" w:rsidRPr="00A05698" w:rsidRDefault="006877FD" w:rsidP="00A76F4A">
      <w:pPr>
        <w:pStyle w:val="PargrafodaLista"/>
        <w:numPr>
          <w:ilvl w:val="0"/>
          <w:numId w:val="116"/>
        </w:numPr>
        <w:spacing w:after="0" w:line="240" w:lineRule="auto"/>
        <w:ind w:right="12"/>
        <w:jc w:val="both"/>
        <w:rPr>
          <w:rFonts w:ascii="Times New Roman" w:hAnsi="Times New Roman"/>
          <w:i/>
        </w:rPr>
      </w:pPr>
      <w:r w:rsidRPr="00A05698">
        <w:rPr>
          <w:rFonts w:ascii="Times New Roman" w:hAnsi="Times New Roman"/>
          <w:i/>
          <w:color w:val="000000"/>
        </w:rPr>
        <w:t>Le décret n°15/2010 en</w:t>
      </w:r>
      <w:r w:rsidRPr="00A05698">
        <w:rPr>
          <w:rFonts w:ascii="Times New Roman" w:hAnsi="Times New Roman"/>
          <w:i/>
        </w:rPr>
        <w:t xml:space="preserve"> Guinée Bissau</w:t>
      </w:r>
    </w:p>
    <w:p w:rsidR="006877FD" w:rsidRPr="00A05698" w:rsidRDefault="006877FD" w:rsidP="00A76F4A">
      <w:pPr>
        <w:pStyle w:val="PargrafodaLista"/>
        <w:numPr>
          <w:ilvl w:val="0"/>
          <w:numId w:val="117"/>
        </w:numPr>
        <w:spacing w:line="240" w:lineRule="auto"/>
        <w:ind w:right="12"/>
        <w:jc w:val="both"/>
        <w:rPr>
          <w:rFonts w:ascii="Times New Roman" w:hAnsi="Times New Roman"/>
          <w:i/>
        </w:rPr>
      </w:pPr>
      <w:r w:rsidRPr="00A05698">
        <w:rPr>
          <w:rFonts w:ascii="Times New Roman" w:hAnsi="Times New Roman"/>
          <w:i/>
          <w:color w:val="000000"/>
        </w:rPr>
        <w:t>Le décret d’application n° 7/2012 en</w:t>
      </w:r>
      <w:r w:rsidRPr="00A05698">
        <w:rPr>
          <w:rFonts w:ascii="Times New Roman" w:hAnsi="Times New Roman"/>
          <w:i/>
        </w:rPr>
        <w:t xml:space="preserve"> Guinée Bissau</w:t>
      </w:r>
    </w:p>
    <w:p w:rsidR="006877FD" w:rsidRPr="00A05698" w:rsidRDefault="006877FD" w:rsidP="00A76F4A">
      <w:pPr>
        <w:pStyle w:val="PargrafodaLista"/>
        <w:numPr>
          <w:ilvl w:val="0"/>
          <w:numId w:val="117"/>
        </w:numPr>
        <w:spacing w:after="0" w:line="240" w:lineRule="auto"/>
        <w:ind w:right="12"/>
        <w:jc w:val="both"/>
        <w:rPr>
          <w:rFonts w:ascii="Times New Roman" w:hAnsi="Times New Roman"/>
          <w:i/>
        </w:rPr>
      </w:pPr>
      <w:r w:rsidRPr="00A05698">
        <w:rPr>
          <w:rFonts w:ascii="Times New Roman" w:hAnsi="Times New Roman"/>
          <w:i/>
          <w:color w:val="000000"/>
        </w:rPr>
        <w:t>Le décret n°13/2010 en</w:t>
      </w:r>
      <w:r w:rsidRPr="00A05698">
        <w:rPr>
          <w:rFonts w:ascii="Times New Roman" w:hAnsi="Times New Roman"/>
          <w:i/>
        </w:rPr>
        <w:t xml:space="preserve"> Guinée Bissau</w:t>
      </w:r>
    </w:p>
    <w:p w:rsidR="006877FD" w:rsidRPr="00A05698" w:rsidRDefault="006877FD" w:rsidP="00A76F4A">
      <w:pPr>
        <w:pStyle w:val="PargrafodaLista"/>
        <w:numPr>
          <w:ilvl w:val="0"/>
          <w:numId w:val="117"/>
        </w:numPr>
        <w:spacing w:after="0" w:line="240" w:lineRule="auto"/>
        <w:ind w:right="12"/>
        <w:jc w:val="both"/>
        <w:rPr>
          <w:rFonts w:ascii="Times New Roman" w:hAnsi="Times New Roman"/>
          <w:i/>
        </w:rPr>
      </w:pPr>
      <w:r w:rsidRPr="00A05698">
        <w:rPr>
          <w:rFonts w:ascii="Times New Roman" w:hAnsi="Times New Roman"/>
          <w:i/>
          <w:color w:val="000000"/>
        </w:rPr>
        <w:t>Le décret n°14/2010 en</w:t>
      </w:r>
      <w:r w:rsidRPr="00A05698">
        <w:rPr>
          <w:rFonts w:ascii="Times New Roman" w:hAnsi="Times New Roman"/>
          <w:i/>
        </w:rPr>
        <w:t xml:space="preserve"> Guinée Bissau</w:t>
      </w:r>
    </w:p>
    <w:p w:rsidR="006877FD" w:rsidRPr="00A05698" w:rsidRDefault="006877FD" w:rsidP="00A76F4A">
      <w:pPr>
        <w:pStyle w:val="PargrafodaLista"/>
        <w:numPr>
          <w:ilvl w:val="0"/>
          <w:numId w:val="117"/>
        </w:numPr>
        <w:spacing w:after="0" w:line="240" w:lineRule="auto"/>
        <w:ind w:right="12"/>
        <w:jc w:val="both"/>
        <w:rPr>
          <w:rFonts w:ascii="Times New Roman" w:hAnsi="Times New Roman"/>
          <w:i/>
        </w:rPr>
      </w:pPr>
      <w:r w:rsidRPr="00A05698">
        <w:rPr>
          <w:rFonts w:ascii="Times New Roman" w:hAnsi="Times New Roman"/>
          <w:i/>
        </w:rPr>
        <w:t>Rapport sur la mise en œuvre de la stratégie nationale et le plan d’action sur la diversité biologique en guinée Bissau, 2016</w:t>
      </w:r>
    </w:p>
    <w:p w:rsidR="006877FD" w:rsidRPr="00A05698" w:rsidRDefault="006877FD" w:rsidP="00A76F4A">
      <w:pPr>
        <w:pStyle w:val="PargrafodaLista"/>
        <w:numPr>
          <w:ilvl w:val="0"/>
          <w:numId w:val="117"/>
        </w:numPr>
        <w:spacing w:line="240" w:lineRule="auto"/>
        <w:ind w:right="12"/>
        <w:jc w:val="both"/>
        <w:rPr>
          <w:rFonts w:ascii="Times New Roman" w:hAnsi="Times New Roman"/>
          <w:i/>
        </w:rPr>
      </w:pPr>
      <w:r w:rsidRPr="00A05698">
        <w:rPr>
          <w:rFonts w:ascii="Times New Roman" w:hAnsi="Times New Roman"/>
          <w:i/>
        </w:rPr>
        <w:t>Programme d’action nationale d’adaptation aux changements climatiques en Guinée Bissau, 2010, ministère des ressources naturelles et de l</w:t>
      </w:r>
      <w:r w:rsidRPr="00A05698">
        <w:rPr>
          <w:rFonts w:ascii="Times New Roman" w:eastAsia="SimHei" w:hAnsi="Times New Roman"/>
          <w:i/>
        </w:rPr>
        <w:t>'</w:t>
      </w:r>
      <w:r w:rsidRPr="00A05698">
        <w:rPr>
          <w:rFonts w:ascii="Times New Roman" w:hAnsi="Times New Roman"/>
          <w:i/>
        </w:rPr>
        <w:t>environnement</w:t>
      </w:r>
      <w:r>
        <w:rPr>
          <w:rFonts w:ascii="Times New Roman" w:hAnsi="Times New Roman"/>
          <w:i/>
        </w:rPr>
        <w:t xml:space="preserve"> </w:t>
      </w:r>
      <w:r w:rsidRPr="00A05698">
        <w:rPr>
          <w:rFonts w:ascii="Times New Roman" w:hAnsi="Times New Roman"/>
          <w:i/>
        </w:rPr>
        <w:t>gouvernement de la Guinée-Bissau</w:t>
      </w:r>
    </w:p>
    <w:p w:rsidR="006877FD" w:rsidRPr="00A05698" w:rsidRDefault="006877FD" w:rsidP="00A76F4A">
      <w:pPr>
        <w:pStyle w:val="PargrafodaLista"/>
        <w:numPr>
          <w:ilvl w:val="0"/>
          <w:numId w:val="117"/>
        </w:numPr>
        <w:spacing w:after="0" w:line="240" w:lineRule="auto"/>
        <w:ind w:right="12"/>
        <w:jc w:val="both"/>
        <w:rPr>
          <w:rFonts w:ascii="Times New Roman" w:hAnsi="Times New Roman"/>
          <w:i/>
          <w:color w:val="000000"/>
        </w:rPr>
      </w:pPr>
      <w:r w:rsidRPr="00A05698">
        <w:rPr>
          <w:rFonts w:ascii="Times New Roman" w:hAnsi="Times New Roman"/>
          <w:i/>
        </w:rPr>
        <w:t xml:space="preserve">Procédure de gestion administrative des évaluations environnementales en Guinée </w:t>
      </w:r>
      <w:r w:rsidRPr="00A05698">
        <w:rPr>
          <w:rFonts w:ascii="Times New Roman" w:hAnsi="Times New Roman"/>
          <w:i/>
          <w:color w:val="000000"/>
        </w:rPr>
        <w:t>Bissau 06 Aout 2009</w:t>
      </w:r>
    </w:p>
    <w:p w:rsidR="006877FD" w:rsidRPr="00A05698" w:rsidRDefault="006877FD" w:rsidP="00A76F4A">
      <w:pPr>
        <w:pStyle w:val="PargrafodaLista"/>
        <w:numPr>
          <w:ilvl w:val="0"/>
          <w:numId w:val="117"/>
        </w:numPr>
        <w:spacing w:after="0" w:line="240" w:lineRule="auto"/>
        <w:ind w:right="12"/>
        <w:jc w:val="both"/>
        <w:rPr>
          <w:rFonts w:ascii="Times New Roman" w:hAnsi="Times New Roman"/>
          <w:i/>
        </w:rPr>
      </w:pPr>
      <w:r w:rsidRPr="00A05698">
        <w:rPr>
          <w:rFonts w:ascii="Times New Roman" w:hAnsi="Times New Roman"/>
          <w:i/>
        </w:rPr>
        <w:t xml:space="preserve">Document de politique de développement forestière </w:t>
      </w:r>
      <w:r>
        <w:rPr>
          <w:rFonts w:ascii="Times New Roman" w:hAnsi="Times New Roman"/>
          <w:i/>
        </w:rPr>
        <w:t xml:space="preserve">de la guinée Bissau </w:t>
      </w:r>
      <w:r w:rsidRPr="00A05698">
        <w:rPr>
          <w:rFonts w:ascii="Times New Roman" w:hAnsi="Times New Roman"/>
          <w:i/>
          <w:color w:val="000000"/>
        </w:rPr>
        <w:t>Aout 2012</w:t>
      </w:r>
    </w:p>
    <w:p w:rsidR="006877FD" w:rsidRPr="00A05698" w:rsidRDefault="006877FD" w:rsidP="00A76F4A">
      <w:pPr>
        <w:pStyle w:val="PargrafodaLista"/>
        <w:numPr>
          <w:ilvl w:val="0"/>
          <w:numId w:val="117"/>
        </w:numPr>
        <w:spacing w:after="0" w:line="240" w:lineRule="auto"/>
        <w:ind w:right="12"/>
        <w:jc w:val="both"/>
        <w:rPr>
          <w:rFonts w:ascii="Times New Roman" w:hAnsi="Times New Roman"/>
          <w:i/>
          <w:color w:val="000000"/>
        </w:rPr>
      </w:pPr>
      <w:r w:rsidRPr="00A05698">
        <w:rPr>
          <w:rFonts w:ascii="Times New Roman" w:hAnsi="Times New Roman"/>
          <w:i/>
          <w:color w:val="000000"/>
        </w:rPr>
        <w:t xml:space="preserve">Elaboration du profil environnemental de pays – Guinée Bissau </w:t>
      </w:r>
      <w:r w:rsidRPr="00A05698">
        <w:rPr>
          <w:rFonts w:ascii="Times New Roman" w:hAnsi="Times New Roman"/>
          <w:b/>
          <w:i/>
          <w:color w:val="000000"/>
        </w:rPr>
        <w:t>Rapport final 2007</w:t>
      </w:r>
    </w:p>
    <w:p w:rsidR="006877FD" w:rsidRPr="00A05698" w:rsidRDefault="006877FD" w:rsidP="00A76F4A">
      <w:pPr>
        <w:pStyle w:val="PargrafodaLista"/>
        <w:numPr>
          <w:ilvl w:val="0"/>
          <w:numId w:val="117"/>
        </w:numPr>
        <w:spacing w:after="0" w:line="240" w:lineRule="auto"/>
        <w:ind w:right="12"/>
        <w:jc w:val="both"/>
        <w:rPr>
          <w:rFonts w:ascii="Times New Roman" w:hAnsi="Times New Roman"/>
          <w:i/>
          <w:color w:val="000000"/>
        </w:rPr>
      </w:pPr>
      <w:r w:rsidRPr="00A05698">
        <w:rPr>
          <w:rFonts w:ascii="Times New Roman" w:hAnsi="Times New Roman"/>
          <w:i/>
          <w:color w:val="000000"/>
        </w:rPr>
        <w:t>Rapport sur la mise en œuvre de la stratégie nationale et le plan d’action sur la diversité biologique en Guinée-Bissau 20 Septembre 2008</w:t>
      </w:r>
    </w:p>
    <w:p w:rsidR="006877FD" w:rsidRPr="00A05698" w:rsidRDefault="006877FD" w:rsidP="00A76F4A">
      <w:pPr>
        <w:pStyle w:val="PargrafodaLista"/>
        <w:numPr>
          <w:ilvl w:val="0"/>
          <w:numId w:val="117"/>
        </w:numPr>
        <w:spacing w:after="0" w:line="240" w:lineRule="auto"/>
        <w:ind w:right="12"/>
        <w:jc w:val="both"/>
        <w:rPr>
          <w:rFonts w:ascii="Times New Roman" w:hAnsi="Times New Roman"/>
          <w:i/>
          <w:color w:val="000000"/>
          <w:lang w:val="pt-BR"/>
        </w:rPr>
      </w:pPr>
      <w:r w:rsidRPr="00A05698">
        <w:rPr>
          <w:rFonts w:ascii="Times New Roman" w:hAnsi="Times New Roman"/>
          <w:i/>
          <w:color w:val="000000"/>
          <w:lang w:val="pt-BR"/>
        </w:rPr>
        <w:t xml:space="preserve">Stratégie national para as areas protégeas e a </w:t>
      </w:r>
      <w:r>
        <w:rPr>
          <w:rFonts w:ascii="Times New Roman" w:hAnsi="Times New Roman"/>
          <w:i/>
          <w:color w:val="000000"/>
          <w:lang w:val="pt-BR"/>
        </w:rPr>
        <w:t xml:space="preserve">conservação </w:t>
      </w:r>
      <w:r w:rsidRPr="00A05698">
        <w:rPr>
          <w:rFonts w:ascii="Times New Roman" w:hAnsi="Times New Roman"/>
          <w:i/>
          <w:color w:val="000000"/>
          <w:lang w:val="pt-BR"/>
        </w:rPr>
        <w:t xml:space="preserve"> da biodiversidade na Guinée-Bissau 2014 – 2020</w:t>
      </w:r>
    </w:p>
    <w:p w:rsidR="006877FD" w:rsidRPr="004F6402" w:rsidRDefault="006877FD" w:rsidP="00A76F4A">
      <w:pPr>
        <w:pStyle w:val="PargrafodaLista"/>
        <w:numPr>
          <w:ilvl w:val="0"/>
          <w:numId w:val="117"/>
        </w:numPr>
        <w:ind w:right="12"/>
        <w:jc w:val="both"/>
        <w:rPr>
          <w:i/>
          <w:color w:val="000000"/>
        </w:rPr>
      </w:pPr>
      <w:r w:rsidRPr="00A05698">
        <w:rPr>
          <w:rFonts w:ascii="Times New Roman" w:hAnsi="Times New Roman"/>
          <w:i/>
          <w:color w:val="000000"/>
        </w:rPr>
        <w:t>Genèse des plans nationaux de conservation</w:t>
      </w:r>
      <w:r>
        <w:rPr>
          <w:rFonts w:ascii="Times New Roman" w:hAnsi="Times New Roman"/>
          <w:i/>
          <w:color w:val="000000"/>
        </w:rPr>
        <w:t xml:space="preserve"> </w:t>
      </w:r>
      <w:r w:rsidRPr="00CB3509">
        <w:rPr>
          <w:i/>
          <w:color w:val="000000"/>
        </w:rPr>
        <w:t xml:space="preserve">Octobre 2008 </w:t>
      </w:r>
    </w:p>
    <w:p w:rsidR="006877FD" w:rsidRPr="00A05698" w:rsidRDefault="006877FD" w:rsidP="00A76F4A">
      <w:pPr>
        <w:pStyle w:val="PargrafodaLista"/>
        <w:numPr>
          <w:ilvl w:val="0"/>
          <w:numId w:val="117"/>
        </w:numPr>
        <w:spacing w:after="0" w:line="240" w:lineRule="auto"/>
        <w:ind w:right="12"/>
        <w:jc w:val="both"/>
        <w:rPr>
          <w:rFonts w:ascii="Times New Roman" w:hAnsi="Times New Roman"/>
          <w:i/>
          <w:color w:val="000000"/>
        </w:rPr>
      </w:pPr>
      <w:r w:rsidRPr="00A05698">
        <w:rPr>
          <w:rFonts w:ascii="Times New Roman" w:hAnsi="Times New Roman"/>
          <w:i/>
          <w:color w:val="000000"/>
        </w:rPr>
        <w:t>L’Etude prospective du secteur forestier en Afrique (FOSA), 2018</w:t>
      </w:r>
    </w:p>
    <w:p w:rsidR="006877FD" w:rsidRPr="00A05698" w:rsidRDefault="006877FD" w:rsidP="00A76F4A">
      <w:pPr>
        <w:pStyle w:val="PargrafodaLista"/>
        <w:numPr>
          <w:ilvl w:val="0"/>
          <w:numId w:val="117"/>
        </w:numPr>
        <w:ind w:right="12"/>
        <w:jc w:val="both"/>
        <w:rPr>
          <w:rFonts w:ascii="Times New Roman" w:hAnsi="Times New Roman"/>
          <w:i/>
          <w:color w:val="000000"/>
        </w:rPr>
      </w:pPr>
      <w:r w:rsidRPr="00A05698">
        <w:rPr>
          <w:rFonts w:ascii="Times New Roman" w:hAnsi="Times New Roman"/>
          <w:i/>
          <w:color w:val="000000"/>
        </w:rPr>
        <w:t>Recontre regionale de concertation technique pour la validation des productions previsionnelles 2020/2021 et des bilans cerealiers, alimentaires et ex-post 2019/2020 et previsionnels 2020/2021 dans les pays du sahel et en afrique l’ouest (lomé/togo le 26 novembre 2020)</w:t>
      </w:r>
    </w:p>
    <w:p w:rsidR="006877FD" w:rsidRPr="00A05698" w:rsidRDefault="006877FD" w:rsidP="00A76F4A">
      <w:pPr>
        <w:pStyle w:val="PargrafodaLista"/>
        <w:numPr>
          <w:ilvl w:val="0"/>
          <w:numId w:val="117"/>
        </w:numPr>
        <w:ind w:right="12"/>
        <w:jc w:val="both"/>
        <w:rPr>
          <w:rFonts w:ascii="Times New Roman" w:hAnsi="Times New Roman"/>
          <w:i/>
          <w:color w:val="000000"/>
        </w:rPr>
      </w:pPr>
      <w:r w:rsidRPr="00A05698">
        <w:rPr>
          <w:rFonts w:ascii="Times New Roman" w:hAnsi="Times New Roman"/>
          <w:i/>
          <w:color w:val="000000"/>
        </w:rPr>
        <w:t>Résultats de l’analyse de la situation de l’insécurité alimentaire aiguë actuelle</w:t>
      </w:r>
      <w:r w:rsidRPr="00A05698">
        <w:rPr>
          <w:rFonts w:ascii="Times New Roman" w:hAnsi="Times New Roman"/>
          <w:i/>
          <w:color w:val="000000"/>
        </w:rPr>
        <w:tab/>
        <w:t>Valable : octobre à décembre 2020 ; Créé le : 13/11/2020</w:t>
      </w:r>
    </w:p>
    <w:p w:rsidR="006877FD" w:rsidRDefault="006877FD" w:rsidP="00A76F4A">
      <w:pPr>
        <w:pStyle w:val="PargrafodaLista"/>
        <w:numPr>
          <w:ilvl w:val="0"/>
          <w:numId w:val="117"/>
        </w:numPr>
        <w:ind w:right="12"/>
        <w:jc w:val="both"/>
        <w:rPr>
          <w:rFonts w:ascii="Times New Roman" w:hAnsi="Times New Roman"/>
          <w:i/>
          <w:color w:val="000000"/>
        </w:rPr>
      </w:pPr>
      <w:r>
        <w:rPr>
          <w:rFonts w:ascii="Times New Roman" w:hAnsi="Times New Roman"/>
          <w:i/>
          <w:color w:val="000000"/>
        </w:rPr>
        <w:t>S</w:t>
      </w:r>
      <w:r w:rsidRPr="00A05698">
        <w:rPr>
          <w:rFonts w:ascii="Times New Roman" w:hAnsi="Times New Roman"/>
          <w:i/>
          <w:color w:val="000000"/>
        </w:rPr>
        <w:t>ituation de la securite alimentaire et nutritionnelle au sahel et en afrique de l’ouest - courante (Octobre-Décembre 2020) et PROJETEE (Juin- Août 20 21)</w:t>
      </w:r>
    </w:p>
    <w:p w:rsidR="006877FD" w:rsidRPr="00083B97" w:rsidRDefault="006877FD" w:rsidP="00A76F4A">
      <w:pPr>
        <w:pStyle w:val="PargrafodaLista"/>
        <w:numPr>
          <w:ilvl w:val="0"/>
          <w:numId w:val="117"/>
        </w:numPr>
        <w:ind w:right="12"/>
        <w:jc w:val="both"/>
        <w:rPr>
          <w:rFonts w:ascii="Times New Roman" w:hAnsi="Times New Roman"/>
          <w:i/>
          <w:color w:val="000000"/>
          <w:lang w:val="pt-BR"/>
        </w:rPr>
      </w:pPr>
      <w:r w:rsidRPr="00083B97">
        <w:rPr>
          <w:rFonts w:ascii="Times New Roman" w:hAnsi="Times New Roman"/>
          <w:i/>
          <w:color w:val="000000"/>
          <w:lang w:val="pt-BR"/>
        </w:rPr>
        <w:t xml:space="preserve">Ministério dos Recursos Naturais e do Ambiente, Proposta do Projecto lei sobre a Avaliação ambiental, Bissau, 10 de Janeiro de 2008 </w:t>
      </w:r>
    </w:p>
    <w:p w:rsidR="006877FD" w:rsidRPr="00083B97" w:rsidRDefault="006877FD" w:rsidP="00A76F4A">
      <w:pPr>
        <w:pStyle w:val="PargrafodaLista"/>
        <w:numPr>
          <w:ilvl w:val="0"/>
          <w:numId w:val="117"/>
        </w:numPr>
        <w:ind w:right="12"/>
        <w:jc w:val="both"/>
        <w:rPr>
          <w:rFonts w:ascii="Times New Roman" w:hAnsi="Times New Roman"/>
          <w:i/>
          <w:color w:val="000000"/>
          <w:lang w:val="pt-BR"/>
        </w:rPr>
      </w:pPr>
      <w:r w:rsidRPr="00083B97">
        <w:rPr>
          <w:rFonts w:ascii="Times New Roman" w:hAnsi="Times New Roman"/>
          <w:i/>
          <w:color w:val="000000"/>
          <w:lang w:val="pt-BR"/>
        </w:rPr>
        <w:t xml:space="preserve">Ministério dos Recursos Naturais e Ambiente, Direcção Geral do Ambiente, Projecto da Lei de Bases do Ambiente </w:t>
      </w:r>
    </w:p>
    <w:p w:rsidR="006877FD" w:rsidRPr="00BA2787" w:rsidRDefault="006877FD" w:rsidP="00A76F4A">
      <w:pPr>
        <w:pStyle w:val="PargrafodaLista"/>
        <w:numPr>
          <w:ilvl w:val="0"/>
          <w:numId w:val="117"/>
        </w:numPr>
        <w:ind w:right="12"/>
        <w:jc w:val="both"/>
        <w:rPr>
          <w:rFonts w:ascii="Times New Roman" w:hAnsi="Times New Roman"/>
          <w:i/>
          <w:color w:val="000000"/>
        </w:rPr>
      </w:pPr>
      <w:r w:rsidRPr="00BA2787">
        <w:rPr>
          <w:rFonts w:ascii="Times New Roman" w:hAnsi="Times New Roman"/>
          <w:i/>
          <w:color w:val="000000"/>
        </w:rPr>
        <w:t>3_Version complète_PEAS_ Séance de sensibilisation PEAS et RPA 74 slides, 2020</w:t>
      </w:r>
    </w:p>
    <w:p w:rsidR="006877FD" w:rsidRDefault="006877FD" w:rsidP="00A76F4A">
      <w:pPr>
        <w:pStyle w:val="PargrafodaLista"/>
        <w:numPr>
          <w:ilvl w:val="0"/>
          <w:numId w:val="117"/>
        </w:numPr>
        <w:ind w:right="12"/>
        <w:jc w:val="both"/>
        <w:rPr>
          <w:rFonts w:ascii="Times New Roman" w:hAnsi="Times New Roman"/>
          <w:i/>
          <w:color w:val="000000"/>
          <w:lang w:val="en-US"/>
        </w:rPr>
      </w:pPr>
      <w:r w:rsidRPr="00083B97">
        <w:rPr>
          <w:rFonts w:ascii="Times New Roman" w:hAnsi="Times New Roman"/>
          <w:i/>
          <w:color w:val="000000"/>
          <w:lang w:val="en-US"/>
        </w:rPr>
        <w:t>ESF-Guidance-Note-3-Resource-Efficiency-and-Pollution-Prevention-and-Management-French, 2020</w:t>
      </w:r>
    </w:p>
    <w:p w:rsidR="006877FD" w:rsidRPr="001851C0" w:rsidRDefault="006877FD" w:rsidP="00A76F4A">
      <w:pPr>
        <w:pStyle w:val="PargrafodaLista"/>
        <w:numPr>
          <w:ilvl w:val="0"/>
          <w:numId w:val="117"/>
        </w:numPr>
        <w:ind w:right="12"/>
        <w:jc w:val="both"/>
        <w:rPr>
          <w:i/>
          <w:color w:val="000000"/>
        </w:rPr>
      </w:pPr>
      <w:r w:rsidRPr="001851C0">
        <w:rPr>
          <w:i/>
          <w:color w:val="000000"/>
        </w:rPr>
        <w:t>SIXIÈME RAPPORT NATIONAL SUR LA DIVERSITÉ BIOLOGIQUE DE LA RÉPUBLIQUE DE LA GUINÉE-BISSAU</w:t>
      </w:r>
      <w:r w:rsidRPr="001851C0">
        <w:rPr>
          <w:rFonts w:ascii="Times" w:hAnsi="Times" w:cs="Times"/>
          <w:color w:val="000000"/>
          <w:sz w:val="29"/>
          <w:szCs w:val="29"/>
          <w:lang w:eastAsia="en-US"/>
        </w:rPr>
        <w:t xml:space="preserve"> </w:t>
      </w:r>
      <w:r w:rsidRPr="001851C0">
        <w:rPr>
          <w:i/>
          <w:color w:val="000000"/>
        </w:rPr>
        <w:t>Mai 2019</w:t>
      </w:r>
    </w:p>
    <w:p w:rsidR="006877FD" w:rsidRPr="00946E7A" w:rsidRDefault="006877FD" w:rsidP="00A76F4A">
      <w:pPr>
        <w:pStyle w:val="PargrafodaLista"/>
        <w:numPr>
          <w:ilvl w:val="0"/>
          <w:numId w:val="117"/>
        </w:numPr>
        <w:ind w:right="12"/>
        <w:jc w:val="both"/>
        <w:rPr>
          <w:b/>
          <w:bCs/>
          <w:i/>
          <w:color w:val="000000"/>
          <w:lang w:val="en-US"/>
        </w:rPr>
      </w:pPr>
      <w:r w:rsidRPr="00946E7A">
        <w:rPr>
          <w:i/>
          <w:color w:val="000000"/>
          <w:lang w:val="en-US"/>
        </w:rPr>
        <w:t xml:space="preserve">Strategy and National Action Plan for the Biodiversity </w:t>
      </w:r>
      <w:r w:rsidRPr="00946E7A">
        <w:rPr>
          <w:b/>
          <w:bCs/>
          <w:i/>
          <w:color w:val="000000"/>
          <w:lang w:val="en-US"/>
        </w:rPr>
        <w:t xml:space="preserve">2015 - 2020 </w:t>
      </w:r>
    </w:p>
    <w:p w:rsidR="006877FD" w:rsidRPr="001851C0" w:rsidRDefault="006877FD" w:rsidP="00A76F4A">
      <w:pPr>
        <w:pStyle w:val="PargrafodaLista"/>
        <w:numPr>
          <w:ilvl w:val="0"/>
          <w:numId w:val="117"/>
        </w:numPr>
        <w:ind w:right="12"/>
        <w:jc w:val="both"/>
        <w:rPr>
          <w:i/>
          <w:color w:val="000000"/>
        </w:rPr>
      </w:pPr>
      <w:r w:rsidRPr="001851C0">
        <w:rPr>
          <w:i/>
          <w:color w:val="000000"/>
        </w:rPr>
        <w:t xml:space="preserve">2016. « Cadre environnemental et social de la Banque mondiale. </w:t>
      </w:r>
    </w:p>
    <w:p w:rsidR="006877FD" w:rsidRPr="00A05698" w:rsidRDefault="006877FD" w:rsidP="00A76F4A">
      <w:pPr>
        <w:pStyle w:val="PargrafodaLista"/>
        <w:numPr>
          <w:ilvl w:val="0"/>
          <w:numId w:val="117"/>
        </w:numPr>
        <w:ind w:right="12"/>
        <w:jc w:val="both"/>
        <w:rPr>
          <w:rFonts w:ascii="Times New Roman" w:hAnsi="Times New Roman"/>
          <w:i/>
          <w:color w:val="000000"/>
        </w:rPr>
      </w:pPr>
      <w:r>
        <w:rPr>
          <w:rFonts w:ascii="Times New Roman" w:hAnsi="Times New Roman"/>
          <w:i/>
          <w:color w:val="000000"/>
        </w:rPr>
        <w:t xml:space="preserve">Site web de IBAP, </w:t>
      </w:r>
    </w:p>
    <w:p w:rsidR="005E613E" w:rsidRDefault="005E613E" w:rsidP="00A76F4A">
      <w:pPr>
        <w:pStyle w:val="PargrafodaLista"/>
        <w:spacing w:line="240" w:lineRule="auto"/>
        <w:ind w:left="1276" w:right="12"/>
        <w:jc w:val="both"/>
        <w:rPr>
          <w:rFonts w:ascii="Times New Roman" w:hAnsi="Times New Roman"/>
          <w:sz w:val="24"/>
          <w:szCs w:val="24"/>
        </w:rPr>
      </w:pPr>
    </w:p>
    <w:p w:rsidR="005E613E" w:rsidRDefault="005E613E" w:rsidP="00A76F4A">
      <w:pPr>
        <w:pStyle w:val="PargrafodaLista"/>
        <w:spacing w:line="240" w:lineRule="auto"/>
        <w:ind w:left="1276" w:right="12"/>
        <w:jc w:val="both"/>
        <w:rPr>
          <w:rFonts w:ascii="Times New Roman" w:hAnsi="Times New Roman"/>
          <w:sz w:val="24"/>
          <w:szCs w:val="24"/>
        </w:rPr>
      </w:pPr>
    </w:p>
    <w:p w:rsidR="005E613E" w:rsidRDefault="005E613E" w:rsidP="00A76F4A">
      <w:pPr>
        <w:pStyle w:val="PargrafodaLista"/>
        <w:spacing w:line="240" w:lineRule="auto"/>
        <w:ind w:left="1276" w:right="12"/>
        <w:jc w:val="both"/>
        <w:rPr>
          <w:rFonts w:ascii="Times New Roman" w:hAnsi="Times New Roman"/>
          <w:sz w:val="24"/>
          <w:szCs w:val="24"/>
        </w:rPr>
      </w:pPr>
    </w:p>
    <w:bookmarkEnd w:id="382"/>
    <w:bookmarkEnd w:id="383"/>
    <w:p w:rsidR="00060D92" w:rsidRPr="00A05698" w:rsidRDefault="00060D92" w:rsidP="00A76F4A">
      <w:pPr>
        <w:autoSpaceDE w:val="0"/>
        <w:autoSpaceDN w:val="0"/>
        <w:adjustRightInd w:val="0"/>
        <w:ind w:left="709" w:right="12"/>
        <w:jc w:val="both"/>
      </w:pPr>
    </w:p>
    <w:p w:rsidR="00060D92" w:rsidRPr="00A05698" w:rsidRDefault="00060D92" w:rsidP="00A76F4A">
      <w:pPr>
        <w:autoSpaceDE w:val="0"/>
        <w:autoSpaceDN w:val="0"/>
        <w:adjustRightInd w:val="0"/>
        <w:ind w:left="709" w:right="12"/>
        <w:jc w:val="both"/>
      </w:pPr>
    </w:p>
    <w:p w:rsidR="00FB762F" w:rsidRDefault="00FB762F" w:rsidP="00A76F4A">
      <w:pPr>
        <w:autoSpaceDE w:val="0"/>
        <w:autoSpaceDN w:val="0"/>
        <w:adjustRightInd w:val="0"/>
        <w:ind w:left="709" w:right="12"/>
        <w:jc w:val="both"/>
      </w:pPr>
    </w:p>
    <w:p w:rsidR="006E7B48" w:rsidRDefault="006E7B48" w:rsidP="00A76F4A">
      <w:pPr>
        <w:autoSpaceDE w:val="0"/>
        <w:autoSpaceDN w:val="0"/>
        <w:adjustRightInd w:val="0"/>
        <w:ind w:left="709" w:right="12"/>
        <w:jc w:val="both"/>
      </w:pPr>
    </w:p>
    <w:p w:rsidR="006E7B48" w:rsidRDefault="006E7B48" w:rsidP="00A76F4A">
      <w:pPr>
        <w:autoSpaceDE w:val="0"/>
        <w:autoSpaceDN w:val="0"/>
        <w:adjustRightInd w:val="0"/>
        <w:ind w:left="709" w:right="12"/>
        <w:jc w:val="both"/>
      </w:pPr>
    </w:p>
    <w:p w:rsidR="006E7B48" w:rsidRDefault="006E7B48" w:rsidP="00A76F4A">
      <w:pPr>
        <w:autoSpaceDE w:val="0"/>
        <w:autoSpaceDN w:val="0"/>
        <w:adjustRightInd w:val="0"/>
        <w:ind w:left="709" w:right="12"/>
        <w:jc w:val="both"/>
      </w:pPr>
    </w:p>
    <w:p w:rsidR="006E7B48" w:rsidRDefault="006E7B48" w:rsidP="00A76F4A">
      <w:pPr>
        <w:autoSpaceDE w:val="0"/>
        <w:autoSpaceDN w:val="0"/>
        <w:adjustRightInd w:val="0"/>
        <w:ind w:left="709" w:right="12"/>
        <w:jc w:val="both"/>
      </w:pPr>
    </w:p>
    <w:p w:rsidR="006E7B48" w:rsidRDefault="006E7B48" w:rsidP="00A76F4A">
      <w:pPr>
        <w:autoSpaceDE w:val="0"/>
        <w:autoSpaceDN w:val="0"/>
        <w:adjustRightInd w:val="0"/>
        <w:ind w:left="709" w:right="12"/>
        <w:jc w:val="both"/>
      </w:pPr>
    </w:p>
    <w:p w:rsidR="006E7B48" w:rsidRDefault="006E7B48" w:rsidP="00A76F4A">
      <w:pPr>
        <w:autoSpaceDE w:val="0"/>
        <w:autoSpaceDN w:val="0"/>
        <w:adjustRightInd w:val="0"/>
        <w:ind w:left="709" w:right="12"/>
        <w:jc w:val="both"/>
      </w:pPr>
    </w:p>
    <w:p w:rsidR="006E7B48" w:rsidRDefault="006E7B48" w:rsidP="00A76F4A">
      <w:pPr>
        <w:autoSpaceDE w:val="0"/>
        <w:autoSpaceDN w:val="0"/>
        <w:adjustRightInd w:val="0"/>
        <w:ind w:left="709" w:right="12"/>
        <w:jc w:val="both"/>
      </w:pPr>
    </w:p>
    <w:p w:rsidR="006E7B48" w:rsidRDefault="006E7B48" w:rsidP="00A76F4A">
      <w:pPr>
        <w:autoSpaceDE w:val="0"/>
        <w:autoSpaceDN w:val="0"/>
        <w:adjustRightInd w:val="0"/>
        <w:ind w:left="709" w:right="12"/>
        <w:jc w:val="both"/>
      </w:pPr>
    </w:p>
    <w:p w:rsidR="00517B9E" w:rsidRDefault="00517B9E" w:rsidP="00A76F4A">
      <w:pPr>
        <w:autoSpaceDE w:val="0"/>
        <w:autoSpaceDN w:val="0"/>
        <w:adjustRightInd w:val="0"/>
        <w:ind w:left="709" w:right="12"/>
        <w:jc w:val="both"/>
      </w:pPr>
    </w:p>
    <w:p w:rsidR="00517B9E" w:rsidRDefault="00517B9E" w:rsidP="00A76F4A">
      <w:pPr>
        <w:autoSpaceDE w:val="0"/>
        <w:autoSpaceDN w:val="0"/>
        <w:adjustRightInd w:val="0"/>
        <w:ind w:left="709" w:right="12"/>
        <w:jc w:val="both"/>
      </w:pPr>
    </w:p>
    <w:p w:rsidR="00517B9E" w:rsidRDefault="00517B9E" w:rsidP="00A76F4A">
      <w:pPr>
        <w:autoSpaceDE w:val="0"/>
        <w:autoSpaceDN w:val="0"/>
        <w:adjustRightInd w:val="0"/>
        <w:ind w:left="709" w:right="12"/>
        <w:jc w:val="both"/>
      </w:pPr>
    </w:p>
    <w:p w:rsidR="00517B9E" w:rsidRDefault="00517B9E" w:rsidP="00A76F4A">
      <w:pPr>
        <w:autoSpaceDE w:val="0"/>
        <w:autoSpaceDN w:val="0"/>
        <w:adjustRightInd w:val="0"/>
        <w:ind w:left="709" w:right="12"/>
        <w:jc w:val="both"/>
      </w:pPr>
    </w:p>
    <w:p w:rsidR="00517B9E" w:rsidRDefault="00517B9E" w:rsidP="00A76F4A">
      <w:pPr>
        <w:autoSpaceDE w:val="0"/>
        <w:autoSpaceDN w:val="0"/>
        <w:adjustRightInd w:val="0"/>
        <w:ind w:left="709" w:right="12"/>
        <w:jc w:val="both"/>
      </w:pPr>
    </w:p>
    <w:p w:rsidR="00517B9E" w:rsidRDefault="00517B9E" w:rsidP="00A76F4A">
      <w:pPr>
        <w:autoSpaceDE w:val="0"/>
        <w:autoSpaceDN w:val="0"/>
        <w:adjustRightInd w:val="0"/>
        <w:ind w:left="709" w:right="12"/>
        <w:jc w:val="both"/>
      </w:pPr>
    </w:p>
    <w:p w:rsidR="007B7194" w:rsidRPr="00A05698" w:rsidRDefault="007B7194" w:rsidP="00A76F4A">
      <w:pPr>
        <w:autoSpaceDE w:val="0"/>
        <w:autoSpaceDN w:val="0"/>
        <w:adjustRightInd w:val="0"/>
        <w:ind w:right="12"/>
        <w:jc w:val="both"/>
      </w:pPr>
    </w:p>
    <w:p w:rsidR="007B7194" w:rsidRPr="00A05698" w:rsidRDefault="007B7194" w:rsidP="00A76F4A">
      <w:pPr>
        <w:autoSpaceDE w:val="0"/>
        <w:autoSpaceDN w:val="0"/>
        <w:adjustRightInd w:val="0"/>
        <w:ind w:left="709" w:right="12"/>
        <w:jc w:val="both"/>
      </w:pPr>
    </w:p>
    <w:p w:rsidR="00F736E0" w:rsidRPr="00A05698" w:rsidRDefault="00F736E0" w:rsidP="00A76F4A">
      <w:pPr>
        <w:autoSpaceDE w:val="0"/>
        <w:autoSpaceDN w:val="0"/>
        <w:adjustRightInd w:val="0"/>
        <w:ind w:left="709" w:right="12"/>
        <w:jc w:val="both"/>
      </w:pPr>
    </w:p>
    <w:p w:rsidR="00F926BE" w:rsidRPr="00A05698" w:rsidRDefault="00F926BE" w:rsidP="00A76F4A">
      <w:pPr>
        <w:autoSpaceDE w:val="0"/>
        <w:autoSpaceDN w:val="0"/>
        <w:adjustRightInd w:val="0"/>
        <w:ind w:left="709" w:right="12"/>
        <w:jc w:val="both"/>
      </w:pPr>
    </w:p>
    <w:p w:rsidR="00F926BE" w:rsidRPr="00D47C37" w:rsidRDefault="00F926BE" w:rsidP="005C76E4">
      <w:pPr>
        <w:autoSpaceDE w:val="0"/>
        <w:autoSpaceDN w:val="0"/>
        <w:adjustRightInd w:val="0"/>
        <w:ind w:right="12"/>
        <w:jc w:val="center"/>
        <w:rPr>
          <w:b/>
          <w:sz w:val="84"/>
          <w:szCs w:val="84"/>
          <w:u w:val="single"/>
        </w:rPr>
      </w:pPr>
      <w:r w:rsidRPr="00D47C37">
        <w:rPr>
          <w:b/>
          <w:sz w:val="84"/>
          <w:szCs w:val="84"/>
          <w:u w:val="single"/>
        </w:rPr>
        <w:t>ANNEXE</w:t>
      </w:r>
      <w:r w:rsidR="0086411D" w:rsidRPr="00D47C37">
        <w:rPr>
          <w:b/>
          <w:sz w:val="84"/>
          <w:szCs w:val="84"/>
          <w:u w:val="single"/>
        </w:rPr>
        <w:t>S</w:t>
      </w:r>
    </w:p>
    <w:p w:rsidR="00F926BE" w:rsidRPr="00A05698" w:rsidRDefault="00F926BE" w:rsidP="00A76F4A">
      <w:pPr>
        <w:autoSpaceDE w:val="0"/>
        <w:autoSpaceDN w:val="0"/>
        <w:adjustRightInd w:val="0"/>
        <w:ind w:left="709" w:right="12"/>
        <w:jc w:val="both"/>
      </w:pPr>
    </w:p>
    <w:p w:rsidR="00F926BE" w:rsidRPr="00A05698" w:rsidRDefault="00F926BE" w:rsidP="00A76F4A">
      <w:pPr>
        <w:autoSpaceDE w:val="0"/>
        <w:autoSpaceDN w:val="0"/>
        <w:adjustRightInd w:val="0"/>
        <w:ind w:left="709" w:right="12"/>
        <w:jc w:val="both"/>
      </w:pPr>
    </w:p>
    <w:p w:rsidR="007914A7" w:rsidRDefault="007914A7" w:rsidP="00A76F4A">
      <w:pPr>
        <w:ind w:right="12"/>
      </w:pPr>
      <w:bookmarkStart w:id="470" w:name="_Toc20690247"/>
      <w:bookmarkStart w:id="471" w:name="_Toc34007113"/>
      <w:bookmarkStart w:id="472" w:name="_Toc50135971"/>
    </w:p>
    <w:p w:rsidR="00BE544C" w:rsidRDefault="00BE544C" w:rsidP="00A76F4A">
      <w:pPr>
        <w:ind w:right="12"/>
      </w:pPr>
    </w:p>
    <w:p w:rsidR="00BE544C" w:rsidRDefault="00BE544C" w:rsidP="00A76F4A">
      <w:pPr>
        <w:ind w:right="12"/>
      </w:pPr>
    </w:p>
    <w:p w:rsidR="00BE544C" w:rsidRDefault="00BE544C" w:rsidP="00A76F4A">
      <w:pPr>
        <w:ind w:right="12"/>
      </w:pPr>
    </w:p>
    <w:p w:rsidR="00BE544C" w:rsidRDefault="00BE544C" w:rsidP="00A76F4A">
      <w:pPr>
        <w:ind w:right="12"/>
      </w:pPr>
    </w:p>
    <w:p w:rsidR="00BE544C" w:rsidRDefault="00BE544C" w:rsidP="00A76F4A">
      <w:pPr>
        <w:ind w:right="12"/>
      </w:pPr>
    </w:p>
    <w:p w:rsidR="00BE544C" w:rsidRDefault="00BE544C" w:rsidP="00A76F4A">
      <w:pPr>
        <w:ind w:right="12"/>
      </w:pPr>
    </w:p>
    <w:p w:rsidR="00BE544C" w:rsidRDefault="00BE544C" w:rsidP="00A76F4A">
      <w:pPr>
        <w:ind w:right="12"/>
      </w:pPr>
    </w:p>
    <w:p w:rsidR="00BE544C" w:rsidRDefault="00BE544C" w:rsidP="00A76F4A">
      <w:pPr>
        <w:ind w:right="12"/>
      </w:pPr>
    </w:p>
    <w:p w:rsidR="00DF5488" w:rsidRDefault="00DF5488" w:rsidP="00A76F4A">
      <w:pPr>
        <w:ind w:right="12"/>
      </w:pPr>
    </w:p>
    <w:p w:rsidR="00DF5488" w:rsidRDefault="00DF5488" w:rsidP="00A76F4A">
      <w:pPr>
        <w:ind w:right="12"/>
      </w:pPr>
    </w:p>
    <w:p w:rsidR="00DF5488" w:rsidRDefault="00DF5488" w:rsidP="00A76F4A">
      <w:pPr>
        <w:ind w:right="12"/>
      </w:pPr>
    </w:p>
    <w:p w:rsidR="00DF5488" w:rsidRDefault="00DF5488" w:rsidP="00A76F4A">
      <w:pPr>
        <w:ind w:right="12"/>
      </w:pPr>
    </w:p>
    <w:p w:rsidR="00DF5488" w:rsidRDefault="00DF5488" w:rsidP="00A76F4A">
      <w:pPr>
        <w:ind w:right="12"/>
      </w:pPr>
    </w:p>
    <w:p w:rsidR="00DF5488" w:rsidRDefault="00DF5488" w:rsidP="00A76F4A">
      <w:pPr>
        <w:ind w:right="12"/>
      </w:pPr>
    </w:p>
    <w:p w:rsidR="00DF5488" w:rsidRDefault="00DF5488" w:rsidP="00A76F4A">
      <w:pPr>
        <w:ind w:right="12"/>
      </w:pPr>
    </w:p>
    <w:p w:rsidR="00DF5488" w:rsidRDefault="00DF5488" w:rsidP="00A76F4A">
      <w:pPr>
        <w:ind w:right="12"/>
      </w:pPr>
    </w:p>
    <w:p w:rsidR="00DF5488" w:rsidRDefault="00DF5488" w:rsidP="00A76F4A">
      <w:pPr>
        <w:ind w:right="12"/>
      </w:pPr>
    </w:p>
    <w:p w:rsidR="00BE544C" w:rsidRDefault="00BE544C" w:rsidP="00A76F4A">
      <w:pPr>
        <w:ind w:right="12"/>
      </w:pPr>
    </w:p>
    <w:p w:rsidR="006E7B48" w:rsidRDefault="006E7B48" w:rsidP="00A76F4A">
      <w:pPr>
        <w:ind w:right="12"/>
      </w:pPr>
    </w:p>
    <w:p w:rsidR="006E7B48" w:rsidRDefault="006E7B48" w:rsidP="00A76F4A">
      <w:pPr>
        <w:ind w:right="12"/>
      </w:pPr>
    </w:p>
    <w:bookmarkEnd w:id="470"/>
    <w:bookmarkEnd w:id="471"/>
    <w:bookmarkEnd w:id="472"/>
    <w:p w:rsidR="006C279E" w:rsidRPr="00A05698" w:rsidRDefault="006C279E" w:rsidP="00A76F4A">
      <w:pPr>
        <w:pStyle w:val="PargrafodaLista"/>
        <w:ind w:right="12"/>
        <w:jc w:val="both"/>
        <w:rPr>
          <w:rFonts w:ascii="Times New Roman" w:hAnsi="Times New Roman"/>
          <w:i/>
          <w:color w:val="000000"/>
        </w:rPr>
      </w:pPr>
    </w:p>
    <w:p w:rsidR="00175139" w:rsidRPr="00A05698" w:rsidRDefault="00175139" w:rsidP="00A76F4A">
      <w:pPr>
        <w:pStyle w:val="PargrafodaLista"/>
        <w:ind w:right="12"/>
        <w:jc w:val="both"/>
        <w:rPr>
          <w:rFonts w:ascii="Times New Roman" w:hAnsi="Times New Roman"/>
          <w:i/>
          <w:color w:val="000000"/>
        </w:rPr>
      </w:pPr>
    </w:p>
    <w:p w:rsidR="003D1623" w:rsidRPr="00A05698" w:rsidRDefault="003D1623" w:rsidP="00A76F4A">
      <w:pPr>
        <w:pStyle w:val="PargrafodaLista"/>
        <w:ind w:right="12"/>
        <w:jc w:val="both"/>
        <w:rPr>
          <w:rFonts w:ascii="Times New Roman" w:hAnsi="Times New Roman"/>
          <w:i/>
          <w:color w:val="000000"/>
        </w:rPr>
      </w:pPr>
    </w:p>
    <w:p w:rsidR="003D1623" w:rsidRPr="00A05698" w:rsidRDefault="003D1623" w:rsidP="00A76F4A">
      <w:pPr>
        <w:pStyle w:val="PargrafodaLista"/>
        <w:ind w:right="12"/>
        <w:jc w:val="both"/>
        <w:rPr>
          <w:rFonts w:ascii="Times New Roman" w:hAnsi="Times New Roman"/>
          <w:i/>
          <w:color w:val="000000"/>
        </w:rPr>
      </w:pPr>
    </w:p>
    <w:p w:rsidR="00514E1E" w:rsidRDefault="00514E1E" w:rsidP="00A76F4A">
      <w:pPr>
        <w:spacing w:after="160" w:line="259" w:lineRule="auto"/>
        <w:ind w:right="12"/>
        <w:rPr>
          <w:b/>
          <w:bCs/>
          <w:kern w:val="32"/>
        </w:rPr>
      </w:pPr>
      <w:bookmarkStart w:id="473" w:name="_Toc55465409"/>
      <w:r>
        <w:br w:type="page"/>
      </w:r>
    </w:p>
    <w:p w:rsidR="003D1623" w:rsidRPr="00A05698" w:rsidRDefault="003D1623" w:rsidP="00A76F4A">
      <w:pPr>
        <w:pStyle w:val="Cabealho1"/>
        <w:numPr>
          <w:ilvl w:val="0"/>
          <w:numId w:val="0"/>
        </w:numPr>
        <w:pBdr>
          <w:bottom w:val="thickThinSmallGap" w:sz="24" w:space="1" w:color="auto"/>
        </w:pBdr>
        <w:spacing w:after="120"/>
        <w:ind w:left="-284" w:right="12"/>
        <w:rPr>
          <w:rFonts w:ascii="Times New Roman" w:hAnsi="Times New Roman"/>
          <w:sz w:val="28"/>
          <w:szCs w:val="28"/>
        </w:rPr>
      </w:pPr>
      <w:bookmarkStart w:id="474" w:name="_Toc75432348"/>
      <w:r w:rsidRPr="00341D45">
        <w:rPr>
          <w:rFonts w:ascii="Times New Roman" w:hAnsi="Times New Roman"/>
          <w:sz w:val="24"/>
          <w:szCs w:val="24"/>
        </w:rPr>
        <w:lastRenderedPageBreak/>
        <w:t xml:space="preserve">ANNEXE </w:t>
      </w:r>
      <w:r w:rsidRPr="00341D45">
        <w:rPr>
          <w:rFonts w:ascii="Times New Roman" w:hAnsi="Times New Roman"/>
          <w:sz w:val="24"/>
          <w:szCs w:val="24"/>
        </w:rPr>
        <w:fldChar w:fldCharType="begin"/>
      </w:r>
      <w:r w:rsidRPr="00341D45">
        <w:rPr>
          <w:rFonts w:ascii="Times New Roman" w:hAnsi="Times New Roman"/>
          <w:sz w:val="24"/>
          <w:szCs w:val="24"/>
        </w:rPr>
        <w:instrText xml:space="preserve"> </w:instrText>
      </w:r>
      <w:r w:rsidR="006C5620" w:rsidRPr="00341D45">
        <w:rPr>
          <w:rFonts w:ascii="Times New Roman" w:hAnsi="Times New Roman"/>
          <w:sz w:val="24"/>
          <w:szCs w:val="24"/>
        </w:rPr>
        <w:instrText>SEQ</w:instrText>
      </w:r>
      <w:r w:rsidRPr="00341D45">
        <w:rPr>
          <w:rFonts w:ascii="Times New Roman" w:hAnsi="Times New Roman"/>
          <w:sz w:val="24"/>
          <w:szCs w:val="24"/>
        </w:rPr>
        <w:instrText xml:space="preserve"> ANNEXE \* ARABIC </w:instrText>
      </w:r>
      <w:r w:rsidRPr="00341D45">
        <w:rPr>
          <w:rFonts w:ascii="Times New Roman" w:hAnsi="Times New Roman"/>
          <w:sz w:val="24"/>
          <w:szCs w:val="24"/>
        </w:rPr>
        <w:fldChar w:fldCharType="separate"/>
      </w:r>
      <w:r w:rsidR="00D51AB3" w:rsidRPr="00341D45">
        <w:rPr>
          <w:rFonts w:ascii="Times New Roman" w:hAnsi="Times New Roman"/>
          <w:noProof/>
          <w:sz w:val="24"/>
          <w:szCs w:val="24"/>
        </w:rPr>
        <w:t>1</w:t>
      </w:r>
      <w:r w:rsidRPr="00341D45">
        <w:rPr>
          <w:rFonts w:ascii="Times New Roman" w:hAnsi="Times New Roman"/>
          <w:sz w:val="24"/>
          <w:szCs w:val="24"/>
        </w:rPr>
        <w:fldChar w:fldCharType="end"/>
      </w:r>
      <w:r w:rsidRPr="00A05698">
        <w:rPr>
          <w:rFonts w:ascii="Times New Roman" w:hAnsi="Times New Roman"/>
          <w:sz w:val="28"/>
          <w:szCs w:val="28"/>
        </w:rPr>
        <w:t xml:space="preserve">. </w:t>
      </w:r>
      <w:r w:rsidRPr="00341D45">
        <w:rPr>
          <w:rFonts w:ascii="Times New Roman" w:hAnsi="Times New Roman"/>
          <w:sz w:val="24"/>
          <w:szCs w:val="24"/>
        </w:rPr>
        <w:t>CHECK-LIST DE CONTROLE ENVIRONNEMENTAL ET</w:t>
      </w:r>
      <w:r w:rsidR="00A94B61" w:rsidRPr="00341D45">
        <w:rPr>
          <w:rFonts w:ascii="Times New Roman" w:hAnsi="Times New Roman"/>
          <w:sz w:val="24"/>
          <w:szCs w:val="24"/>
        </w:rPr>
        <w:t xml:space="preserve"> </w:t>
      </w:r>
      <w:r w:rsidRPr="00341D45">
        <w:rPr>
          <w:rFonts w:ascii="Times New Roman" w:hAnsi="Times New Roman"/>
          <w:sz w:val="24"/>
          <w:szCs w:val="24"/>
        </w:rPr>
        <w:t>SOCIAL</w:t>
      </w:r>
      <w:bookmarkEnd w:id="473"/>
      <w:bookmarkEnd w:id="474"/>
    </w:p>
    <w:p w:rsidR="006922F0" w:rsidRPr="00B96D7B" w:rsidRDefault="006922F0" w:rsidP="00A76F4A">
      <w:pPr>
        <w:autoSpaceDE w:val="0"/>
        <w:autoSpaceDN w:val="0"/>
        <w:adjustRightInd w:val="0"/>
        <w:ind w:right="12"/>
        <w:jc w:val="both"/>
      </w:pPr>
      <w:r>
        <w:t xml:space="preserve">La check-list de </w:t>
      </w:r>
      <w:r w:rsidR="00036229">
        <w:t>contrôle</w:t>
      </w:r>
      <w:r w:rsidRPr="004C7DBA">
        <w:t xml:space="preserve"> permettra de définir les niveaux de risques et d’impacts environnementaux et </w:t>
      </w:r>
      <w:r w:rsidRPr="006922F0">
        <w:t xml:space="preserve">sociaux de chaque sous-projet. Pour être en conformité avec les exigences du Cadre Environnemental et Social de la Banque mondiale précisément avec la norme environnementale et sociale N°1. En effet, cette fiche permet de mesurer la nécessite d’effectuer ou non une évaluation environnementale du projet (sans préciser la quelle). </w:t>
      </w:r>
    </w:p>
    <w:p w:rsidR="006922F0" w:rsidRPr="00476B03" w:rsidRDefault="006922F0" w:rsidP="00A76F4A">
      <w:pPr>
        <w:ind w:left="-284" w:right="12"/>
        <w:jc w:val="both"/>
        <w:rPr>
          <w:highlight w:val="yellow"/>
        </w:rPr>
      </w:pPr>
    </w:p>
    <w:p w:rsidR="006922F0" w:rsidRPr="006922F0" w:rsidRDefault="0045606D" w:rsidP="00A76F4A">
      <w:pPr>
        <w:ind w:right="12"/>
      </w:pPr>
      <w:r>
        <w:t>Nom du sous-</w:t>
      </w:r>
      <w:r w:rsidR="006922F0" w:rsidRPr="006922F0">
        <w:t xml:space="preserve"> projet :………………………………………………………………….. </w:t>
      </w:r>
    </w:p>
    <w:p w:rsidR="006922F0" w:rsidRPr="006922F0" w:rsidRDefault="006922F0" w:rsidP="00A76F4A">
      <w:pPr>
        <w:ind w:right="12"/>
      </w:pPr>
    </w:p>
    <w:p w:rsidR="006922F0" w:rsidRDefault="0045606D" w:rsidP="00A76F4A">
      <w:pPr>
        <w:ind w:right="12"/>
      </w:pPr>
      <w:r w:rsidRPr="006922F0">
        <w:t>Région:…………………………………/Département</w:t>
      </w:r>
      <w:r>
        <w:t> </w:t>
      </w:r>
      <w:r w:rsidRPr="006922F0">
        <w:t>:…………….…………….……………</w:t>
      </w:r>
    </w:p>
    <w:p w:rsidR="0045606D" w:rsidRDefault="0045606D" w:rsidP="00A76F4A">
      <w:pPr>
        <w:ind w:right="12"/>
      </w:pPr>
    </w:p>
    <w:p w:rsidR="0045606D" w:rsidRDefault="0045606D" w:rsidP="00A76F4A">
      <w:pPr>
        <w:ind w:right="12"/>
      </w:pPr>
      <w:r w:rsidRPr="0045606D">
        <w:t>Type d'activité :</w:t>
      </w:r>
      <w:r w:rsidRPr="006922F0">
        <w:t>…………….…………….……………</w:t>
      </w:r>
    </w:p>
    <w:p w:rsidR="00A76740" w:rsidRPr="006922F0" w:rsidRDefault="00A76740" w:rsidP="00A76F4A">
      <w:pPr>
        <w:ind w:right="12"/>
      </w:pPr>
    </w:p>
    <w:p w:rsidR="006922F0" w:rsidRPr="006922F0" w:rsidRDefault="006922F0" w:rsidP="00A76F4A">
      <w:pPr>
        <w:ind w:right="12"/>
      </w:pPr>
      <w:r w:rsidRPr="006922F0">
        <w:t xml:space="preserve">Commune :……………………………….….……/ </w:t>
      </w:r>
    </w:p>
    <w:p w:rsidR="006922F0" w:rsidRDefault="006922F0" w:rsidP="00A76F4A">
      <w:pPr>
        <w:ind w:left="-864" w:right="12"/>
        <w:rPr>
          <w:rFonts w:eastAsia="Calibri"/>
        </w:rPr>
      </w:pPr>
    </w:p>
    <w:p w:rsidR="003D1623" w:rsidRPr="00341D45" w:rsidRDefault="001E3FE3" w:rsidP="00A76F4A">
      <w:pPr>
        <w:autoSpaceDE w:val="0"/>
        <w:autoSpaceDN w:val="0"/>
        <w:adjustRightInd w:val="0"/>
        <w:ind w:right="12"/>
        <w:jc w:val="both"/>
      </w:pPr>
      <w:r w:rsidRPr="00B96D7B">
        <w:t>Pour chaque microprojet proposé, remplir la section correspondante de la liste de contrôle ;</w:t>
      </w:r>
    </w:p>
    <w:tbl>
      <w:tblPr>
        <w:tblW w:w="10065"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5"/>
        <w:gridCol w:w="708"/>
        <w:gridCol w:w="709"/>
        <w:gridCol w:w="1843"/>
      </w:tblGrid>
      <w:tr w:rsidR="006162B1" w:rsidRPr="00FF53FE" w:rsidTr="006162B1">
        <w:tc>
          <w:tcPr>
            <w:tcW w:w="6805" w:type="dxa"/>
            <w:shd w:val="clear" w:color="auto" w:fill="92D050"/>
            <w:vAlign w:val="center"/>
          </w:tcPr>
          <w:p w:rsidR="00A70C1E" w:rsidRPr="006922F0" w:rsidRDefault="00A70C1E" w:rsidP="00A76F4A">
            <w:pPr>
              <w:autoSpaceDE w:val="0"/>
              <w:autoSpaceDN w:val="0"/>
              <w:adjustRightInd w:val="0"/>
              <w:ind w:right="12"/>
              <w:jc w:val="both"/>
              <w:rPr>
                <w:rFonts w:eastAsia="Calibri"/>
                <w:b/>
                <w:bCs/>
                <w:sz w:val="20"/>
                <w:szCs w:val="20"/>
              </w:rPr>
            </w:pPr>
            <w:r w:rsidRPr="006922F0">
              <w:rPr>
                <w:rFonts w:eastAsia="Calibri"/>
                <w:b/>
                <w:bCs/>
                <w:sz w:val="20"/>
                <w:szCs w:val="20"/>
              </w:rPr>
              <w:t>Questions nécessitant une réponse</w:t>
            </w:r>
          </w:p>
        </w:tc>
        <w:tc>
          <w:tcPr>
            <w:tcW w:w="708" w:type="dxa"/>
            <w:shd w:val="clear" w:color="auto" w:fill="92D050"/>
            <w:vAlign w:val="center"/>
          </w:tcPr>
          <w:p w:rsidR="00A70C1E" w:rsidRPr="006922F0" w:rsidRDefault="00A70C1E" w:rsidP="00A76F4A">
            <w:pPr>
              <w:autoSpaceDE w:val="0"/>
              <w:autoSpaceDN w:val="0"/>
              <w:adjustRightInd w:val="0"/>
              <w:ind w:right="12"/>
              <w:jc w:val="center"/>
              <w:rPr>
                <w:rFonts w:eastAsia="Calibri"/>
                <w:b/>
                <w:bCs/>
                <w:sz w:val="20"/>
                <w:szCs w:val="20"/>
              </w:rPr>
            </w:pPr>
            <w:r w:rsidRPr="006922F0">
              <w:rPr>
                <w:rFonts w:eastAsia="Calibri"/>
                <w:b/>
                <w:bCs/>
                <w:sz w:val="20"/>
                <w:szCs w:val="20"/>
              </w:rPr>
              <w:t>Oui</w:t>
            </w:r>
          </w:p>
        </w:tc>
        <w:tc>
          <w:tcPr>
            <w:tcW w:w="709" w:type="dxa"/>
            <w:shd w:val="clear" w:color="auto" w:fill="92D050"/>
            <w:vAlign w:val="center"/>
          </w:tcPr>
          <w:p w:rsidR="00A70C1E" w:rsidRPr="006922F0" w:rsidRDefault="00A70C1E" w:rsidP="00A76F4A">
            <w:pPr>
              <w:autoSpaceDE w:val="0"/>
              <w:autoSpaceDN w:val="0"/>
              <w:adjustRightInd w:val="0"/>
              <w:ind w:right="12"/>
              <w:jc w:val="center"/>
              <w:rPr>
                <w:rFonts w:eastAsia="Calibri"/>
                <w:b/>
                <w:bCs/>
                <w:sz w:val="20"/>
                <w:szCs w:val="20"/>
              </w:rPr>
            </w:pPr>
            <w:r w:rsidRPr="006922F0">
              <w:rPr>
                <w:rFonts w:eastAsia="Calibri"/>
                <w:b/>
                <w:bCs/>
                <w:sz w:val="20"/>
                <w:szCs w:val="20"/>
              </w:rPr>
              <w:t>Non</w:t>
            </w:r>
          </w:p>
        </w:tc>
        <w:tc>
          <w:tcPr>
            <w:tcW w:w="1843" w:type="dxa"/>
            <w:shd w:val="clear" w:color="auto" w:fill="92D050"/>
            <w:vAlign w:val="center"/>
          </w:tcPr>
          <w:p w:rsidR="00A70C1E" w:rsidRPr="006922F0" w:rsidRDefault="00A70C1E" w:rsidP="00A76F4A">
            <w:pPr>
              <w:autoSpaceDE w:val="0"/>
              <w:autoSpaceDN w:val="0"/>
              <w:adjustRightInd w:val="0"/>
              <w:ind w:right="12"/>
              <w:jc w:val="center"/>
              <w:rPr>
                <w:rFonts w:eastAsia="Calibri"/>
                <w:b/>
                <w:bCs/>
                <w:sz w:val="20"/>
                <w:szCs w:val="20"/>
              </w:rPr>
            </w:pPr>
            <w:r w:rsidRPr="006922F0">
              <w:rPr>
                <w:rFonts w:eastAsia="Calibri"/>
                <w:b/>
                <w:bCs/>
                <w:sz w:val="20"/>
                <w:szCs w:val="20"/>
              </w:rPr>
              <w:t>Si oui,</w:t>
            </w:r>
          </w:p>
          <w:p w:rsidR="00A94B61" w:rsidRPr="006922F0" w:rsidRDefault="00A94B61" w:rsidP="00A76F4A">
            <w:pPr>
              <w:autoSpaceDE w:val="0"/>
              <w:autoSpaceDN w:val="0"/>
              <w:adjustRightInd w:val="0"/>
              <w:ind w:right="12"/>
              <w:jc w:val="center"/>
              <w:rPr>
                <w:rFonts w:eastAsia="Calibri"/>
                <w:b/>
                <w:bCs/>
                <w:sz w:val="20"/>
                <w:szCs w:val="20"/>
              </w:rPr>
            </w:pPr>
            <w:r w:rsidRPr="006922F0">
              <w:rPr>
                <w:rFonts w:eastAsia="Calibri"/>
                <w:sz w:val="20"/>
                <w:szCs w:val="20"/>
              </w:rPr>
              <w:t>s’inspirer des mesures adéquates d’atténuation</w:t>
            </w:r>
          </w:p>
        </w:tc>
      </w:tr>
      <w:tr w:rsidR="00A70C1E" w:rsidRPr="00F46103" w:rsidTr="006162B1">
        <w:trPr>
          <w:trHeight w:val="435"/>
        </w:trPr>
        <w:tc>
          <w:tcPr>
            <w:tcW w:w="10065" w:type="dxa"/>
            <w:gridSpan w:val="4"/>
            <w:tcBorders>
              <w:bottom w:val="single" w:sz="4" w:space="0" w:color="auto"/>
            </w:tcBorders>
            <w:shd w:val="clear" w:color="auto" w:fill="C5E0B3" w:themeFill="accent6" w:themeFillTint="66"/>
            <w:vAlign w:val="center"/>
          </w:tcPr>
          <w:p w:rsidR="00A70C1E" w:rsidRPr="0092424B" w:rsidRDefault="00A70C1E" w:rsidP="00A76F4A">
            <w:pPr>
              <w:autoSpaceDE w:val="0"/>
              <w:autoSpaceDN w:val="0"/>
              <w:adjustRightInd w:val="0"/>
              <w:ind w:right="12"/>
              <w:jc w:val="center"/>
              <w:rPr>
                <w:rFonts w:eastAsia="Calibri"/>
                <w:sz w:val="22"/>
                <w:szCs w:val="22"/>
              </w:rPr>
            </w:pPr>
            <w:r w:rsidRPr="0092424B">
              <w:rPr>
                <w:rFonts w:eastAsia="Calibri"/>
                <w:b/>
                <w:i/>
                <w:iCs/>
                <w:sz w:val="22"/>
                <w:szCs w:val="22"/>
              </w:rPr>
              <w:t>Du point de vue du milieu biophysique (air, sol, eaux, flore, faune</w:t>
            </w:r>
            <w:r>
              <w:rPr>
                <w:rFonts w:eastAsia="Calibri"/>
                <w:b/>
                <w:i/>
                <w:iCs/>
                <w:sz w:val="22"/>
                <w:szCs w:val="22"/>
              </w:rPr>
              <w:t>)</w:t>
            </w:r>
          </w:p>
        </w:tc>
      </w:tr>
      <w:tr w:rsidR="006162B1" w:rsidRPr="00F46103" w:rsidTr="006162B1">
        <w:trPr>
          <w:trHeight w:val="589"/>
        </w:trPr>
        <w:tc>
          <w:tcPr>
            <w:tcW w:w="6805" w:type="dxa"/>
            <w:tcBorders>
              <w:bottom w:val="single" w:sz="4" w:space="0" w:color="auto"/>
            </w:tcBorders>
            <w:shd w:val="clear" w:color="auto" w:fill="auto"/>
            <w:vAlign w:val="center"/>
          </w:tcPr>
          <w:p w:rsidR="00A70C1E" w:rsidRPr="001E444C" w:rsidRDefault="00A70C1E" w:rsidP="00A76F4A">
            <w:pPr>
              <w:ind w:right="12"/>
              <w:jc w:val="both"/>
              <w:rPr>
                <w:sz w:val="20"/>
                <w:szCs w:val="20"/>
                <w:lang w:eastAsia="en-US"/>
              </w:rPr>
            </w:pPr>
            <w:r w:rsidRPr="001E444C">
              <w:rPr>
                <w:rFonts w:eastAsia="Calibri"/>
                <w:sz w:val="20"/>
                <w:szCs w:val="20"/>
              </w:rPr>
              <w:t>-Y a-t-il la présence de faunes et de flores sur le site et sont-ils menacés ?</w:t>
            </w:r>
          </w:p>
        </w:tc>
        <w:tc>
          <w:tcPr>
            <w:tcW w:w="708" w:type="dxa"/>
            <w:tcBorders>
              <w:bottom w:val="single" w:sz="4" w:space="0" w:color="auto"/>
            </w:tcBorders>
            <w:shd w:val="clear" w:color="auto" w:fill="auto"/>
            <w:vAlign w:val="center"/>
          </w:tcPr>
          <w:p w:rsidR="00A70C1E" w:rsidRPr="001E444C"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1E444C"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vAlign w:val="center"/>
          </w:tcPr>
          <w:p w:rsidR="00A70C1E" w:rsidRPr="0092424B"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77"/>
        </w:trPr>
        <w:tc>
          <w:tcPr>
            <w:tcW w:w="6805" w:type="dxa"/>
            <w:tcBorders>
              <w:bottom w:val="single" w:sz="4" w:space="0" w:color="auto"/>
            </w:tcBorders>
            <w:shd w:val="clear" w:color="auto" w:fill="auto"/>
            <w:vAlign w:val="center"/>
          </w:tcPr>
          <w:p w:rsidR="00A70C1E" w:rsidRPr="00A70C1E" w:rsidRDefault="00A70C1E" w:rsidP="00A76F4A">
            <w:pPr>
              <w:ind w:right="12"/>
              <w:jc w:val="both"/>
              <w:rPr>
                <w:rFonts w:eastAsia="Calibri"/>
                <w:sz w:val="20"/>
                <w:szCs w:val="20"/>
              </w:rPr>
            </w:pPr>
            <w:r w:rsidRPr="00A70C1E">
              <w:rPr>
                <w:rFonts w:eastAsia="Calibri"/>
                <w:sz w:val="20"/>
                <w:szCs w:val="20"/>
              </w:rPr>
              <w:t>- Ont-ils une importance particulière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Cs/>
                <w:sz w:val="20"/>
                <w:szCs w:val="20"/>
              </w:rPr>
            </w:pPr>
          </w:p>
        </w:tc>
      </w:tr>
      <w:tr w:rsidR="006162B1" w:rsidRPr="00F46103" w:rsidTr="006162B1">
        <w:trPr>
          <w:trHeight w:val="77"/>
        </w:trPr>
        <w:tc>
          <w:tcPr>
            <w:tcW w:w="6805" w:type="dxa"/>
            <w:tcBorders>
              <w:bottom w:val="single" w:sz="4" w:space="0" w:color="auto"/>
            </w:tcBorders>
            <w:shd w:val="clear" w:color="auto" w:fill="auto"/>
            <w:vAlign w:val="center"/>
          </w:tcPr>
          <w:p w:rsidR="00A70C1E" w:rsidRPr="00A70C1E" w:rsidRDefault="00A70C1E" w:rsidP="00A76F4A">
            <w:pPr>
              <w:ind w:right="12"/>
              <w:jc w:val="both"/>
              <w:rPr>
                <w:rFonts w:eastAsia="Calibri"/>
                <w:sz w:val="20"/>
                <w:szCs w:val="20"/>
              </w:rPr>
            </w:pPr>
            <w:r w:rsidRPr="00A70C1E">
              <w:rPr>
                <w:rFonts w:eastAsia="Calibri"/>
                <w:sz w:val="20"/>
                <w:szCs w:val="20"/>
              </w:rPr>
              <w:t>- Existe-t-il des plans d’eau à proximité ou autres sites vulnérables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86"/>
        </w:trPr>
        <w:tc>
          <w:tcPr>
            <w:tcW w:w="6805" w:type="dxa"/>
            <w:tcBorders>
              <w:bottom w:val="single" w:sz="4" w:space="0" w:color="auto"/>
            </w:tcBorders>
            <w:shd w:val="clear" w:color="auto" w:fill="auto"/>
            <w:vAlign w:val="center"/>
          </w:tcPr>
          <w:p w:rsidR="00A70C1E" w:rsidRPr="00A70C1E" w:rsidRDefault="00A70C1E" w:rsidP="00A76F4A">
            <w:pPr>
              <w:ind w:right="12"/>
              <w:jc w:val="both"/>
              <w:rPr>
                <w:rFonts w:eastAsia="Calibri"/>
                <w:sz w:val="20"/>
                <w:szCs w:val="20"/>
              </w:rPr>
            </w:pPr>
            <w:r w:rsidRPr="00A70C1E">
              <w:rPr>
                <w:rFonts w:eastAsia="Calibri"/>
                <w:sz w:val="20"/>
                <w:szCs w:val="20"/>
              </w:rPr>
              <w:t>- Est-on en présence d’un site à risques : risques d’inondation…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435"/>
        </w:trPr>
        <w:tc>
          <w:tcPr>
            <w:tcW w:w="6805" w:type="dxa"/>
            <w:tcBorders>
              <w:bottom w:val="single" w:sz="4" w:space="0" w:color="auto"/>
            </w:tcBorders>
            <w:shd w:val="clear" w:color="auto" w:fill="auto"/>
            <w:vAlign w:val="center"/>
          </w:tcPr>
          <w:p w:rsidR="00A70C1E" w:rsidRPr="00A70C1E" w:rsidRDefault="00A70C1E" w:rsidP="00A76F4A">
            <w:pPr>
              <w:ind w:right="12"/>
              <w:jc w:val="both"/>
              <w:rPr>
                <w:rFonts w:eastAsia="Calibri"/>
                <w:sz w:val="20"/>
                <w:szCs w:val="20"/>
              </w:rPr>
            </w:pPr>
            <w:r w:rsidRPr="00A70C1E">
              <w:rPr>
                <w:sz w:val="20"/>
                <w:szCs w:val="20"/>
                <w:lang w:eastAsia="en-US"/>
              </w:rPr>
              <w:t>- Y a-t-il des zones de possible instabilité géologique ou du sol (prédisposition à l’érosion, aux glissements de terrains, à l’affaissement)?</w:t>
            </w:r>
          </w:p>
          <w:p w:rsidR="00A70C1E" w:rsidRPr="00A70C1E" w:rsidRDefault="00A70C1E" w:rsidP="00A76F4A">
            <w:pPr>
              <w:ind w:right="12"/>
              <w:jc w:val="both"/>
              <w:rPr>
                <w:bCs/>
                <w:sz w:val="20"/>
                <w:szCs w:val="20"/>
                <w:lang w:eastAsia="en-US"/>
              </w:rPr>
            </w:pPr>
            <w:r w:rsidRPr="00A70C1E">
              <w:rPr>
                <w:sz w:val="20"/>
                <w:szCs w:val="20"/>
                <w:lang w:eastAsia="en-US"/>
              </w:rPr>
              <w:t>- Y a-t-il possibilité que les travaux affectent négativement l’aspect esthétique du paysage local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435"/>
        </w:trPr>
        <w:tc>
          <w:tcPr>
            <w:tcW w:w="6805" w:type="dxa"/>
            <w:tcBorders>
              <w:bottom w:val="single" w:sz="4" w:space="0" w:color="auto"/>
            </w:tcBorders>
            <w:shd w:val="clear" w:color="auto" w:fill="auto"/>
            <w:vAlign w:val="center"/>
          </w:tcPr>
          <w:p w:rsidR="00A70C1E" w:rsidRPr="00A70C1E" w:rsidRDefault="00A70C1E" w:rsidP="00A76F4A">
            <w:pPr>
              <w:ind w:right="12"/>
              <w:jc w:val="both"/>
              <w:rPr>
                <w:rFonts w:eastAsia="Calibri"/>
                <w:sz w:val="20"/>
                <w:szCs w:val="20"/>
              </w:rPr>
            </w:pPr>
            <w:r w:rsidRPr="00A70C1E">
              <w:rPr>
                <w:rFonts w:eastAsia="Calibri"/>
                <w:sz w:val="20"/>
                <w:szCs w:val="20"/>
              </w:rPr>
              <w:t>- Y aurait-il des travaux de démolition, d’excavation, de nivellement, de déboisement, de dénudation du sol, de remplissage, de remblayage, d’assèchement des terres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435"/>
        </w:trPr>
        <w:tc>
          <w:tcPr>
            <w:tcW w:w="6805"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both"/>
              <w:rPr>
                <w:rFonts w:eastAsia="Calibri"/>
                <w:sz w:val="20"/>
                <w:szCs w:val="20"/>
              </w:rPr>
            </w:pPr>
            <w:r w:rsidRPr="00A70C1E">
              <w:rPr>
                <w:sz w:val="20"/>
                <w:szCs w:val="20"/>
                <w:lang w:eastAsia="en-US"/>
              </w:rPr>
              <w:t>-La zone se trouvant autour du site du projet se trouve-t-elle à l’intérieur ou est-elle adjacente à des aires protégées quelconques tracées par le gouvernement (parc national, réserve nationale, etc.)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435"/>
        </w:trPr>
        <w:tc>
          <w:tcPr>
            <w:tcW w:w="6805"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both"/>
              <w:rPr>
                <w:sz w:val="20"/>
                <w:szCs w:val="20"/>
                <w:lang w:eastAsia="en-US"/>
              </w:rPr>
            </w:pPr>
            <w:r w:rsidRPr="00A70C1E">
              <w:rPr>
                <w:sz w:val="20"/>
                <w:szCs w:val="20"/>
                <w:lang w:eastAsia="en-US"/>
              </w:rPr>
              <w:t>-Le projet dispose-t-il d’un plan pour leur ramassage et leur évacuation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435"/>
        </w:trPr>
        <w:tc>
          <w:tcPr>
            <w:tcW w:w="6805"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both"/>
              <w:rPr>
                <w:rFonts w:eastAsia="Calibri"/>
                <w:sz w:val="20"/>
                <w:szCs w:val="20"/>
              </w:rPr>
            </w:pPr>
            <w:r w:rsidRPr="00A70C1E">
              <w:rPr>
                <w:rFonts w:eastAsia="Calibri"/>
                <w:sz w:val="20"/>
                <w:szCs w:val="20"/>
              </w:rPr>
              <w:t>-Les rejets générés pendant la mise en œuvre et l’exploitation seront-ils nettoyés et éliminés Écologiquement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435"/>
        </w:trPr>
        <w:tc>
          <w:tcPr>
            <w:tcW w:w="6805" w:type="dxa"/>
            <w:tcBorders>
              <w:bottom w:val="single" w:sz="4" w:space="0" w:color="auto"/>
            </w:tcBorders>
            <w:shd w:val="clear" w:color="auto" w:fill="auto"/>
            <w:vAlign w:val="center"/>
          </w:tcPr>
          <w:p w:rsidR="00A70C1E" w:rsidRPr="00A70C1E" w:rsidRDefault="00A70C1E" w:rsidP="00A76F4A">
            <w:pPr>
              <w:ind w:right="12"/>
              <w:jc w:val="both"/>
              <w:rPr>
                <w:rFonts w:eastAsia="Calibri"/>
                <w:sz w:val="20"/>
                <w:szCs w:val="20"/>
              </w:rPr>
            </w:pPr>
            <w:r w:rsidRPr="00A70C1E">
              <w:rPr>
                <w:rFonts w:eastAsia="Calibri"/>
                <w:sz w:val="20"/>
                <w:szCs w:val="20"/>
              </w:rPr>
              <w:t>- Selon l’utilisation de l’ouvrage, ses technologies et ses procédés, utilisera-t-on ou générera-t-on des substances polluantes (déchets liquides, solides ou gazeux)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435"/>
        </w:trPr>
        <w:tc>
          <w:tcPr>
            <w:tcW w:w="6805" w:type="dxa"/>
            <w:tcBorders>
              <w:bottom w:val="single" w:sz="4" w:space="0" w:color="auto"/>
            </w:tcBorders>
            <w:shd w:val="clear" w:color="auto" w:fill="auto"/>
            <w:vAlign w:val="center"/>
          </w:tcPr>
          <w:p w:rsidR="00A70C1E" w:rsidRPr="00A70C1E" w:rsidRDefault="00A70C1E" w:rsidP="00A76F4A">
            <w:pPr>
              <w:ind w:right="12"/>
              <w:jc w:val="both"/>
              <w:rPr>
                <w:rFonts w:eastAsia="Calibri"/>
                <w:sz w:val="20"/>
                <w:szCs w:val="20"/>
              </w:rPr>
            </w:pPr>
            <w:r w:rsidRPr="00A70C1E">
              <w:rPr>
                <w:rFonts w:eastAsia="Calibri"/>
                <w:sz w:val="20"/>
                <w:szCs w:val="20"/>
              </w:rPr>
              <w:t>- Ces substances risquent-elles de s’infiltrer ou d’être rejetées dans les eaux de surface et souterraines, les sols, les habitats et l’air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435"/>
        </w:trPr>
        <w:tc>
          <w:tcPr>
            <w:tcW w:w="6805" w:type="dxa"/>
            <w:tcBorders>
              <w:top w:val="single" w:sz="4" w:space="0" w:color="auto"/>
              <w:bottom w:val="single" w:sz="4" w:space="0" w:color="auto"/>
            </w:tcBorders>
            <w:shd w:val="clear" w:color="auto" w:fill="auto"/>
            <w:vAlign w:val="center"/>
          </w:tcPr>
          <w:p w:rsidR="00A70C1E" w:rsidRPr="00A70C1E" w:rsidRDefault="00A70C1E" w:rsidP="00A76F4A">
            <w:pPr>
              <w:autoSpaceDE w:val="0"/>
              <w:autoSpaceDN w:val="0"/>
              <w:adjustRightInd w:val="0"/>
              <w:ind w:right="12"/>
              <w:jc w:val="both"/>
              <w:rPr>
                <w:rFonts w:eastAsia="Calibri"/>
                <w:sz w:val="20"/>
                <w:szCs w:val="20"/>
              </w:rPr>
            </w:pPr>
            <w:r w:rsidRPr="00A70C1E">
              <w:rPr>
                <w:rFonts w:eastAsia="Calibri"/>
                <w:sz w:val="20"/>
                <w:szCs w:val="20"/>
              </w:rPr>
              <w:t>-Y a-t-il des risques de pollution des eaux souterraines ou superficielles par les activités du projet ?</w:t>
            </w:r>
          </w:p>
        </w:tc>
        <w:tc>
          <w:tcPr>
            <w:tcW w:w="708"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709" w:type="dxa"/>
            <w:tcBorders>
              <w:bottom w:val="single" w:sz="4" w:space="0" w:color="auto"/>
            </w:tcBorders>
            <w:shd w:val="clear" w:color="auto" w:fill="auto"/>
            <w:vAlign w:val="center"/>
          </w:tcPr>
          <w:p w:rsidR="00A70C1E" w:rsidRPr="00A70C1E" w:rsidRDefault="00A70C1E" w:rsidP="00A76F4A">
            <w:pPr>
              <w:autoSpaceDE w:val="0"/>
              <w:autoSpaceDN w:val="0"/>
              <w:adjustRightInd w:val="0"/>
              <w:ind w:right="12"/>
              <w:jc w:val="center"/>
              <w:rPr>
                <w:rFonts w:eastAsia="Calibri"/>
                <w:b/>
                <w:bCs/>
                <w:sz w:val="20"/>
                <w:szCs w:val="20"/>
              </w:rPr>
            </w:pPr>
          </w:p>
        </w:tc>
        <w:tc>
          <w:tcPr>
            <w:tcW w:w="1843" w:type="dxa"/>
            <w:tcBorders>
              <w:bottom w:val="single" w:sz="4" w:space="0" w:color="auto"/>
            </w:tcBorders>
            <w:shd w:val="clear" w:color="auto" w:fill="auto"/>
          </w:tcPr>
          <w:p w:rsidR="00A70C1E" w:rsidRPr="00A70C1E"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204"/>
        </w:trPr>
        <w:tc>
          <w:tcPr>
            <w:tcW w:w="6805" w:type="dxa"/>
            <w:tcBorders>
              <w:top w:val="single" w:sz="4" w:space="0" w:color="auto"/>
            </w:tcBorders>
            <w:shd w:val="clear" w:color="auto" w:fill="auto"/>
            <w:vAlign w:val="center"/>
          </w:tcPr>
          <w:p w:rsidR="00A70C1E" w:rsidRPr="0092424B" w:rsidRDefault="00A70C1E" w:rsidP="00A76F4A">
            <w:pPr>
              <w:autoSpaceDE w:val="0"/>
              <w:autoSpaceDN w:val="0"/>
              <w:adjustRightInd w:val="0"/>
              <w:ind w:right="12"/>
              <w:jc w:val="both"/>
              <w:rPr>
                <w:sz w:val="20"/>
                <w:szCs w:val="20"/>
                <w:lang w:eastAsia="en-US"/>
              </w:rPr>
            </w:pPr>
            <w:r w:rsidRPr="0092424B">
              <w:rPr>
                <w:sz w:val="20"/>
                <w:szCs w:val="20"/>
                <w:lang w:eastAsia="en-US"/>
              </w:rPr>
              <w:t>-Si l’exécution/mise en service du sous projet s’effectuent en dehors d’une aire protégée (ou dans ses environs), est-elle susceptible d’affecter négativement l’écologie de l’aire protégée (exemple :</w:t>
            </w:r>
          </w:p>
          <w:p w:rsidR="00A70C1E" w:rsidRPr="0092424B" w:rsidRDefault="00A70C1E" w:rsidP="00A76F4A">
            <w:pPr>
              <w:autoSpaceDE w:val="0"/>
              <w:autoSpaceDN w:val="0"/>
              <w:adjustRightInd w:val="0"/>
              <w:ind w:right="12"/>
              <w:jc w:val="both"/>
              <w:rPr>
                <w:rFonts w:eastAsia="Calibri"/>
                <w:sz w:val="20"/>
                <w:szCs w:val="20"/>
              </w:rPr>
            </w:pPr>
            <w:r w:rsidRPr="0092424B">
              <w:rPr>
                <w:sz w:val="20"/>
                <w:szCs w:val="20"/>
                <w:lang w:eastAsia="en-US"/>
              </w:rPr>
              <w:t>Interférence les routes de migration de mammifères ou d’oiseaux) ?</w:t>
            </w:r>
          </w:p>
        </w:tc>
        <w:tc>
          <w:tcPr>
            <w:tcW w:w="708" w:type="dxa"/>
            <w:tcBorders>
              <w:top w:val="single" w:sz="4" w:space="0" w:color="auto"/>
            </w:tcBorders>
            <w:shd w:val="clear" w:color="auto" w:fill="auto"/>
            <w:vAlign w:val="center"/>
          </w:tcPr>
          <w:p w:rsidR="00A70C1E" w:rsidRPr="0092424B" w:rsidRDefault="00A70C1E" w:rsidP="00A76F4A">
            <w:pPr>
              <w:autoSpaceDE w:val="0"/>
              <w:autoSpaceDN w:val="0"/>
              <w:adjustRightInd w:val="0"/>
              <w:ind w:right="12"/>
              <w:jc w:val="center"/>
              <w:rPr>
                <w:rFonts w:eastAsia="Calibri"/>
                <w:b/>
                <w:bCs/>
                <w:sz w:val="20"/>
                <w:szCs w:val="20"/>
              </w:rPr>
            </w:pPr>
          </w:p>
        </w:tc>
        <w:tc>
          <w:tcPr>
            <w:tcW w:w="709" w:type="dxa"/>
            <w:tcBorders>
              <w:top w:val="single" w:sz="4" w:space="0" w:color="auto"/>
            </w:tcBorders>
            <w:shd w:val="clear" w:color="auto" w:fill="auto"/>
            <w:vAlign w:val="center"/>
          </w:tcPr>
          <w:p w:rsidR="00A70C1E" w:rsidRPr="0092424B" w:rsidRDefault="00A70C1E" w:rsidP="00A76F4A">
            <w:pPr>
              <w:autoSpaceDE w:val="0"/>
              <w:autoSpaceDN w:val="0"/>
              <w:adjustRightInd w:val="0"/>
              <w:ind w:right="12"/>
              <w:jc w:val="center"/>
              <w:rPr>
                <w:rFonts w:eastAsia="Calibri"/>
                <w:b/>
                <w:bCs/>
                <w:sz w:val="20"/>
                <w:szCs w:val="20"/>
              </w:rPr>
            </w:pPr>
          </w:p>
        </w:tc>
        <w:tc>
          <w:tcPr>
            <w:tcW w:w="1843" w:type="dxa"/>
            <w:tcBorders>
              <w:top w:val="single" w:sz="4" w:space="0" w:color="auto"/>
            </w:tcBorders>
            <w:shd w:val="clear" w:color="auto" w:fill="auto"/>
          </w:tcPr>
          <w:p w:rsidR="00151A2B" w:rsidRPr="00D47C37" w:rsidRDefault="00151A2B" w:rsidP="00A76F4A">
            <w:pPr>
              <w:autoSpaceDE w:val="0"/>
              <w:autoSpaceDN w:val="0"/>
              <w:adjustRightInd w:val="0"/>
              <w:ind w:right="12"/>
              <w:jc w:val="center"/>
              <w:rPr>
                <w:rFonts w:eastAsia="Calibri"/>
                <w:sz w:val="20"/>
                <w:szCs w:val="20"/>
              </w:rPr>
            </w:pPr>
          </w:p>
        </w:tc>
      </w:tr>
      <w:tr w:rsidR="00A70C1E" w:rsidRPr="00F46103" w:rsidTr="006162B1">
        <w:trPr>
          <w:trHeight w:val="269"/>
        </w:trPr>
        <w:tc>
          <w:tcPr>
            <w:tcW w:w="10065" w:type="dxa"/>
            <w:gridSpan w:val="4"/>
            <w:tcBorders>
              <w:bottom w:val="single" w:sz="4" w:space="0" w:color="auto"/>
            </w:tcBorders>
            <w:shd w:val="clear" w:color="auto" w:fill="C5E0B3" w:themeFill="accent6" w:themeFillTint="66"/>
            <w:vAlign w:val="center"/>
          </w:tcPr>
          <w:p w:rsidR="00A70C1E" w:rsidRPr="00D47C37" w:rsidRDefault="00A70C1E" w:rsidP="00A76F4A">
            <w:pPr>
              <w:autoSpaceDE w:val="0"/>
              <w:autoSpaceDN w:val="0"/>
              <w:adjustRightInd w:val="0"/>
              <w:ind w:right="12"/>
              <w:jc w:val="center"/>
              <w:rPr>
                <w:rFonts w:eastAsia="Calibri"/>
                <w:bCs/>
                <w:sz w:val="22"/>
                <w:szCs w:val="22"/>
              </w:rPr>
            </w:pPr>
            <w:r w:rsidRPr="00D47C37">
              <w:rPr>
                <w:rFonts w:eastAsia="Calibri"/>
                <w:b/>
                <w:bCs/>
                <w:i/>
                <w:sz w:val="22"/>
                <w:szCs w:val="22"/>
              </w:rPr>
              <w:t>Du point de vue économique et social</w:t>
            </w:r>
          </w:p>
        </w:tc>
      </w:tr>
      <w:tr w:rsidR="006162B1" w:rsidRPr="00F46103" w:rsidTr="006162B1">
        <w:trPr>
          <w:trHeight w:val="269"/>
        </w:trPr>
        <w:tc>
          <w:tcPr>
            <w:tcW w:w="6805" w:type="dxa"/>
            <w:tcBorders>
              <w:bottom w:val="single" w:sz="4" w:space="0" w:color="auto"/>
            </w:tcBorders>
            <w:vAlign w:val="center"/>
          </w:tcPr>
          <w:p w:rsidR="00A70C1E" w:rsidRPr="00F46103" w:rsidRDefault="00A70C1E" w:rsidP="00A76F4A">
            <w:pPr>
              <w:ind w:right="12"/>
              <w:jc w:val="both"/>
              <w:rPr>
                <w:rFonts w:eastAsia="Calibri"/>
                <w:b/>
                <w:bCs/>
                <w:sz w:val="20"/>
                <w:szCs w:val="20"/>
              </w:rPr>
            </w:pPr>
            <w:r w:rsidRPr="00D47C37">
              <w:rPr>
                <w:rFonts w:eastAsia="Calibri"/>
                <w:sz w:val="20"/>
                <w:szCs w:val="20"/>
              </w:rPr>
              <w:t>-Y a-t-il des activités correspondant au projet où l’on désire réaliser ?</w:t>
            </w:r>
          </w:p>
        </w:tc>
        <w:tc>
          <w:tcPr>
            <w:tcW w:w="708"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D47C37" w:rsidRDefault="00A70C1E" w:rsidP="00A76F4A">
            <w:pPr>
              <w:autoSpaceDE w:val="0"/>
              <w:autoSpaceDN w:val="0"/>
              <w:adjustRightInd w:val="0"/>
              <w:ind w:right="12"/>
              <w:jc w:val="center"/>
              <w:rPr>
                <w:rFonts w:eastAsia="Calibri"/>
                <w:b/>
                <w:bCs/>
                <w:sz w:val="20"/>
                <w:szCs w:val="20"/>
              </w:rPr>
            </w:pPr>
          </w:p>
        </w:tc>
      </w:tr>
      <w:tr w:rsidR="006162B1" w:rsidRPr="00F46103" w:rsidTr="006162B1">
        <w:trPr>
          <w:trHeight w:val="269"/>
        </w:trPr>
        <w:tc>
          <w:tcPr>
            <w:tcW w:w="6805" w:type="dxa"/>
            <w:tcBorders>
              <w:bottom w:val="single" w:sz="4" w:space="0" w:color="auto"/>
            </w:tcBorders>
            <w:vAlign w:val="center"/>
          </w:tcPr>
          <w:p w:rsidR="00A70C1E" w:rsidRPr="00D47C37" w:rsidRDefault="00A70C1E" w:rsidP="00A76F4A">
            <w:pPr>
              <w:ind w:right="12"/>
              <w:jc w:val="both"/>
              <w:rPr>
                <w:rFonts w:eastAsia="Calibri"/>
                <w:sz w:val="20"/>
                <w:szCs w:val="20"/>
              </w:rPr>
            </w:pPr>
            <w:r w:rsidRPr="00D47C37">
              <w:rPr>
                <w:rFonts w:eastAsia="Calibri"/>
                <w:sz w:val="20"/>
                <w:szCs w:val="20"/>
              </w:rPr>
              <w:t>-Y a-t-il des infrastructures présentes au niveau du site ?</w:t>
            </w:r>
          </w:p>
        </w:tc>
        <w:tc>
          <w:tcPr>
            <w:tcW w:w="708"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D47C37" w:rsidRDefault="00A70C1E" w:rsidP="00A76F4A">
            <w:pPr>
              <w:autoSpaceDE w:val="0"/>
              <w:autoSpaceDN w:val="0"/>
              <w:adjustRightInd w:val="0"/>
              <w:ind w:right="12"/>
              <w:jc w:val="center"/>
              <w:rPr>
                <w:rFonts w:eastAsia="Calibri"/>
                <w:sz w:val="20"/>
                <w:szCs w:val="20"/>
              </w:rPr>
            </w:pPr>
          </w:p>
        </w:tc>
      </w:tr>
      <w:tr w:rsidR="006162B1" w:rsidRPr="00F46103" w:rsidTr="006162B1">
        <w:trPr>
          <w:trHeight w:val="269"/>
        </w:trPr>
        <w:tc>
          <w:tcPr>
            <w:tcW w:w="6805" w:type="dxa"/>
            <w:tcBorders>
              <w:bottom w:val="single" w:sz="4" w:space="0" w:color="auto"/>
            </w:tcBorders>
            <w:vAlign w:val="center"/>
          </w:tcPr>
          <w:p w:rsidR="00A70C1E" w:rsidRPr="0092424B" w:rsidRDefault="00A70C1E" w:rsidP="00A76F4A">
            <w:pPr>
              <w:ind w:right="12"/>
              <w:jc w:val="both"/>
              <w:rPr>
                <w:rFonts w:eastAsia="Calibri"/>
                <w:sz w:val="20"/>
                <w:szCs w:val="20"/>
              </w:rPr>
            </w:pPr>
            <w:r w:rsidRPr="0092424B">
              <w:rPr>
                <w:rFonts w:eastAsia="Calibri"/>
                <w:sz w:val="20"/>
                <w:szCs w:val="20"/>
              </w:rPr>
              <w:lastRenderedPageBreak/>
              <w:t>- Existe-il un  plan d’urbanisme ?</w:t>
            </w:r>
          </w:p>
        </w:tc>
        <w:tc>
          <w:tcPr>
            <w:tcW w:w="708" w:type="dxa"/>
            <w:tcBorders>
              <w:bottom w:val="single" w:sz="4" w:space="0" w:color="auto"/>
            </w:tcBorders>
            <w:vAlign w:val="center"/>
          </w:tcPr>
          <w:p w:rsidR="00A70C1E" w:rsidRPr="0092424B"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92424B"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92424B" w:rsidRDefault="00A70C1E" w:rsidP="00A76F4A">
            <w:pPr>
              <w:autoSpaceDE w:val="0"/>
              <w:autoSpaceDN w:val="0"/>
              <w:adjustRightInd w:val="0"/>
              <w:ind w:right="12"/>
              <w:jc w:val="center"/>
              <w:rPr>
                <w:rFonts w:eastAsia="Calibri"/>
                <w:sz w:val="20"/>
                <w:szCs w:val="20"/>
              </w:rPr>
            </w:pPr>
          </w:p>
        </w:tc>
      </w:tr>
      <w:tr w:rsidR="006162B1" w:rsidRPr="00F46103" w:rsidTr="006162B1">
        <w:trPr>
          <w:trHeight w:val="269"/>
        </w:trPr>
        <w:tc>
          <w:tcPr>
            <w:tcW w:w="6805" w:type="dxa"/>
            <w:tcBorders>
              <w:bottom w:val="single" w:sz="4" w:space="0" w:color="auto"/>
            </w:tcBorders>
            <w:vAlign w:val="center"/>
          </w:tcPr>
          <w:p w:rsidR="00A70C1E" w:rsidRPr="0092424B" w:rsidRDefault="00A70C1E" w:rsidP="00A76F4A">
            <w:pPr>
              <w:ind w:right="12"/>
              <w:jc w:val="both"/>
              <w:rPr>
                <w:rFonts w:eastAsia="Calibri"/>
                <w:sz w:val="20"/>
                <w:szCs w:val="20"/>
              </w:rPr>
            </w:pPr>
            <w:r w:rsidRPr="0092424B">
              <w:rPr>
                <w:rFonts w:eastAsia="Calibri"/>
                <w:sz w:val="20"/>
                <w:szCs w:val="20"/>
              </w:rPr>
              <w:t>- Le niveau de bruit pendant la mise en œuvre du projet concerné va-t-il dépasser les limites de bruit acceptables ?</w:t>
            </w:r>
          </w:p>
        </w:tc>
        <w:tc>
          <w:tcPr>
            <w:tcW w:w="708" w:type="dxa"/>
            <w:tcBorders>
              <w:bottom w:val="single" w:sz="4" w:space="0" w:color="auto"/>
            </w:tcBorders>
            <w:vAlign w:val="center"/>
          </w:tcPr>
          <w:p w:rsidR="00A70C1E" w:rsidRPr="0092424B"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92424B"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92424B" w:rsidRDefault="00A70C1E" w:rsidP="00A76F4A">
            <w:pPr>
              <w:autoSpaceDE w:val="0"/>
              <w:autoSpaceDN w:val="0"/>
              <w:adjustRightInd w:val="0"/>
              <w:ind w:right="12"/>
              <w:jc w:val="center"/>
              <w:rPr>
                <w:rFonts w:eastAsia="Calibri"/>
                <w:sz w:val="20"/>
                <w:szCs w:val="20"/>
              </w:rPr>
            </w:pPr>
          </w:p>
        </w:tc>
      </w:tr>
      <w:tr w:rsidR="006162B1" w:rsidRPr="00F46103" w:rsidTr="006162B1">
        <w:trPr>
          <w:trHeight w:val="269"/>
        </w:trPr>
        <w:tc>
          <w:tcPr>
            <w:tcW w:w="6805" w:type="dxa"/>
            <w:tcBorders>
              <w:bottom w:val="single" w:sz="4" w:space="0" w:color="auto"/>
            </w:tcBorders>
            <w:vAlign w:val="center"/>
          </w:tcPr>
          <w:p w:rsidR="00A70C1E" w:rsidRPr="0092424B" w:rsidRDefault="00A70C1E" w:rsidP="00A76F4A">
            <w:pPr>
              <w:ind w:right="12"/>
              <w:jc w:val="both"/>
              <w:rPr>
                <w:rFonts w:eastAsia="Calibri"/>
                <w:sz w:val="20"/>
                <w:szCs w:val="20"/>
              </w:rPr>
            </w:pPr>
            <w:r w:rsidRPr="0092424B">
              <w:rPr>
                <w:rFonts w:eastAsia="Calibri"/>
                <w:sz w:val="20"/>
                <w:szCs w:val="20"/>
              </w:rPr>
              <w:t>- L’ouvrage peut-il entraîner des empiètements, des altérations ou  des destructions de sites d’importance économique ?</w:t>
            </w:r>
          </w:p>
        </w:tc>
        <w:tc>
          <w:tcPr>
            <w:tcW w:w="708" w:type="dxa"/>
            <w:tcBorders>
              <w:bottom w:val="single" w:sz="4" w:space="0" w:color="auto"/>
            </w:tcBorders>
            <w:vAlign w:val="center"/>
          </w:tcPr>
          <w:p w:rsidR="00A70C1E" w:rsidRPr="0092424B"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92424B"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92424B" w:rsidRDefault="00A70C1E" w:rsidP="00A76F4A">
            <w:pPr>
              <w:autoSpaceDE w:val="0"/>
              <w:autoSpaceDN w:val="0"/>
              <w:adjustRightInd w:val="0"/>
              <w:ind w:right="12"/>
              <w:jc w:val="center"/>
              <w:rPr>
                <w:rFonts w:eastAsia="Calibri"/>
                <w:sz w:val="20"/>
                <w:szCs w:val="20"/>
              </w:rPr>
            </w:pPr>
          </w:p>
        </w:tc>
      </w:tr>
      <w:tr w:rsidR="006162B1" w:rsidRPr="00F46103" w:rsidTr="006162B1">
        <w:trPr>
          <w:trHeight w:val="269"/>
        </w:trPr>
        <w:tc>
          <w:tcPr>
            <w:tcW w:w="6805" w:type="dxa"/>
            <w:tcBorders>
              <w:bottom w:val="single" w:sz="4" w:space="0" w:color="auto"/>
            </w:tcBorders>
            <w:vAlign w:val="center"/>
          </w:tcPr>
          <w:p w:rsidR="00A70C1E" w:rsidRPr="00D47C37" w:rsidRDefault="00A70C1E" w:rsidP="00A76F4A">
            <w:pPr>
              <w:ind w:right="12"/>
              <w:jc w:val="both"/>
              <w:rPr>
                <w:rFonts w:eastAsia="Calibri"/>
                <w:sz w:val="20"/>
                <w:szCs w:val="20"/>
              </w:rPr>
            </w:pPr>
            <w:r w:rsidRPr="00D47C37">
              <w:rPr>
                <w:rFonts w:eastAsia="Calibri"/>
                <w:sz w:val="20"/>
                <w:szCs w:val="20"/>
              </w:rPr>
              <w:t>-Y a-t-il des services adéquats pour l’évacuation des déchets prévus pendant l’exploitation ?</w:t>
            </w:r>
          </w:p>
        </w:tc>
        <w:tc>
          <w:tcPr>
            <w:tcW w:w="708"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D47C37" w:rsidRDefault="00A70C1E" w:rsidP="00A76F4A">
            <w:pPr>
              <w:autoSpaceDE w:val="0"/>
              <w:autoSpaceDN w:val="0"/>
              <w:adjustRightInd w:val="0"/>
              <w:ind w:right="12"/>
              <w:jc w:val="center"/>
              <w:rPr>
                <w:rFonts w:eastAsia="Calibri"/>
                <w:sz w:val="20"/>
                <w:szCs w:val="20"/>
              </w:rPr>
            </w:pPr>
          </w:p>
        </w:tc>
      </w:tr>
      <w:tr w:rsidR="006162B1" w:rsidRPr="00F46103" w:rsidTr="006162B1">
        <w:trPr>
          <w:trHeight w:val="269"/>
        </w:trPr>
        <w:tc>
          <w:tcPr>
            <w:tcW w:w="6805" w:type="dxa"/>
            <w:tcBorders>
              <w:bottom w:val="single" w:sz="4" w:space="0" w:color="auto"/>
            </w:tcBorders>
            <w:vAlign w:val="center"/>
          </w:tcPr>
          <w:p w:rsidR="00A70C1E" w:rsidRPr="00D47C37" w:rsidRDefault="00A70C1E" w:rsidP="00A76F4A">
            <w:pPr>
              <w:autoSpaceDE w:val="0"/>
              <w:autoSpaceDN w:val="0"/>
              <w:adjustRightInd w:val="0"/>
              <w:ind w:right="12"/>
              <w:jc w:val="both"/>
              <w:rPr>
                <w:rFonts w:eastAsia="Calibri"/>
                <w:sz w:val="20"/>
                <w:szCs w:val="20"/>
              </w:rPr>
            </w:pPr>
            <w:r w:rsidRPr="00D47C37">
              <w:rPr>
                <w:rFonts w:eastAsia="Calibri"/>
                <w:sz w:val="20"/>
                <w:szCs w:val="20"/>
              </w:rPr>
              <w:t>- Les équipements et matériel de sécurité et de Secours en cas d’accident seront-ils disponibles pendant la mise en œuvre et l’exploitation ?</w:t>
            </w:r>
          </w:p>
        </w:tc>
        <w:tc>
          <w:tcPr>
            <w:tcW w:w="708"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D47C37" w:rsidRDefault="00A70C1E" w:rsidP="00A76F4A">
            <w:pPr>
              <w:autoSpaceDE w:val="0"/>
              <w:autoSpaceDN w:val="0"/>
              <w:adjustRightInd w:val="0"/>
              <w:ind w:right="12"/>
              <w:jc w:val="center"/>
              <w:rPr>
                <w:rFonts w:eastAsia="Calibri"/>
                <w:sz w:val="20"/>
                <w:szCs w:val="20"/>
              </w:rPr>
            </w:pPr>
          </w:p>
        </w:tc>
      </w:tr>
      <w:tr w:rsidR="006162B1" w:rsidRPr="00F46103" w:rsidTr="006162B1">
        <w:trPr>
          <w:trHeight w:val="269"/>
        </w:trPr>
        <w:tc>
          <w:tcPr>
            <w:tcW w:w="6805" w:type="dxa"/>
            <w:tcBorders>
              <w:bottom w:val="single" w:sz="4" w:space="0" w:color="auto"/>
            </w:tcBorders>
            <w:vAlign w:val="center"/>
          </w:tcPr>
          <w:p w:rsidR="00A70C1E" w:rsidRPr="00D47C37" w:rsidRDefault="00A70C1E" w:rsidP="00A76F4A">
            <w:pPr>
              <w:autoSpaceDE w:val="0"/>
              <w:autoSpaceDN w:val="0"/>
              <w:adjustRightInd w:val="0"/>
              <w:ind w:right="12"/>
              <w:jc w:val="both"/>
              <w:rPr>
                <w:rFonts w:eastAsia="Calibri"/>
                <w:sz w:val="20"/>
                <w:szCs w:val="20"/>
              </w:rPr>
            </w:pPr>
            <w:r w:rsidRPr="00D47C37">
              <w:rPr>
                <w:rFonts w:eastAsia="Calibri"/>
                <w:sz w:val="20"/>
                <w:szCs w:val="20"/>
              </w:rPr>
              <w:t>- Risque- t-on de provoquer une plus grande affluence dans le secteur en raison de migrations ?</w:t>
            </w:r>
          </w:p>
        </w:tc>
        <w:tc>
          <w:tcPr>
            <w:tcW w:w="708"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D47C37" w:rsidRDefault="00A70C1E" w:rsidP="00A76F4A">
            <w:pPr>
              <w:autoSpaceDE w:val="0"/>
              <w:autoSpaceDN w:val="0"/>
              <w:adjustRightInd w:val="0"/>
              <w:ind w:right="12"/>
              <w:jc w:val="center"/>
              <w:rPr>
                <w:rFonts w:eastAsia="Calibri"/>
                <w:sz w:val="20"/>
                <w:szCs w:val="20"/>
              </w:rPr>
            </w:pPr>
          </w:p>
        </w:tc>
      </w:tr>
      <w:tr w:rsidR="006162B1" w:rsidRPr="00F46103" w:rsidTr="006162B1">
        <w:trPr>
          <w:trHeight w:val="269"/>
        </w:trPr>
        <w:tc>
          <w:tcPr>
            <w:tcW w:w="6805" w:type="dxa"/>
            <w:tcBorders>
              <w:bottom w:val="single" w:sz="4" w:space="0" w:color="auto"/>
            </w:tcBorders>
            <w:vAlign w:val="center"/>
          </w:tcPr>
          <w:p w:rsidR="00A70C1E" w:rsidRPr="00D47C37" w:rsidRDefault="00A70C1E" w:rsidP="00A76F4A">
            <w:pPr>
              <w:ind w:right="12"/>
              <w:jc w:val="both"/>
              <w:rPr>
                <w:rFonts w:eastAsia="Calibri"/>
                <w:sz w:val="20"/>
                <w:szCs w:val="20"/>
              </w:rPr>
            </w:pPr>
            <w:r w:rsidRPr="00D47C37">
              <w:rPr>
                <w:rFonts w:eastAsia="Calibri"/>
                <w:sz w:val="20"/>
                <w:szCs w:val="20"/>
              </w:rPr>
              <w:t>- Cela favori serait-il le développement d’établissements humains spontanés non planifiés ?</w:t>
            </w:r>
          </w:p>
        </w:tc>
        <w:tc>
          <w:tcPr>
            <w:tcW w:w="708"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D47C37"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D47C37" w:rsidRDefault="00A70C1E" w:rsidP="00A76F4A">
            <w:pPr>
              <w:autoSpaceDE w:val="0"/>
              <w:autoSpaceDN w:val="0"/>
              <w:adjustRightInd w:val="0"/>
              <w:ind w:right="12"/>
              <w:jc w:val="center"/>
              <w:rPr>
                <w:rFonts w:eastAsia="Calibri"/>
                <w:sz w:val="20"/>
                <w:szCs w:val="20"/>
              </w:rPr>
            </w:pPr>
          </w:p>
        </w:tc>
      </w:tr>
      <w:tr w:rsidR="006162B1" w:rsidRPr="00F46103" w:rsidTr="006162B1">
        <w:trPr>
          <w:trHeight w:val="269"/>
        </w:trPr>
        <w:tc>
          <w:tcPr>
            <w:tcW w:w="6805" w:type="dxa"/>
            <w:tcBorders>
              <w:bottom w:val="single" w:sz="4" w:space="0" w:color="auto"/>
            </w:tcBorders>
            <w:vAlign w:val="center"/>
          </w:tcPr>
          <w:p w:rsidR="00A70C1E" w:rsidRPr="00151A2B" w:rsidRDefault="00A70C1E" w:rsidP="00A76F4A">
            <w:pPr>
              <w:ind w:right="12"/>
              <w:jc w:val="both"/>
              <w:rPr>
                <w:rFonts w:eastAsia="Calibri"/>
                <w:sz w:val="20"/>
                <w:szCs w:val="20"/>
              </w:rPr>
            </w:pPr>
            <w:r w:rsidRPr="00151A2B">
              <w:rPr>
                <w:rFonts w:eastAsia="Calibri"/>
                <w:sz w:val="20"/>
                <w:szCs w:val="20"/>
              </w:rPr>
              <w:t>- Y aurait-il une augmentation de la demande en ressources naturelles notamment en terres ?</w:t>
            </w:r>
          </w:p>
        </w:tc>
        <w:tc>
          <w:tcPr>
            <w:tcW w:w="708" w:type="dxa"/>
            <w:tcBorders>
              <w:bottom w:val="single" w:sz="4" w:space="0" w:color="auto"/>
            </w:tcBorders>
            <w:vAlign w:val="center"/>
          </w:tcPr>
          <w:p w:rsidR="00A70C1E" w:rsidRPr="00151A2B"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151A2B"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151A2B" w:rsidRDefault="00A70C1E" w:rsidP="00A76F4A">
            <w:pPr>
              <w:autoSpaceDE w:val="0"/>
              <w:autoSpaceDN w:val="0"/>
              <w:adjustRightInd w:val="0"/>
              <w:ind w:right="12"/>
              <w:jc w:val="center"/>
              <w:rPr>
                <w:rFonts w:eastAsia="Calibri"/>
                <w:sz w:val="20"/>
                <w:szCs w:val="20"/>
              </w:rPr>
            </w:pPr>
          </w:p>
        </w:tc>
      </w:tr>
      <w:tr w:rsidR="006162B1" w:rsidRPr="00F46103" w:rsidTr="006162B1">
        <w:trPr>
          <w:trHeight w:val="269"/>
        </w:trPr>
        <w:tc>
          <w:tcPr>
            <w:tcW w:w="6805" w:type="dxa"/>
            <w:tcBorders>
              <w:bottom w:val="single" w:sz="4" w:space="0" w:color="auto"/>
            </w:tcBorders>
            <w:vAlign w:val="center"/>
          </w:tcPr>
          <w:p w:rsidR="00A70C1E" w:rsidRPr="00151A2B" w:rsidRDefault="00A70C1E" w:rsidP="00A76F4A">
            <w:pPr>
              <w:ind w:right="12"/>
              <w:jc w:val="both"/>
              <w:rPr>
                <w:rFonts w:eastAsia="Calibri"/>
                <w:sz w:val="20"/>
                <w:szCs w:val="20"/>
              </w:rPr>
            </w:pPr>
            <w:r w:rsidRPr="00151A2B">
              <w:rPr>
                <w:rFonts w:eastAsia="Calibri"/>
                <w:sz w:val="20"/>
                <w:szCs w:val="20"/>
              </w:rPr>
              <w:t>- Ces substances polluantes sont-elles associées à des nuisances (bruits, odeurs, vibrations, poussières, fumées, trafic), des risques d’accidents (de transport, déversements, explosions, feux, etc.) et des risques pour la santé (insalubrité, intoxication, problèmes respiratoires, cutanés) pour les travailleurs et les usagers des bâtiments et la population ?</w:t>
            </w:r>
          </w:p>
        </w:tc>
        <w:tc>
          <w:tcPr>
            <w:tcW w:w="708" w:type="dxa"/>
            <w:tcBorders>
              <w:bottom w:val="single" w:sz="4" w:space="0" w:color="auto"/>
            </w:tcBorders>
            <w:vAlign w:val="center"/>
          </w:tcPr>
          <w:p w:rsidR="00A70C1E" w:rsidRPr="00151A2B"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151A2B"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151A2B" w:rsidRDefault="00A70C1E" w:rsidP="00A76F4A">
            <w:pPr>
              <w:autoSpaceDE w:val="0"/>
              <w:autoSpaceDN w:val="0"/>
              <w:adjustRightInd w:val="0"/>
              <w:ind w:right="12"/>
              <w:jc w:val="center"/>
              <w:rPr>
                <w:rFonts w:eastAsia="Calibri"/>
                <w:sz w:val="20"/>
                <w:szCs w:val="20"/>
              </w:rPr>
            </w:pPr>
          </w:p>
        </w:tc>
      </w:tr>
      <w:tr w:rsidR="006162B1" w:rsidRPr="00FF53FE" w:rsidTr="006162B1">
        <w:trPr>
          <w:trHeight w:val="486"/>
        </w:trPr>
        <w:tc>
          <w:tcPr>
            <w:tcW w:w="6805" w:type="dxa"/>
            <w:tcBorders>
              <w:bottom w:val="single" w:sz="4" w:space="0" w:color="auto"/>
            </w:tcBorders>
            <w:vAlign w:val="center"/>
          </w:tcPr>
          <w:p w:rsidR="00A70C1E" w:rsidRPr="00151A2B" w:rsidRDefault="00A70C1E" w:rsidP="00A76F4A">
            <w:pPr>
              <w:autoSpaceDE w:val="0"/>
              <w:autoSpaceDN w:val="0"/>
              <w:adjustRightInd w:val="0"/>
              <w:ind w:right="12"/>
              <w:jc w:val="both"/>
              <w:rPr>
                <w:rFonts w:eastAsia="Calibri"/>
                <w:sz w:val="20"/>
                <w:szCs w:val="20"/>
              </w:rPr>
            </w:pPr>
            <w:r w:rsidRPr="00151A2B">
              <w:rPr>
                <w:sz w:val="20"/>
                <w:szCs w:val="20"/>
                <w:lang w:eastAsia="en-US"/>
              </w:rPr>
              <w:t>Y a-t-il possibilité que les travaux affectent</w:t>
            </w:r>
            <w:r w:rsidRPr="00151A2B">
              <w:rPr>
                <w:rFonts w:eastAsia="Calibri"/>
                <w:sz w:val="20"/>
                <w:szCs w:val="20"/>
              </w:rPr>
              <w:t xml:space="preserve"> des </w:t>
            </w:r>
            <w:r w:rsidRPr="00151A2B">
              <w:rPr>
                <w:rFonts w:eastAsia="Calibri"/>
                <w:bCs/>
                <w:sz w:val="20"/>
                <w:szCs w:val="20"/>
              </w:rPr>
              <w:t>sites historiques, archéologiques ou d’héritage culturel</w:t>
            </w:r>
            <w:r w:rsidRPr="00151A2B">
              <w:rPr>
                <w:rFonts w:eastAsia="Calibri"/>
                <w:sz w:val="20"/>
                <w:szCs w:val="20"/>
              </w:rPr>
              <w:t>.</w:t>
            </w:r>
          </w:p>
        </w:tc>
        <w:tc>
          <w:tcPr>
            <w:tcW w:w="708" w:type="dxa"/>
            <w:tcBorders>
              <w:bottom w:val="single" w:sz="4" w:space="0" w:color="auto"/>
            </w:tcBorders>
            <w:vAlign w:val="center"/>
          </w:tcPr>
          <w:p w:rsidR="00A70C1E" w:rsidRPr="00151A2B" w:rsidRDefault="00A70C1E" w:rsidP="00A76F4A">
            <w:pPr>
              <w:autoSpaceDE w:val="0"/>
              <w:autoSpaceDN w:val="0"/>
              <w:adjustRightInd w:val="0"/>
              <w:ind w:right="12"/>
              <w:rPr>
                <w:rFonts w:eastAsia="Calibri"/>
                <w:b/>
                <w:bCs/>
                <w:sz w:val="20"/>
                <w:szCs w:val="20"/>
              </w:rPr>
            </w:pPr>
          </w:p>
        </w:tc>
        <w:tc>
          <w:tcPr>
            <w:tcW w:w="709" w:type="dxa"/>
            <w:tcBorders>
              <w:bottom w:val="single" w:sz="4" w:space="0" w:color="auto"/>
            </w:tcBorders>
            <w:vAlign w:val="center"/>
          </w:tcPr>
          <w:p w:rsidR="00A70C1E" w:rsidRPr="00151A2B" w:rsidRDefault="00A70C1E" w:rsidP="00A76F4A">
            <w:pPr>
              <w:autoSpaceDE w:val="0"/>
              <w:autoSpaceDN w:val="0"/>
              <w:adjustRightInd w:val="0"/>
              <w:ind w:right="12"/>
              <w:rPr>
                <w:rFonts w:eastAsia="Calibri"/>
                <w:b/>
                <w:bCs/>
                <w:sz w:val="20"/>
                <w:szCs w:val="20"/>
              </w:rPr>
            </w:pPr>
          </w:p>
        </w:tc>
        <w:tc>
          <w:tcPr>
            <w:tcW w:w="1843" w:type="dxa"/>
            <w:tcBorders>
              <w:bottom w:val="single" w:sz="4" w:space="0" w:color="auto"/>
            </w:tcBorders>
          </w:tcPr>
          <w:p w:rsidR="00A70C1E" w:rsidRPr="00151A2B" w:rsidRDefault="00A70C1E" w:rsidP="00A76F4A">
            <w:pPr>
              <w:autoSpaceDE w:val="0"/>
              <w:autoSpaceDN w:val="0"/>
              <w:adjustRightInd w:val="0"/>
              <w:ind w:right="12"/>
              <w:jc w:val="center"/>
              <w:rPr>
                <w:rFonts w:eastAsia="Calibri"/>
                <w:sz w:val="20"/>
                <w:szCs w:val="20"/>
              </w:rPr>
            </w:pPr>
          </w:p>
        </w:tc>
      </w:tr>
    </w:tbl>
    <w:p w:rsidR="0083592B" w:rsidRDefault="0083592B" w:rsidP="00A76F4A">
      <w:pPr>
        <w:pStyle w:val="Cabealho1"/>
        <w:numPr>
          <w:ilvl w:val="0"/>
          <w:numId w:val="0"/>
        </w:numPr>
        <w:pBdr>
          <w:bottom w:val="thickThinSmallGap" w:sz="24" w:space="1" w:color="auto"/>
        </w:pBdr>
        <w:spacing w:after="120"/>
        <w:ind w:right="12"/>
        <w:rPr>
          <w:rFonts w:ascii="Times New Roman" w:hAnsi="Times New Roman"/>
          <w:sz w:val="24"/>
          <w:szCs w:val="24"/>
        </w:rPr>
      </w:pPr>
      <w:bookmarkStart w:id="475" w:name="_Toc55465410"/>
    </w:p>
    <w:p w:rsidR="0083592B" w:rsidRDefault="0083592B" w:rsidP="00A76F4A">
      <w:pPr>
        <w:spacing w:after="160" w:line="259" w:lineRule="auto"/>
        <w:ind w:right="12"/>
        <w:rPr>
          <w:b/>
          <w:bCs/>
          <w:kern w:val="32"/>
        </w:rPr>
      </w:pPr>
      <w:r>
        <w:br w:type="page"/>
      </w:r>
    </w:p>
    <w:p w:rsidR="003D1623" w:rsidRPr="00D47C37" w:rsidRDefault="003D1623" w:rsidP="00A76F4A">
      <w:pPr>
        <w:pStyle w:val="Cabealho1"/>
        <w:numPr>
          <w:ilvl w:val="0"/>
          <w:numId w:val="0"/>
        </w:numPr>
        <w:pBdr>
          <w:bottom w:val="thickThinSmallGap" w:sz="24" w:space="1" w:color="auto"/>
        </w:pBdr>
        <w:spacing w:after="120"/>
        <w:ind w:right="12"/>
        <w:rPr>
          <w:rFonts w:ascii="Times New Roman" w:hAnsi="Times New Roman"/>
          <w:sz w:val="24"/>
          <w:szCs w:val="24"/>
        </w:rPr>
      </w:pPr>
      <w:bookmarkStart w:id="476" w:name="_Toc75432349"/>
      <w:r w:rsidRPr="00D47C37">
        <w:rPr>
          <w:rFonts w:ascii="Times New Roman" w:hAnsi="Times New Roman"/>
          <w:sz w:val="24"/>
          <w:szCs w:val="24"/>
        </w:rPr>
        <w:lastRenderedPageBreak/>
        <w:t xml:space="preserve">ANNEXE </w:t>
      </w:r>
      <w:r w:rsidRPr="00D47C37">
        <w:rPr>
          <w:rFonts w:ascii="Times New Roman" w:hAnsi="Times New Roman"/>
          <w:sz w:val="24"/>
          <w:szCs w:val="24"/>
        </w:rPr>
        <w:fldChar w:fldCharType="begin"/>
      </w:r>
      <w:r w:rsidRPr="00D47C37">
        <w:rPr>
          <w:rFonts w:ascii="Times New Roman" w:hAnsi="Times New Roman"/>
          <w:sz w:val="24"/>
          <w:szCs w:val="24"/>
        </w:rPr>
        <w:instrText xml:space="preserve"> </w:instrText>
      </w:r>
      <w:r w:rsidR="006C5620" w:rsidRPr="00D47C37">
        <w:rPr>
          <w:rFonts w:ascii="Times New Roman" w:hAnsi="Times New Roman"/>
          <w:sz w:val="24"/>
          <w:szCs w:val="24"/>
        </w:rPr>
        <w:instrText>SEQ</w:instrText>
      </w:r>
      <w:r w:rsidRPr="00D47C37">
        <w:rPr>
          <w:rFonts w:ascii="Times New Roman" w:hAnsi="Times New Roman"/>
          <w:sz w:val="24"/>
          <w:szCs w:val="24"/>
        </w:rPr>
        <w:instrText xml:space="preserve"> ANNEXE \* ARABIC </w:instrText>
      </w:r>
      <w:r w:rsidRPr="00D47C37">
        <w:rPr>
          <w:rFonts w:ascii="Times New Roman" w:hAnsi="Times New Roman"/>
          <w:sz w:val="24"/>
          <w:szCs w:val="24"/>
        </w:rPr>
        <w:fldChar w:fldCharType="separate"/>
      </w:r>
      <w:r w:rsidR="00D51AB3" w:rsidRPr="00D47C37">
        <w:rPr>
          <w:rFonts w:ascii="Times New Roman" w:hAnsi="Times New Roman"/>
          <w:noProof/>
          <w:sz w:val="24"/>
          <w:szCs w:val="24"/>
        </w:rPr>
        <w:t>2</w:t>
      </w:r>
      <w:r w:rsidRPr="00D47C37">
        <w:rPr>
          <w:rFonts w:ascii="Times New Roman" w:hAnsi="Times New Roman"/>
          <w:sz w:val="24"/>
          <w:szCs w:val="24"/>
        </w:rPr>
        <w:fldChar w:fldCharType="end"/>
      </w:r>
      <w:r w:rsidRPr="00D47C37">
        <w:rPr>
          <w:rFonts w:ascii="Times New Roman" w:hAnsi="Times New Roman"/>
          <w:sz w:val="24"/>
          <w:szCs w:val="24"/>
        </w:rPr>
        <w:t>. GRILLE DE SELECTION ENVIRONNEMENTALE</w:t>
      </w:r>
      <w:bookmarkEnd w:id="475"/>
      <w:bookmarkEnd w:id="476"/>
    </w:p>
    <w:p w:rsidR="0083592B" w:rsidRPr="005E5939" w:rsidRDefault="0083592B" w:rsidP="00A76F4A">
      <w:pPr>
        <w:autoSpaceDE w:val="0"/>
        <w:autoSpaceDN w:val="0"/>
        <w:adjustRightInd w:val="0"/>
        <w:ind w:right="12"/>
        <w:jc w:val="both"/>
      </w:pPr>
      <w:r w:rsidRPr="005E5939">
        <w:t>La grille de sélection environnementale et sociale ou tri préliminaire (ou screening) complète le Check List de l’annexe 1 avec un tri et une classification des projets. Ce travail permettra au finish de déterminer la catégorie environnementale et sociale du sous projet et quel type d’évaluation environnementale devra être effectuée. Pour le PUSA, il a été retenu que seule des AEI seront effectuées.</w:t>
      </w:r>
    </w:p>
    <w:p w:rsidR="0083592B" w:rsidRPr="00B96D7B" w:rsidRDefault="0083592B" w:rsidP="00A76F4A">
      <w:pPr>
        <w:autoSpaceDE w:val="0"/>
        <w:autoSpaceDN w:val="0"/>
        <w:adjustRightInd w:val="0"/>
        <w:ind w:right="12"/>
        <w:jc w:val="both"/>
      </w:pPr>
      <w:r w:rsidRPr="005E5939">
        <w:t>Le formulaire de tri préliminaire permet de recueillir au niveau local des informations sur les problèmes environnementaux et sociaux associés à l’implantation du projet en vue de déterminer le travail environnemental à faire.</w:t>
      </w:r>
    </w:p>
    <w:p w:rsidR="0083592B" w:rsidRDefault="0083592B" w:rsidP="00A76F4A">
      <w:pPr>
        <w:ind w:right="12"/>
        <w:rPr>
          <w:sz w:val="20"/>
          <w:szCs w:val="20"/>
        </w:rPr>
      </w:pPr>
    </w:p>
    <w:p w:rsidR="0083592B" w:rsidRPr="005E5939" w:rsidRDefault="0083592B" w:rsidP="00A76F4A">
      <w:pPr>
        <w:ind w:right="12"/>
      </w:pPr>
      <w:r w:rsidRPr="005E5939">
        <w:t xml:space="preserve">Intitulé du projet :………………………………………………………………….. </w:t>
      </w:r>
    </w:p>
    <w:p w:rsidR="0083592B" w:rsidRPr="005E5939" w:rsidRDefault="0083592B" w:rsidP="00A76F4A">
      <w:pPr>
        <w:ind w:right="12"/>
      </w:pPr>
      <w:r w:rsidRPr="005E5939">
        <w:t>Rég</w:t>
      </w:r>
      <w:r w:rsidR="00036229">
        <w:t xml:space="preserve">ion :…………………………………/ Département </w:t>
      </w:r>
      <w:r w:rsidRPr="005E5939">
        <w:t xml:space="preserve">:…………….…………….…………… </w:t>
      </w:r>
    </w:p>
    <w:p w:rsidR="0083592B" w:rsidRPr="005E5939" w:rsidRDefault="0083592B" w:rsidP="00A76F4A">
      <w:pPr>
        <w:ind w:right="12"/>
      </w:pPr>
      <w:r w:rsidRPr="005E5939">
        <w:t>Commune :……………………………….….……/ V</w:t>
      </w:r>
      <w:r w:rsidR="00036229">
        <w:t>illage :……………….……………………….. …</w:t>
      </w:r>
    </w:p>
    <w:p w:rsidR="0083592B" w:rsidRPr="005E5939" w:rsidRDefault="0083592B" w:rsidP="00A76F4A">
      <w:pPr>
        <w:ind w:right="12"/>
      </w:pPr>
      <w:r w:rsidRPr="005E5939">
        <w:t xml:space="preserve">Quartier :……………………………….……………. </w:t>
      </w:r>
    </w:p>
    <w:p w:rsidR="0083592B" w:rsidRPr="005E5939" w:rsidRDefault="0083592B" w:rsidP="00A76F4A">
      <w:pPr>
        <w:ind w:right="12"/>
        <w:rPr>
          <w:sz w:val="22"/>
          <w:szCs w:val="22"/>
        </w:rPr>
      </w:pPr>
      <w:r w:rsidRPr="005E5939">
        <w:rPr>
          <w:sz w:val="22"/>
          <w:szCs w:val="22"/>
        </w:rPr>
        <w:t xml:space="preserve">(Rayer la mention inutile) </w:t>
      </w:r>
    </w:p>
    <w:p w:rsidR="003A5BAE" w:rsidRDefault="003A5BAE" w:rsidP="00A76F4A">
      <w:pPr>
        <w:ind w:right="12"/>
        <w:rPr>
          <w:sz w:val="20"/>
          <w:szCs w:val="20"/>
        </w:rPr>
      </w:pPr>
    </w:p>
    <w:p w:rsidR="003D1623" w:rsidRPr="00D47C37" w:rsidRDefault="003D1623" w:rsidP="00A76F4A">
      <w:pPr>
        <w:ind w:right="12"/>
      </w:pPr>
      <w:r w:rsidRPr="00D47C37">
        <w:t>Responsa</w:t>
      </w:r>
      <w:r w:rsidR="00036229">
        <w:t xml:space="preserve">bles (personnes à contacter) : </w:t>
      </w:r>
      <w:r w:rsidRPr="00D47C37">
        <w:t>(1)…………………………………</w:t>
      </w:r>
      <w:r w:rsidR="00036229">
        <w:t>…………………………</w:t>
      </w:r>
    </w:p>
    <w:p w:rsidR="003D1623" w:rsidRPr="00D47C37" w:rsidRDefault="003D1623" w:rsidP="00A76F4A">
      <w:pPr>
        <w:ind w:right="12"/>
      </w:pPr>
      <w:r w:rsidRPr="00D47C37">
        <w:t>(2)………………………………………………………………….</w:t>
      </w:r>
      <w:r w:rsidR="00126FE8" w:rsidRPr="00D47C37">
        <w:t xml:space="preserve"> ……...………...………...………...</w:t>
      </w:r>
    </w:p>
    <w:p w:rsidR="003D1623" w:rsidRPr="00D47C37" w:rsidRDefault="003D1623" w:rsidP="00A76F4A">
      <w:pPr>
        <w:ind w:right="12"/>
      </w:pPr>
      <w:r w:rsidRPr="00D47C37">
        <w:t xml:space="preserve">Personne chargée de remplir le présent formulaire : </w:t>
      </w:r>
    </w:p>
    <w:p w:rsidR="003D1623" w:rsidRPr="00D47C37" w:rsidRDefault="003D1623" w:rsidP="00A76F4A">
      <w:pPr>
        <w:ind w:right="12"/>
      </w:pPr>
      <w:r w:rsidRPr="00D47C37">
        <w:t>Prénom et Nom :………………………………….... Fonction :………………………...……….</w:t>
      </w:r>
      <w:r w:rsidR="00126FE8" w:rsidRPr="00D47C37">
        <w:t xml:space="preserve"> .………</w:t>
      </w:r>
    </w:p>
    <w:p w:rsidR="003D1623" w:rsidRPr="00D47C37" w:rsidRDefault="003D1623" w:rsidP="00A76F4A">
      <w:pPr>
        <w:ind w:right="12"/>
      </w:pPr>
      <w:r w:rsidRPr="00D47C37">
        <w:t xml:space="preserve">Téléphone :………………..….. E-mail :……………………. ……...………...………...………. </w:t>
      </w:r>
    </w:p>
    <w:p w:rsidR="003D1623" w:rsidRPr="00D47C37" w:rsidRDefault="003D1623" w:rsidP="00A76F4A">
      <w:pPr>
        <w:ind w:right="12"/>
      </w:pPr>
      <w:r w:rsidRPr="00D47C37">
        <w:t>Date :………………………………………. Signatures</w:t>
      </w:r>
      <w:r w:rsidR="00D87F62">
        <w:t xml:space="preserve"> : </w:t>
      </w:r>
    </w:p>
    <w:p w:rsidR="00CD2211" w:rsidRDefault="00CD2211" w:rsidP="00A76F4A">
      <w:pPr>
        <w:ind w:right="12"/>
        <w:rPr>
          <w:b/>
          <w:sz w:val="20"/>
          <w:szCs w:val="20"/>
          <w:u w:val="single"/>
        </w:rPr>
      </w:pPr>
    </w:p>
    <w:p w:rsidR="003D1623" w:rsidRPr="00D47C37" w:rsidRDefault="003D1623" w:rsidP="00A76F4A">
      <w:pPr>
        <w:ind w:right="12"/>
        <w:rPr>
          <w:b/>
          <w:u w:val="single"/>
        </w:rPr>
      </w:pPr>
      <w:r w:rsidRPr="00D47C37">
        <w:rPr>
          <w:b/>
          <w:u w:val="single"/>
        </w:rPr>
        <w:t xml:space="preserve">PARTIE A : Brève description du projet </w:t>
      </w:r>
    </w:p>
    <w:p w:rsidR="0061584F" w:rsidRDefault="0061584F" w:rsidP="00A76F4A">
      <w:pPr>
        <w:ind w:right="12"/>
        <w:rPr>
          <w:sz w:val="22"/>
          <w:szCs w:val="22"/>
        </w:rPr>
      </w:pPr>
    </w:p>
    <w:p w:rsidR="003D1623" w:rsidRPr="00D47C37" w:rsidRDefault="003D1623" w:rsidP="00A76F4A">
      <w:pPr>
        <w:ind w:right="12"/>
        <w:rPr>
          <w:sz w:val="22"/>
          <w:szCs w:val="22"/>
        </w:rPr>
      </w:pPr>
      <w:r w:rsidRPr="00D47C37">
        <w:rPr>
          <w:sz w:val="22"/>
          <w:szCs w:val="22"/>
        </w:rPr>
        <w:t xml:space="preserve">Informations sur le type et les dimensions du projet : </w:t>
      </w:r>
    </w:p>
    <w:p w:rsidR="003D1623" w:rsidRPr="00D47C37" w:rsidRDefault="003D1623" w:rsidP="00A76F4A">
      <w:pPr>
        <w:ind w:right="12"/>
        <w:rPr>
          <w:sz w:val="22"/>
          <w:szCs w:val="22"/>
        </w:rPr>
      </w:pPr>
      <w:r w:rsidRPr="00D47C37">
        <w:rPr>
          <w:sz w:val="22"/>
          <w:szCs w:val="22"/>
        </w:rPr>
        <w:t xml:space="preserve">Informations sur toutes les activités à mener : </w:t>
      </w:r>
    </w:p>
    <w:tbl>
      <w:tblPr>
        <w:tblStyle w:val="Tabelacomgrelha"/>
        <w:tblpPr w:leftFromText="141" w:rightFromText="141" w:vertAnchor="text" w:horzAnchor="margin" w:tblpY="184"/>
        <w:tblW w:w="5000" w:type="pct"/>
        <w:tblLook w:val="04A0" w:firstRow="1" w:lastRow="0" w:firstColumn="1" w:lastColumn="0" w:noHBand="0" w:noVBand="1"/>
      </w:tblPr>
      <w:tblGrid>
        <w:gridCol w:w="4648"/>
        <w:gridCol w:w="4652"/>
      </w:tblGrid>
      <w:tr w:rsidR="003D1623" w:rsidRPr="00126FE8" w:rsidTr="00FF19FC">
        <w:tc>
          <w:tcPr>
            <w:tcW w:w="2499" w:type="pct"/>
          </w:tcPr>
          <w:p w:rsidR="003D1623" w:rsidRPr="00D47C37" w:rsidRDefault="003D1623" w:rsidP="00A76F4A">
            <w:pPr>
              <w:ind w:right="12"/>
              <w:jc w:val="center"/>
              <w:rPr>
                <w:sz w:val="22"/>
                <w:szCs w:val="22"/>
              </w:rPr>
            </w:pPr>
            <w:r w:rsidRPr="00D47C37">
              <w:rPr>
                <w:sz w:val="22"/>
                <w:szCs w:val="22"/>
              </w:rPr>
              <w:t>Phases de préparation du terrain</w:t>
            </w:r>
          </w:p>
        </w:tc>
        <w:tc>
          <w:tcPr>
            <w:tcW w:w="2501" w:type="pct"/>
          </w:tcPr>
          <w:p w:rsidR="003D1623" w:rsidRPr="00D47C37" w:rsidRDefault="003D1623" w:rsidP="00A76F4A">
            <w:pPr>
              <w:ind w:right="12"/>
              <w:jc w:val="center"/>
              <w:rPr>
                <w:sz w:val="22"/>
                <w:szCs w:val="22"/>
              </w:rPr>
            </w:pPr>
            <w:r w:rsidRPr="00D47C37">
              <w:rPr>
                <w:sz w:val="22"/>
                <w:szCs w:val="22"/>
              </w:rPr>
              <w:t>Phases de construction</w:t>
            </w:r>
          </w:p>
        </w:tc>
      </w:tr>
      <w:tr w:rsidR="003D1623" w:rsidRPr="00126FE8" w:rsidTr="00FF19FC">
        <w:tc>
          <w:tcPr>
            <w:tcW w:w="2499" w:type="pct"/>
          </w:tcPr>
          <w:p w:rsidR="003D1623" w:rsidRPr="00D47C37" w:rsidRDefault="003D1623" w:rsidP="00A76F4A">
            <w:pPr>
              <w:ind w:right="12"/>
              <w:rPr>
                <w:sz w:val="22"/>
                <w:szCs w:val="22"/>
              </w:rPr>
            </w:pPr>
          </w:p>
        </w:tc>
        <w:tc>
          <w:tcPr>
            <w:tcW w:w="2501" w:type="pct"/>
          </w:tcPr>
          <w:p w:rsidR="003D1623" w:rsidRPr="00D47C37" w:rsidRDefault="003D1623" w:rsidP="00A76F4A">
            <w:pPr>
              <w:ind w:right="12"/>
              <w:rPr>
                <w:sz w:val="22"/>
                <w:szCs w:val="22"/>
              </w:rPr>
            </w:pPr>
          </w:p>
        </w:tc>
      </w:tr>
      <w:tr w:rsidR="003D1623" w:rsidRPr="00126FE8" w:rsidTr="00FF19FC">
        <w:tc>
          <w:tcPr>
            <w:tcW w:w="2499" w:type="pct"/>
          </w:tcPr>
          <w:p w:rsidR="003D1623" w:rsidRPr="00D47C37" w:rsidRDefault="003D1623" w:rsidP="00A76F4A">
            <w:pPr>
              <w:ind w:right="12"/>
              <w:rPr>
                <w:sz w:val="22"/>
                <w:szCs w:val="22"/>
              </w:rPr>
            </w:pPr>
          </w:p>
        </w:tc>
        <w:tc>
          <w:tcPr>
            <w:tcW w:w="2501" w:type="pct"/>
          </w:tcPr>
          <w:p w:rsidR="003D1623" w:rsidRPr="00D47C37" w:rsidRDefault="003D1623" w:rsidP="00A76F4A">
            <w:pPr>
              <w:ind w:right="12"/>
              <w:rPr>
                <w:sz w:val="22"/>
                <w:szCs w:val="22"/>
              </w:rPr>
            </w:pPr>
          </w:p>
        </w:tc>
      </w:tr>
    </w:tbl>
    <w:p w:rsidR="003D1623" w:rsidRPr="00126FE8" w:rsidRDefault="003D1623" w:rsidP="00A76F4A">
      <w:pPr>
        <w:ind w:right="12"/>
        <w:rPr>
          <w:sz w:val="20"/>
          <w:szCs w:val="20"/>
        </w:rPr>
      </w:pPr>
      <w:r w:rsidRPr="00D47C37">
        <w:rPr>
          <w:sz w:val="22"/>
          <w:szCs w:val="22"/>
        </w:rPr>
        <w:t>Informations sur le fonctionnement de l’installation, notamment les activités d’appui et les ressources nécessaires pour la faire fonctionner (routes, sites d’évacuation, adduction d’eau, besoins en énergie, ressources humaines, etc.) Décrire dans une note à part si nécessaire</w:t>
      </w:r>
      <w:r w:rsidRPr="00126FE8">
        <w:rPr>
          <w:sz w:val="20"/>
          <w:szCs w:val="20"/>
        </w:rPr>
        <w:t xml:space="preserve">. </w:t>
      </w:r>
    </w:p>
    <w:p w:rsidR="00C113FA" w:rsidRDefault="00C113FA" w:rsidP="00A76F4A">
      <w:pPr>
        <w:ind w:right="12"/>
        <w:rPr>
          <w:sz w:val="20"/>
          <w:szCs w:val="20"/>
        </w:rPr>
      </w:pPr>
    </w:p>
    <w:p w:rsidR="003D1623" w:rsidRPr="00126FE8" w:rsidRDefault="003D1623" w:rsidP="00A76F4A">
      <w:pPr>
        <w:ind w:right="12"/>
        <w:rPr>
          <w:sz w:val="20"/>
          <w:szCs w:val="20"/>
        </w:rPr>
      </w:pPr>
      <w:r w:rsidRPr="00126FE8">
        <w:rPr>
          <w:sz w:val="20"/>
          <w:szCs w:val="20"/>
        </w:rPr>
        <w:t>………………………………………………………………………………………………………….……</w:t>
      </w:r>
      <w:r w:rsidR="00C113FA">
        <w:rPr>
          <w:sz w:val="20"/>
          <w:szCs w:val="20"/>
        </w:rPr>
        <w:t>…</w:t>
      </w:r>
      <w:r w:rsidRPr="00126FE8">
        <w:rPr>
          <w:sz w:val="20"/>
          <w:szCs w:val="20"/>
        </w:rPr>
        <w:t>………...………...……</w:t>
      </w:r>
      <w:r w:rsidR="00C113FA">
        <w:rPr>
          <w:sz w:val="20"/>
          <w:szCs w:val="20"/>
        </w:rPr>
        <w:t>……………………………………..</w:t>
      </w:r>
      <w:r w:rsidRPr="00126FE8">
        <w:rPr>
          <w:sz w:val="20"/>
          <w:szCs w:val="20"/>
        </w:rPr>
        <w:t xml:space="preserve"> </w:t>
      </w:r>
    </w:p>
    <w:p w:rsidR="00D57913" w:rsidRDefault="00D57913" w:rsidP="00A76F4A">
      <w:pPr>
        <w:ind w:right="12"/>
        <w:rPr>
          <w:b/>
          <w:u w:val="single"/>
        </w:rPr>
      </w:pPr>
    </w:p>
    <w:p w:rsidR="003D1623" w:rsidRDefault="003D1623" w:rsidP="00A76F4A">
      <w:pPr>
        <w:ind w:right="12"/>
        <w:rPr>
          <w:b/>
          <w:u w:val="single"/>
        </w:rPr>
      </w:pPr>
      <w:r w:rsidRPr="00D47C37">
        <w:rPr>
          <w:b/>
          <w:u w:val="single"/>
        </w:rPr>
        <w:t>PARTIE B : Identification des impacts environnementaux et sociaux et consultations</w:t>
      </w:r>
    </w:p>
    <w:p w:rsidR="00C113FA" w:rsidRPr="00D47C37" w:rsidRDefault="00C113FA" w:rsidP="00A76F4A">
      <w:pPr>
        <w:ind w:right="12"/>
        <w:rPr>
          <w:b/>
          <w:u w:val="single"/>
        </w:rPr>
      </w:pPr>
    </w:p>
    <w:tbl>
      <w:tblPr>
        <w:tblStyle w:val="Tabelacomgrelha"/>
        <w:tblW w:w="5555" w:type="pct"/>
        <w:tblInd w:w="-545" w:type="dxa"/>
        <w:tblLook w:val="04A0" w:firstRow="1" w:lastRow="0" w:firstColumn="1" w:lastColumn="0" w:noHBand="0" w:noVBand="1"/>
      </w:tblPr>
      <w:tblGrid>
        <w:gridCol w:w="517"/>
        <w:gridCol w:w="6276"/>
        <w:gridCol w:w="597"/>
        <w:gridCol w:w="636"/>
        <w:gridCol w:w="2306"/>
      </w:tblGrid>
      <w:tr w:rsidR="0077247E" w:rsidRPr="00CF7258" w:rsidTr="006162B1">
        <w:tc>
          <w:tcPr>
            <w:tcW w:w="3287" w:type="pct"/>
            <w:gridSpan w:val="2"/>
          </w:tcPr>
          <w:p w:rsidR="003D1623" w:rsidRPr="00D47C37" w:rsidRDefault="003D1623" w:rsidP="00A76F4A">
            <w:pPr>
              <w:ind w:right="12"/>
              <w:rPr>
                <w:b/>
                <w:sz w:val="22"/>
                <w:szCs w:val="22"/>
              </w:rPr>
            </w:pPr>
            <w:r w:rsidRPr="00D47C37">
              <w:rPr>
                <w:b/>
                <w:sz w:val="22"/>
                <w:szCs w:val="22"/>
              </w:rPr>
              <w:t>Préoccupations environnementales et sociales</w:t>
            </w:r>
          </w:p>
          <w:p w:rsidR="00FD4E69" w:rsidRPr="00D47C37" w:rsidRDefault="00FD4E69" w:rsidP="00A76F4A">
            <w:pPr>
              <w:ind w:right="12"/>
              <w:rPr>
                <w:b/>
                <w:sz w:val="22"/>
                <w:szCs w:val="22"/>
              </w:rPr>
            </w:pPr>
          </w:p>
        </w:tc>
        <w:tc>
          <w:tcPr>
            <w:tcW w:w="289" w:type="pct"/>
          </w:tcPr>
          <w:p w:rsidR="003D1623" w:rsidRPr="00D47C37" w:rsidRDefault="003D1623" w:rsidP="00A76F4A">
            <w:pPr>
              <w:ind w:right="12"/>
              <w:rPr>
                <w:b/>
                <w:sz w:val="22"/>
                <w:szCs w:val="22"/>
              </w:rPr>
            </w:pPr>
            <w:r w:rsidRPr="00D47C37">
              <w:rPr>
                <w:b/>
                <w:sz w:val="22"/>
                <w:szCs w:val="22"/>
              </w:rPr>
              <w:t>Oui</w:t>
            </w:r>
          </w:p>
        </w:tc>
        <w:tc>
          <w:tcPr>
            <w:tcW w:w="308" w:type="pct"/>
          </w:tcPr>
          <w:p w:rsidR="003D1623" w:rsidRPr="00D47C37" w:rsidRDefault="003D1623" w:rsidP="00A76F4A">
            <w:pPr>
              <w:ind w:right="12"/>
              <w:rPr>
                <w:b/>
                <w:sz w:val="22"/>
                <w:szCs w:val="22"/>
              </w:rPr>
            </w:pPr>
            <w:r w:rsidRPr="00D47C37">
              <w:rPr>
                <w:b/>
                <w:sz w:val="22"/>
                <w:szCs w:val="22"/>
              </w:rPr>
              <w:t>Non</w:t>
            </w:r>
          </w:p>
        </w:tc>
        <w:tc>
          <w:tcPr>
            <w:tcW w:w="1116" w:type="pct"/>
          </w:tcPr>
          <w:p w:rsidR="003D1623" w:rsidRPr="00D47C37" w:rsidRDefault="003D1623" w:rsidP="00A76F4A">
            <w:pPr>
              <w:ind w:right="12"/>
              <w:jc w:val="center"/>
              <w:rPr>
                <w:b/>
                <w:sz w:val="22"/>
                <w:szCs w:val="22"/>
              </w:rPr>
            </w:pPr>
            <w:r w:rsidRPr="00D47C37">
              <w:rPr>
                <w:b/>
                <w:sz w:val="22"/>
                <w:szCs w:val="22"/>
              </w:rPr>
              <w:t>Observations</w:t>
            </w:r>
          </w:p>
        </w:tc>
      </w:tr>
      <w:tr w:rsidR="003D1623" w:rsidRPr="00FD4E69" w:rsidTr="006162B1">
        <w:tc>
          <w:tcPr>
            <w:tcW w:w="5000" w:type="pct"/>
            <w:gridSpan w:val="5"/>
          </w:tcPr>
          <w:p w:rsidR="003D1623" w:rsidRPr="00D47C37" w:rsidRDefault="003D1623" w:rsidP="00A76F4A">
            <w:pPr>
              <w:ind w:right="12"/>
              <w:rPr>
                <w:sz w:val="22"/>
                <w:szCs w:val="22"/>
              </w:rPr>
            </w:pPr>
            <w:r w:rsidRPr="00D47C37">
              <w:rPr>
                <w:sz w:val="22"/>
                <w:szCs w:val="22"/>
              </w:rPr>
              <w:t>Ressources naturelles</w:t>
            </w:r>
          </w:p>
        </w:tc>
      </w:tr>
      <w:tr w:rsidR="00F03935" w:rsidRPr="00AE2190" w:rsidTr="006162B1">
        <w:tc>
          <w:tcPr>
            <w:tcW w:w="250" w:type="pct"/>
          </w:tcPr>
          <w:p w:rsidR="003D1623" w:rsidRPr="00D47C37" w:rsidRDefault="003D1623" w:rsidP="00A76F4A">
            <w:pPr>
              <w:ind w:right="12"/>
              <w:rPr>
                <w:sz w:val="22"/>
                <w:szCs w:val="22"/>
              </w:rPr>
            </w:pPr>
            <w:r w:rsidRPr="00D47C37">
              <w:rPr>
                <w:sz w:val="22"/>
                <w:szCs w:val="22"/>
              </w:rPr>
              <w:t>1.</w:t>
            </w:r>
          </w:p>
        </w:tc>
        <w:tc>
          <w:tcPr>
            <w:tcW w:w="3037" w:type="pct"/>
          </w:tcPr>
          <w:p w:rsidR="003D1623" w:rsidRPr="00D47C37" w:rsidRDefault="003D1623" w:rsidP="00A76F4A">
            <w:pPr>
              <w:ind w:right="12"/>
              <w:rPr>
                <w:sz w:val="22"/>
                <w:szCs w:val="22"/>
              </w:rPr>
            </w:pPr>
            <w:r w:rsidRPr="00D47C37">
              <w:rPr>
                <w:sz w:val="22"/>
                <w:szCs w:val="22"/>
              </w:rPr>
              <w:t xml:space="preserve">Le projet nécessitera- t-il des volumes importants de matériaux issus des ressources naturelles locales (sable, gravier, latérite, eau, bois de </w:t>
            </w:r>
            <w:r w:rsidRPr="00D47C37">
              <w:rPr>
                <w:sz w:val="22"/>
                <w:szCs w:val="22"/>
              </w:rPr>
              <w:lastRenderedPageBreak/>
              <w:t>chantier, etc.)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c>
          <w:tcPr>
            <w:tcW w:w="250" w:type="pct"/>
          </w:tcPr>
          <w:p w:rsidR="003D1623" w:rsidRPr="00D47C37" w:rsidRDefault="003D1623" w:rsidP="00A76F4A">
            <w:pPr>
              <w:ind w:right="12"/>
              <w:rPr>
                <w:sz w:val="22"/>
                <w:szCs w:val="22"/>
              </w:rPr>
            </w:pPr>
            <w:r w:rsidRPr="00D47C37">
              <w:rPr>
                <w:sz w:val="22"/>
                <w:szCs w:val="22"/>
              </w:rPr>
              <w:lastRenderedPageBreak/>
              <w:t xml:space="preserve">2. </w:t>
            </w:r>
          </w:p>
        </w:tc>
        <w:tc>
          <w:tcPr>
            <w:tcW w:w="3037" w:type="pct"/>
          </w:tcPr>
          <w:p w:rsidR="00FD4E69" w:rsidRPr="00D47C37" w:rsidRDefault="003D1623" w:rsidP="00A76F4A">
            <w:pPr>
              <w:ind w:right="12"/>
              <w:rPr>
                <w:sz w:val="22"/>
                <w:szCs w:val="22"/>
              </w:rPr>
            </w:pPr>
            <w:r w:rsidRPr="00D47C37">
              <w:rPr>
                <w:sz w:val="22"/>
                <w:szCs w:val="22"/>
              </w:rPr>
              <w:t xml:space="preserve"> Le projet nécessitera-t-</w:t>
            </w:r>
            <w:r w:rsidR="00036229">
              <w:rPr>
                <w:sz w:val="22"/>
                <w:szCs w:val="22"/>
              </w:rPr>
              <w:t xml:space="preserve">il un défrichement important ?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c>
          <w:tcPr>
            <w:tcW w:w="250" w:type="pct"/>
          </w:tcPr>
          <w:p w:rsidR="003D1623" w:rsidRPr="00D47C37" w:rsidRDefault="003D1623" w:rsidP="00A76F4A">
            <w:pPr>
              <w:ind w:right="12"/>
              <w:rPr>
                <w:sz w:val="22"/>
                <w:szCs w:val="22"/>
              </w:rPr>
            </w:pPr>
            <w:r w:rsidRPr="00D47C37">
              <w:rPr>
                <w:sz w:val="22"/>
                <w:szCs w:val="22"/>
              </w:rPr>
              <w:t>3.</w:t>
            </w:r>
          </w:p>
        </w:tc>
        <w:tc>
          <w:tcPr>
            <w:tcW w:w="3037" w:type="pct"/>
          </w:tcPr>
          <w:p w:rsidR="00FD4E69" w:rsidRPr="00D47C37" w:rsidRDefault="003D1623" w:rsidP="00A76F4A">
            <w:pPr>
              <w:ind w:right="12"/>
              <w:rPr>
                <w:sz w:val="22"/>
                <w:szCs w:val="22"/>
              </w:rPr>
            </w:pPr>
            <w:r w:rsidRPr="00D47C37">
              <w:rPr>
                <w:sz w:val="22"/>
                <w:szCs w:val="22"/>
              </w:rPr>
              <w:t xml:space="preserve"> Le projet peut-il occasionner des variations du niveau de la nappe d’eau souterraine</w:t>
            </w:r>
            <w:r w:rsidR="00036229">
              <w:rPr>
                <w:sz w:val="22"/>
                <w:szCs w:val="22"/>
              </w:rPr>
              <w:t xml:space="preserve"> ou du débit des cours d’eau ?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c>
          <w:tcPr>
            <w:tcW w:w="250" w:type="pct"/>
          </w:tcPr>
          <w:p w:rsidR="003D1623" w:rsidRPr="00D47C37" w:rsidRDefault="003D1623" w:rsidP="00A76F4A">
            <w:pPr>
              <w:ind w:right="12"/>
              <w:rPr>
                <w:sz w:val="22"/>
                <w:szCs w:val="22"/>
              </w:rPr>
            </w:pPr>
            <w:r w:rsidRPr="00D47C37">
              <w:rPr>
                <w:sz w:val="22"/>
                <w:szCs w:val="22"/>
              </w:rPr>
              <w:t>4.</w:t>
            </w:r>
          </w:p>
        </w:tc>
        <w:tc>
          <w:tcPr>
            <w:tcW w:w="3037" w:type="pct"/>
          </w:tcPr>
          <w:p w:rsidR="00FD4E69" w:rsidRPr="00D47C37" w:rsidRDefault="003D1623" w:rsidP="00A76F4A">
            <w:pPr>
              <w:ind w:right="12"/>
              <w:rPr>
                <w:sz w:val="22"/>
                <w:szCs w:val="22"/>
              </w:rPr>
            </w:pPr>
            <w:r w:rsidRPr="00D47C37">
              <w:rPr>
                <w:sz w:val="22"/>
                <w:szCs w:val="22"/>
              </w:rPr>
              <w:t xml:space="preserve"> Le projet peut-il entraîner une diminution qualitative et quantitative des ressources naturelles (eau, bois, faune, flo</w:t>
            </w:r>
            <w:r w:rsidR="00036229">
              <w:rPr>
                <w:sz w:val="22"/>
                <w:szCs w:val="22"/>
              </w:rPr>
              <w:t>re, extraction minière, etc.)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3D1623" w:rsidRPr="00FD4E69" w:rsidTr="006162B1">
        <w:tc>
          <w:tcPr>
            <w:tcW w:w="5000" w:type="pct"/>
            <w:gridSpan w:val="5"/>
          </w:tcPr>
          <w:p w:rsidR="003D1623" w:rsidRPr="00D47C37" w:rsidRDefault="003D1623" w:rsidP="00A76F4A">
            <w:pPr>
              <w:ind w:right="12"/>
              <w:rPr>
                <w:sz w:val="22"/>
                <w:szCs w:val="22"/>
              </w:rPr>
            </w:pPr>
            <w:r w:rsidRPr="00D47C37">
              <w:rPr>
                <w:sz w:val="22"/>
                <w:szCs w:val="22"/>
              </w:rPr>
              <w:t>Diversité biologique</w:t>
            </w:r>
          </w:p>
        </w:tc>
      </w:tr>
      <w:tr w:rsidR="00F03935" w:rsidRPr="00AE2190" w:rsidTr="006162B1">
        <w:tc>
          <w:tcPr>
            <w:tcW w:w="250" w:type="pct"/>
          </w:tcPr>
          <w:p w:rsidR="003D1623" w:rsidRPr="00D47C37" w:rsidRDefault="003D1623" w:rsidP="00A76F4A">
            <w:pPr>
              <w:ind w:right="12"/>
              <w:rPr>
                <w:sz w:val="22"/>
                <w:szCs w:val="22"/>
              </w:rPr>
            </w:pPr>
            <w:r w:rsidRPr="00D47C37">
              <w:rPr>
                <w:sz w:val="22"/>
                <w:szCs w:val="22"/>
              </w:rPr>
              <w:t>5.</w:t>
            </w:r>
          </w:p>
        </w:tc>
        <w:tc>
          <w:tcPr>
            <w:tcW w:w="3037" w:type="pct"/>
          </w:tcPr>
          <w:p w:rsidR="00FD4E69" w:rsidRPr="00D47C37" w:rsidRDefault="003D1623" w:rsidP="00A76F4A">
            <w:pPr>
              <w:ind w:right="12"/>
              <w:rPr>
                <w:sz w:val="22"/>
                <w:szCs w:val="22"/>
              </w:rPr>
            </w:pPr>
            <w:r w:rsidRPr="00D47C37">
              <w:rPr>
                <w:sz w:val="22"/>
                <w:szCs w:val="22"/>
              </w:rPr>
              <w:t>Le projet risque-t-il de causer des effets sur des espèces rares, vulnérables et/ou importants du point de vue économique, écologique, culturel</w:t>
            </w:r>
            <w:r w:rsidR="00A05098" w:rsidRPr="00D47C37">
              <w:rPr>
                <w:sz w:val="22"/>
                <w:szCs w:val="22"/>
              </w:rPr>
              <w:t>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c>
          <w:tcPr>
            <w:tcW w:w="250" w:type="pct"/>
          </w:tcPr>
          <w:p w:rsidR="003D1623" w:rsidRPr="00D47C37" w:rsidRDefault="003D1623" w:rsidP="00A76F4A">
            <w:pPr>
              <w:ind w:right="12"/>
              <w:rPr>
                <w:sz w:val="22"/>
                <w:szCs w:val="22"/>
              </w:rPr>
            </w:pPr>
            <w:r w:rsidRPr="00D47C37">
              <w:rPr>
                <w:sz w:val="22"/>
                <w:szCs w:val="22"/>
              </w:rPr>
              <w:t>6.</w:t>
            </w:r>
          </w:p>
        </w:tc>
        <w:tc>
          <w:tcPr>
            <w:tcW w:w="3037" w:type="pct"/>
          </w:tcPr>
          <w:p w:rsidR="00FD4E69" w:rsidRPr="00D47C37" w:rsidRDefault="003D1623" w:rsidP="00A76F4A">
            <w:pPr>
              <w:ind w:right="12"/>
              <w:rPr>
                <w:sz w:val="22"/>
                <w:szCs w:val="22"/>
              </w:rPr>
            </w:pPr>
            <w:r w:rsidRPr="00D47C37">
              <w:rPr>
                <w:sz w:val="22"/>
                <w:szCs w:val="22"/>
              </w:rPr>
              <w:t>Y a-t-il des zones de sensibilité environnementale qui pourraient être affectées négativement par le projet ? (Forêt, zones humides, lacs, rivières, zones d'inondation saisonnière…)</w:t>
            </w:r>
            <w:r w:rsidR="00A05098" w:rsidRPr="00D47C37">
              <w:rPr>
                <w:sz w:val="22"/>
                <w:szCs w:val="22"/>
              </w:rPr>
              <w:t>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3D1623" w:rsidRPr="00FD4E69" w:rsidTr="006162B1">
        <w:tc>
          <w:tcPr>
            <w:tcW w:w="5000" w:type="pct"/>
            <w:gridSpan w:val="5"/>
          </w:tcPr>
          <w:p w:rsidR="003D1623" w:rsidRPr="00D47C37" w:rsidRDefault="003D1623" w:rsidP="00A76F4A">
            <w:pPr>
              <w:ind w:right="12"/>
              <w:rPr>
                <w:sz w:val="22"/>
                <w:szCs w:val="22"/>
              </w:rPr>
            </w:pPr>
            <w:r w:rsidRPr="00D47C37">
              <w:rPr>
                <w:sz w:val="22"/>
                <w:szCs w:val="22"/>
              </w:rPr>
              <w:t>Zones protégées</w:t>
            </w:r>
          </w:p>
        </w:tc>
      </w:tr>
      <w:tr w:rsidR="00F03935" w:rsidRPr="00AE2190" w:rsidTr="006162B1">
        <w:tc>
          <w:tcPr>
            <w:tcW w:w="250" w:type="pct"/>
          </w:tcPr>
          <w:p w:rsidR="003D1623" w:rsidRPr="00D47C37" w:rsidRDefault="003D1623" w:rsidP="00A76F4A">
            <w:pPr>
              <w:ind w:right="12"/>
              <w:rPr>
                <w:sz w:val="22"/>
                <w:szCs w:val="22"/>
              </w:rPr>
            </w:pPr>
            <w:r w:rsidRPr="00D47C37">
              <w:rPr>
                <w:sz w:val="22"/>
                <w:szCs w:val="22"/>
              </w:rPr>
              <w:t>7.</w:t>
            </w:r>
          </w:p>
        </w:tc>
        <w:tc>
          <w:tcPr>
            <w:tcW w:w="3037" w:type="pct"/>
          </w:tcPr>
          <w:p w:rsidR="001A0C76" w:rsidRPr="00D47C37" w:rsidRDefault="003D1623" w:rsidP="00A76F4A">
            <w:pPr>
              <w:autoSpaceDE w:val="0"/>
              <w:autoSpaceDN w:val="0"/>
              <w:adjustRightInd w:val="0"/>
              <w:ind w:right="12"/>
              <w:rPr>
                <w:sz w:val="22"/>
                <w:szCs w:val="22"/>
                <w:lang w:eastAsia="en-US"/>
              </w:rPr>
            </w:pPr>
            <w:r w:rsidRPr="00D47C37">
              <w:rPr>
                <w:sz w:val="22"/>
                <w:szCs w:val="22"/>
              </w:rPr>
              <w:t xml:space="preserve"> </w:t>
            </w:r>
            <w:r w:rsidR="001A0C76" w:rsidRPr="00D47C37">
              <w:rPr>
                <w:sz w:val="22"/>
                <w:szCs w:val="22"/>
                <w:lang w:eastAsia="en-US"/>
              </w:rPr>
              <w:t>La zone se trouvant autour du site du projet se trouve-t-elle à l’intérieur ou est-elle adjacente à des aires</w:t>
            </w:r>
          </w:p>
          <w:p w:rsidR="001A0C76" w:rsidRPr="00D47C37" w:rsidRDefault="001A0C76" w:rsidP="00A76F4A">
            <w:pPr>
              <w:autoSpaceDE w:val="0"/>
              <w:autoSpaceDN w:val="0"/>
              <w:adjustRightInd w:val="0"/>
              <w:ind w:right="12"/>
              <w:rPr>
                <w:sz w:val="22"/>
                <w:szCs w:val="22"/>
                <w:lang w:eastAsia="en-US"/>
              </w:rPr>
            </w:pPr>
            <w:r w:rsidRPr="00D47C37">
              <w:rPr>
                <w:sz w:val="22"/>
                <w:szCs w:val="22"/>
                <w:lang w:eastAsia="en-US"/>
              </w:rPr>
              <w:t>protégées quelconques tracées par le gouvernement (parc national, réserve nationale, site d’héritage</w:t>
            </w:r>
          </w:p>
          <w:p w:rsidR="003D1623" w:rsidRPr="00D47C37" w:rsidRDefault="002E3D3C" w:rsidP="00A76F4A">
            <w:pPr>
              <w:ind w:right="12"/>
              <w:rPr>
                <w:sz w:val="22"/>
                <w:szCs w:val="22"/>
              </w:rPr>
            </w:pPr>
            <w:r w:rsidRPr="00D47C37">
              <w:rPr>
                <w:sz w:val="22"/>
                <w:szCs w:val="22"/>
                <w:lang w:val="en-US" w:eastAsia="en-US"/>
              </w:rPr>
              <w:t>Mondial?</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c>
          <w:tcPr>
            <w:tcW w:w="250" w:type="pct"/>
          </w:tcPr>
          <w:p w:rsidR="002E3D3C" w:rsidRPr="00D47C37" w:rsidRDefault="00A3625C" w:rsidP="00A76F4A">
            <w:pPr>
              <w:ind w:right="12"/>
              <w:rPr>
                <w:sz w:val="22"/>
                <w:szCs w:val="22"/>
              </w:rPr>
            </w:pPr>
            <w:r w:rsidRPr="00D47C37">
              <w:rPr>
                <w:sz w:val="22"/>
                <w:szCs w:val="22"/>
              </w:rPr>
              <w:t>8.</w:t>
            </w:r>
          </w:p>
        </w:tc>
        <w:tc>
          <w:tcPr>
            <w:tcW w:w="3037" w:type="pct"/>
          </w:tcPr>
          <w:p w:rsidR="002E3D3C" w:rsidRPr="00D47C37" w:rsidRDefault="002E3D3C" w:rsidP="00A76F4A">
            <w:pPr>
              <w:autoSpaceDE w:val="0"/>
              <w:autoSpaceDN w:val="0"/>
              <w:adjustRightInd w:val="0"/>
              <w:ind w:right="12"/>
              <w:rPr>
                <w:sz w:val="22"/>
                <w:szCs w:val="22"/>
                <w:lang w:eastAsia="en-US"/>
              </w:rPr>
            </w:pPr>
            <w:r w:rsidRPr="00D47C37">
              <w:rPr>
                <w:sz w:val="22"/>
                <w:szCs w:val="22"/>
                <w:lang w:eastAsia="en-US"/>
              </w:rPr>
              <w:t>Si l’exécution/mise en service du sous projet s’effectuent en dehors d’une aire protégée (ou dans ses</w:t>
            </w:r>
          </w:p>
          <w:p w:rsidR="002E3D3C" w:rsidRPr="00D47C37" w:rsidRDefault="002E3D3C" w:rsidP="00A76F4A">
            <w:pPr>
              <w:autoSpaceDE w:val="0"/>
              <w:autoSpaceDN w:val="0"/>
              <w:adjustRightInd w:val="0"/>
              <w:ind w:right="12"/>
              <w:rPr>
                <w:sz w:val="22"/>
                <w:szCs w:val="22"/>
                <w:lang w:eastAsia="en-US"/>
              </w:rPr>
            </w:pPr>
            <w:r w:rsidRPr="00D47C37">
              <w:rPr>
                <w:sz w:val="22"/>
                <w:szCs w:val="22"/>
                <w:lang w:eastAsia="en-US"/>
              </w:rPr>
              <w:t>environs), est-elle susceptible d’affecter négativement l’écologie de l’aire protégée (exemple :</w:t>
            </w:r>
          </w:p>
          <w:p w:rsidR="002E3D3C" w:rsidRPr="00D47C37" w:rsidRDefault="002E3D3C" w:rsidP="00A76F4A">
            <w:pPr>
              <w:autoSpaceDE w:val="0"/>
              <w:autoSpaceDN w:val="0"/>
              <w:adjustRightInd w:val="0"/>
              <w:ind w:right="12"/>
              <w:rPr>
                <w:sz w:val="22"/>
                <w:szCs w:val="22"/>
              </w:rPr>
            </w:pPr>
            <w:r w:rsidRPr="00D47C37">
              <w:rPr>
                <w:sz w:val="22"/>
                <w:szCs w:val="22"/>
                <w:lang w:eastAsia="en-US"/>
              </w:rPr>
              <w:t>interférence les routes de migration de mammifères ou d’oiseaux)?</w:t>
            </w:r>
          </w:p>
        </w:tc>
        <w:tc>
          <w:tcPr>
            <w:tcW w:w="289" w:type="pct"/>
          </w:tcPr>
          <w:p w:rsidR="002E3D3C" w:rsidRPr="00D47C37" w:rsidRDefault="002E3D3C" w:rsidP="00A76F4A">
            <w:pPr>
              <w:ind w:right="12"/>
              <w:rPr>
                <w:sz w:val="22"/>
                <w:szCs w:val="22"/>
              </w:rPr>
            </w:pPr>
          </w:p>
        </w:tc>
        <w:tc>
          <w:tcPr>
            <w:tcW w:w="308" w:type="pct"/>
          </w:tcPr>
          <w:p w:rsidR="002E3D3C" w:rsidRPr="00D47C37" w:rsidRDefault="002E3D3C" w:rsidP="00A76F4A">
            <w:pPr>
              <w:ind w:right="12"/>
              <w:rPr>
                <w:sz w:val="22"/>
                <w:szCs w:val="22"/>
              </w:rPr>
            </w:pPr>
          </w:p>
        </w:tc>
        <w:tc>
          <w:tcPr>
            <w:tcW w:w="1116" w:type="pct"/>
          </w:tcPr>
          <w:p w:rsidR="002E3D3C" w:rsidRPr="00D47C37" w:rsidRDefault="002E3D3C" w:rsidP="00A76F4A">
            <w:pPr>
              <w:ind w:right="12"/>
              <w:rPr>
                <w:sz w:val="22"/>
                <w:szCs w:val="22"/>
              </w:rPr>
            </w:pPr>
          </w:p>
        </w:tc>
      </w:tr>
      <w:tr w:rsidR="003D1623" w:rsidRPr="00FD4E69" w:rsidTr="006162B1">
        <w:tc>
          <w:tcPr>
            <w:tcW w:w="5000" w:type="pct"/>
            <w:gridSpan w:val="5"/>
          </w:tcPr>
          <w:p w:rsidR="003D1623" w:rsidRPr="00D47C37" w:rsidRDefault="003D1623" w:rsidP="00A76F4A">
            <w:pPr>
              <w:ind w:right="12"/>
              <w:rPr>
                <w:sz w:val="22"/>
                <w:szCs w:val="22"/>
              </w:rPr>
            </w:pPr>
            <w:r w:rsidRPr="00D47C37">
              <w:rPr>
                <w:sz w:val="22"/>
                <w:szCs w:val="22"/>
              </w:rPr>
              <w:t>Géologie et sols</w:t>
            </w:r>
          </w:p>
        </w:tc>
      </w:tr>
      <w:tr w:rsidR="00F03935" w:rsidRPr="00AE2190" w:rsidTr="006162B1">
        <w:tc>
          <w:tcPr>
            <w:tcW w:w="250" w:type="pct"/>
          </w:tcPr>
          <w:p w:rsidR="003D1623" w:rsidRPr="00D47C37" w:rsidRDefault="00A3625C" w:rsidP="00A76F4A">
            <w:pPr>
              <w:ind w:right="12"/>
              <w:rPr>
                <w:sz w:val="22"/>
                <w:szCs w:val="22"/>
              </w:rPr>
            </w:pPr>
            <w:r w:rsidRPr="00D47C37">
              <w:rPr>
                <w:sz w:val="22"/>
                <w:szCs w:val="22"/>
              </w:rPr>
              <w:t>9.</w:t>
            </w:r>
          </w:p>
        </w:tc>
        <w:tc>
          <w:tcPr>
            <w:tcW w:w="3037" w:type="pct"/>
          </w:tcPr>
          <w:p w:rsidR="00FD4E69" w:rsidRPr="00D47C37" w:rsidRDefault="003D1623" w:rsidP="00A76F4A">
            <w:pPr>
              <w:ind w:right="12"/>
              <w:rPr>
                <w:sz w:val="22"/>
                <w:szCs w:val="22"/>
              </w:rPr>
            </w:pPr>
            <w:r w:rsidRPr="00D47C37">
              <w:rPr>
                <w:sz w:val="22"/>
                <w:szCs w:val="22"/>
              </w:rPr>
              <w:t>Y a-t-il des zones instables d'un point de vue géologique ou des sols susceptibles à de sévères dégradations (érosion, glisseme</w:t>
            </w:r>
            <w:r w:rsidR="00036229">
              <w:rPr>
                <w:sz w:val="22"/>
                <w:szCs w:val="22"/>
              </w:rPr>
              <w:t xml:space="preserve">nt de terrain, effondrement) ?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c>
          <w:tcPr>
            <w:tcW w:w="250" w:type="pct"/>
          </w:tcPr>
          <w:p w:rsidR="003D1623" w:rsidRPr="00D47C37" w:rsidRDefault="00A3625C" w:rsidP="00A76F4A">
            <w:pPr>
              <w:ind w:right="12"/>
              <w:rPr>
                <w:sz w:val="22"/>
                <w:szCs w:val="22"/>
              </w:rPr>
            </w:pPr>
            <w:r w:rsidRPr="00D47C37">
              <w:rPr>
                <w:sz w:val="22"/>
                <w:szCs w:val="22"/>
              </w:rPr>
              <w:t>10.</w:t>
            </w:r>
          </w:p>
        </w:tc>
        <w:tc>
          <w:tcPr>
            <w:tcW w:w="3037" w:type="pct"/>
          </w:tcPr>
          <w:p w:rsidR="00FD4E69" w:rsidRPr="00D47C37" w:rsidRDefault="003D1623" w:rsidP="00A76F4A">
            <w:pPr>
              <w:ind w:right="12"/>
              <w:rPr>
                <w:sz w:val="22"/>
                <w:szCs w:val="22"/>
              </w:rPr>
            </w:pPr>
            <w:r w:rsidRPr="00D47C37">
              <w:rPr>
                <w:sz w:val="22"/>
                <w:szCs w:val="22"/>
              </w:rPr>
              <w:t>Y a-t-il des zo</w:t>
            </w:r>
            <w:r w:rsidR="00036229">
              <w:rPr>
                <w:sz w:val="22"/>
                <w:szCs w:val="22"/>
              </w:rPr>
              <w:t xml:space="preserve">nes à risque de salinisation ?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3D1623" w:rsidRPr="00FD4E69" w:rsidTr="006162B1">
        <w:tc>
          <w:tcPr>
            <w:tcW w:w="5000" w:type="pct"/>
            <w:gridSpan w:val="5"/>
          </w:tcPr>
          <w:p w:rsidR="003D1623" w:rsidRPr="00D47C37" w:rsidRDefault="003D1623" w:rsidP="00A76F4A">
            <w:pPr>
              <w:ind w:right="12"/>
              <w:rPr>
                <w:sz w:val="22"/>
                <w:szCs w:val="22"/>
              </w:rPr>
            </w:pPr>
            <w:r w:rsidRPr="00D47C37">
              <w:rPr>
                <w:sz w:val="22"/>
                <w:szCs w:val="22"/>
              </w:rPr>
              <w:t>Paysage I esthétique</w:t>
            </w:r>
          </w:p>
        </w:tc>
      </w:tr>
      <w:tr w:rsidR="00F03935" w:rsidRPr="00AE2190" w:rsidTr="006162B1">
        <w:tc>
          <w:tcPr>
            <w:tcW w:w="250" w:type="pct"/>
          </w:tcPr>
          <w:p w:rsidR="003D1623" w:rsidRPr="00D47C37" w:rsidRDefault="00A3625C" w:rsidP="00A76F4A">
            <w:pPr>
              <w:ind w:right="12"/>
              <w:rPr>
                <w:sz w:val="22"/>
                <w:szCs w:val="22"/>
              </w:rPr>
            </w:pPr>
            <w:r w:rsidRPr="00D47C37">
              <w:rPr>
                <w:sz w:val="22"/>
                <w:szCs w:val="22"/>
              </w:rPr>
              <w:t>11</w:t>
            </w:r>
          </w:p>
        </w:tc>
        <w:tc>
          <w:tcPr>
            <w:tcW w:w="3037" w:type="pct"/>
          </w:tcPr>
          <w:p w:rsidR="00FD4E69" w:rsidRPr="00D47C37" w:rsidRDefault="006B33C2" w:rsidP="00A76F4A">
            <w:pPr>
              <w:ind w:right="12"/>
              <w:rPr>
                <w:sz w:val="22"/>
                <w:szCs w:val="22"/>
                <w:lang w:eastAsia="en-US"/>
              </w:rPr>
            </w:pPr>
            <w:r w:rsidRPr="00D47C37">
              <w:rPr>
                <w:sz w:val="22"/>
                <w:szCs w:val="22"/>
                <w:lang w:eastAsia="en-US"/>
              </w:rPr>
              <w:t>Y a-t-il possibilité que les travaux affectent négativement l’aspect esthétique du paysage local?</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3D1623" w:rsidRPr="00FD4E69" w:rsidTr="006162B1">
        <w:tc>
          <w:tcPr>
            <w:tcW w:w="5000" w:type="pct"/>
            <w:gridSpan w:val="5"/>
          </w:tcPr>
          <w:p w:rsidR="003D1623" w:rsidRPr="00D47C37" w:rsidRDefault="003D1623" w:rsidP="00A76F4A">
            <w:pPr>
              <w:ind w:right="12"/>
              <w:rPr>
                <w:sz w:val="22"/>
                <w:szCs w:val="22"/>
              </w:rPr>
            </w:pPr>
            <w:r w:rsidRPr="00D47C37">
              <w:rPr>
                <w:sz w:val="22"/>
                <w:szCs w:val="22"/>
              </w:rPr>
              <w:t>Sites historiques, archéologiques ou culturels</w:t>
            </w:r>
          </w:p>
        </w:tc>
      </w:tr>
      <w:tr w:rsidR="00F03935" w:rsidRPr="00AE2190" w:rsidTr="006162B1">
        <w:tc>
          <w:tcPr>
            <w:tcW w:w="250" w:type="pct"/>
          </w:tcPr>
          <w:p w:rsidR="003D1623" w:rsidRPr="00D47C37" w:rsidRDefault="003D1623" w:rsidP="00A76F4A">
            <w:pPr>
              <w:ind w:right="12"/>
              <w:rPr>
                <w:sz w:val="22"/>
                <w:szCs w:val="22"/>
              </w:rPr>
            </w:pPr>
            <w:r w:rsidRPr="00D47C37">
              <w:rPr>
                <w:sz w:val="22"/>
                <w:szCs w:val="22"/>
              </w:rPr>
              <w:t>1</w:t>
            </w:r>
            <w:r w:rsidR="00A3625C" w:rsidRPr="00D47C37">
              <w:rPr>
                <w:sz w:val="22"/>
                <w:szCs w:val="22"/>
              </w:rPr>
              <w:t>2</w:t>
            </w:r>
          </w:p>
        </w:tc>
        <w:tc>
          <w:tcPr>
            <w:tcW w:w="3037" w:type="pct"/>
          </w:tcPr>
          <w:p w:rsidR="002B4E20" w:rsidRPr="00D47C37" w:rsidRDefault="002B4E20" w:rsidP="00A76F4A">
            <w:pPr>
              <w:autoSpaceDE w:val="0"/>
              <w:autoSpaceDN w:val="0"/>
              <w:adjustRightInd w:val="0"/>
              <w:ind w:right="12"/>
              <w:rPr>
                <w:sz w:val="22"/>
                <w:szCs w:val="22"/>
                <w:lang w:eastAsia="en-US"/>
              </w:rPr>
            </w:pPr>
            <w:r w:rsidRPr="00D47C37">
              <w:rPr>
                <w:sz w:val="22"/>
                <w:szCs w:val="22"/>
                <w:lang w:eastAsia="en-US"/>
              </w:rPr>
              <w:t>Sur la base des sources disponibles, des consultations avec les autorités locales, des connaissances et/ou</w:t>
            </w:r>
            <w:r w:rsidR="00806439" w:rsidRPr="00D47C37">
              <w:rPr>
                <w:sz w:val="22"/>
                <w:szCs w:val="22"/>
                <w:lang w:eastAsia="en-US"/>
              </w:rPr>
              <w:t xml:space="preserve"> </w:t>
            </w:r>
            <w:r w:rsidRPr="00D47C37">
              <w:rPr>
                <w:sz w:val="22"/>
                <w:szCs w:val="22"/>
                <w:lang w:eastAsia="en-US"/>
              </w:rPr>
              <w:t>observations locales, le projet pourrait-il altérer des sites historiques, archéologiques ou d’héritage culture</w:t>
            </w:r>
          </w:p>
          <w:p w:rsidR="00FD4E69" w:rsidRPr="00D47C37" w:rsidRDefault="002B4E20" w:rsidP="00A76F4A">
            <w:pPr>
              <w:ind w:right="12"/>
              <w:rPr>
                <w:sz w:val="22"/>
                <w:szCs w:val="22"/>
                <w:lang w:eastAsia="en-US"/>
              </w:rPr>
            </w:pPr>
            <w:r w:rsidRPr="00D47C37">
              <w:rPr>
                <w:sz w:val="22"/>
                <w:szCs w:val="22"/>
                <w:lang w:eastAsia="en-US"/>
              </w:rPr>
              <w:t>ou faudrait-il faire des fouilles tout près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3D1623" w:rsidRPr="00FD4E69" w:rsidTr="006162B1">
        <w:tc>
          <w:tcPr>
            <w:tcW w:w="5000" w:type="pct"/>
            <w:gridSpan w:val="5"/>
          </w:tcPr>
          <w:p w:rsidR="003D1623" w:rsidRPr="00D47C37" w:rsidRDefault="003D1623" w:rsidP="00A76F4A">
            <w:pPr>
              <w:ind w:right="12"/>
              <w:rPr>
                <w:sz w:val="22"/>
                <w:szCs w:val="22"/>
              </w:rPr>
            </w:pPr>
            <w:r w:rsidRPr="00D47C37">
              <w:rPr>
                <w:sz w:val="22"/>
                <w:szCs w:val="22"/>
              </w:rPr>
              <w:t xml:space="preserve"> </w:t>
            </w:r>
            <w:r w:rsidR="0081249B" w:rsidRPr="00D47C37">
              <w:rPr>
                <w:sz w:val="22"/>
                <w:szCs w:val="22"/>
              </w:rPr>
              <w:t>Compensation et ou acquisition des terres</w:t>
            </w:r>
          </w:p>
        </w:tc>
      </w:tr>
      <w:tr w:rsidR="00F03935" w:rsidRPr="00AE2190" w:rsidTr="006162B1">
        <w:tc>
          <w:tcPr>
            <w:tcW w:w="250" w:type="pct"/>
          </w:tcPr>
          <w:p w:rsidR="00A246B0" w:rsidRPr="00D47C37" w:rsidRDefault="00A3625C" w:rsidP="00A76F4A">
            <w:pPr>
              <w:ind w:right="12"/>
              <w:rPr>
                <w:sz w:val="22"/>
                <w:szCs w:val="22"/>
              </w:rPr>
            </w:pPr>
            <w:r w:rsidRPr="00D47C37">
              <w:rPr>
                <w:sz w:val="22"/>
                <w:szCs w:val="22"/>
              </w:rPr>
              <w:t>13</w:t>
            </w:r>
          </w:p>
        </w:tc>
        <w:tc>
          <w:tcPr>
            <w:tcW w:w="3037" w:type="pct"/>
          </w:tcPr>
          <w:p w:rsidR="00FD4E69" w:rsidRPr="00D47C37" w:rsidRDefault="00A246B0" w:rsidP="00A76F4A">
            <w:pPr>
              <w:autoSpaceDE w:val="0"/>
              <w:autoSpaceDN w:val="0"/>
              <w:adjustRightInd w:val="0"/>
              <w:ind w:right="12"/>
              <w:rPr>
                <w:sz w:val="22"/>
                <w:szCs w:val="22"/>
                <w:lang w:eastAsia="en-US"/>
              </w:rPr>
            </w:pPr>
            <w:r w:rsidRPr="00D47C37">
              <w:rPr>
                <w:sz w:val="22"/>
                <w:szCs w:val="22"/>
                <w:lang w:eastAsia="en-US"/>
              </w:rPr>
              <w:t>L’acquisition de terres ou la perte, le déni ou la restriction d’accès au terrain ou aux autres ressources</w:t>
            </w:r>
            <w:r w:rsidR="00AF603A" w:rsidRPr="00D47C37">
              <w:rPr>
                <w:sz w:val="22"/>
                <w:szCs w:val="22"/>
                <w:lang w:eastAsia="en-US"/>
              </w:rPr>
              <w:t xml:space="preserve"> </w:t>
            </w:r>
            <w:r w:rsidR="001E6141" w:rsidRPr="00D47C37">
              <w:rPr>
                <w:sz w:val="22"/>
                <w:szCs w:val="22"/>
                <w:lang w:eastAsia="en-US"/>
              </w:rPr>
              <w:t>Économiques</w:t>
            </w:r>
            <w:r w:rsidRPr="00D47C37">
              <w:rPr>
                <w:sz w:val="22"/>
                <w:szCs w:val="22"/>
                <w:lang w:eastAsia="en-US"/>
              </w:rPr>
              <w:t xml:space="preserve"> seront-</w:t>
            </w:r>
            <w:r w:rsidR="00036229">
              <w:rPr>
                <w:sz w:val="22"/>
                <w:szCs w:val="22"/>
                <w:lang w:eastAsia="en-US"/>
              </w:rPr>
              <w:t>ils le fait du projet concerné?</w:t>
            </w:r>
          </w:p>
        </w:tc>
        <w:tc>
          <w:tcPr>
            <w:tcW w:w="289" w:type="pct"/>
          </w:tcPr>
          <w:p w:rsidR="00A246B0" w:rsidRPr="00D47C37" w:rsidRDefault="00A246B0" w:rsidP="00A76F4A">
            <w:pPr>
              <w:ind w:right="12"/>
              <w:rPr>
                <w:sz w:val="22"/>
                <w:szCs w:val="22"/>
              </w:rPr>
            </w:pPr>
          </w:p>
        </w:tc>
        <w:tc>
          <w:tcPr>
            <w:tcW w:w="308" w:type="pct"/>
          </w:tcPr>
          <w:p w:rsidR="00A246B0" w:rsidRPr="00D47C37" w:rsidRDefault="00A246B0" w:rsidP="00A76F4A">
            <w:pPr>
              <w:ind w:right="12"/>
              <w:rPr>
                <w:sz w:val="22"/>
                <w:szCs w:val="22"/>
              </w:rPr>
            </w:pPr>
          </w:p>
        </w:tc>
        <w:tc>
          <w:tcPr>
            <w:tcW w:w="1116" w:type="pct"/>
          </w:tcPr>
          <w:p w:rsidR="00A246B0" w:rsidRPr="00D47C37" w:rsidRDefault="00A246B0" w:rsidP="00A76F4A">
            <w:pPr>
              <w:ind w:right="12"/>
              <w:rPr>
                <w:sz w:val="22"/>
                <w:szCs w:val="22"/>
              </w:rPr>
            </w:pPr>
          </w:p>
        </w:tc>
      </w:tr>
      <w:tr w:rsidR="00F03935" w:rsidRPr="00AE2190" w:rsidTr="006162B1">
        <w:tc>
          <w:tcPr>
            <w:tcW w:w="250" w:type="pct"/>
          </w:tcPr>
          <w:p w:rsidR="003D1623" w:rsidRPr="00D47C37" w:rsidRDefault="003D1623" w:rsidP="00A76F4A">
            <w:pPr>
              <w:ind w:right="12"/>
              <w:rPr>
                <w:sz w:val="22"/>
                <w:szCs w:val="22"/>
              </w:rPr>
            </w:pPr>
            <w:r w:rsidRPr="00D47C37">
              <w:rPr>
                <w:sz w:val="22"/>
                <w:szCs w:val="22"/>
              </w:rPr>
              <w:t>1</w:t>
            </w:r>
            <w:r w:rsidR="00A3625C" w:rsidRPr="00D47C37">
              <w:rPr>
                <w:sz w:val="22"/>
                <w:szCs w:val="22"/>
              </w:rPr>
              <w:t>4</w:t>
            </w:r>
            <w:r w:rsidRPr="00D47C37">
              <w:rPr>
                <w:sz w:val="22"/>
                <w:szCs w:val="22"/>
              </w:rPr>
              <w:t>.</w:t>
            </w:r>
          </w:p>
        </w:tc>
        <w:tc>
          <w:tcPr>
            <w:tcW w:w="3037" w:type="pct"/>
          </w:tcPr>
          <w:p w:rsidR="00FD4E69" w:rsidRPr="00D47C37" w:rsidRDefault="003D1623" w:rsidP="00A76F4A">
            <w:pPr>
              <w:ind w:right="12"/>
              <w:rPr>
                <w:sz w:val="22"/>
                <w:szCs w:val="22"/>
              </w:rPr>
            </w:pPr>
            <w:r w:rsidRPr="00D47C37">
              <w:rPr>
                <w:sz w:val="22"/>
                <w:szCs w:val="22"/>
              </w:rPr>
              <w:t>Est-ce que le projet déclenchera la perte temporaire ou permanente de cultures</w:t>
            </w:r>
            <w:r w:rsidR="00036229">
              <w:rPr>
                <w:sz w:val="22"/>
                <w:szCs w:val="22"/>
              </w:rPr>
              <w:t xml:space="preserve">, terres agricoles, pâturage ?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1E62BC" w:rsidRPr="00FD4E69" w:rsidTr="006162B1">
        <w:tc>
          <w:tcPr>
            <w:tcW w:w="5000" w:type="pct"/>
            <w:gridSpan w:val="5"/>
          </w:tcPr>
          <w:p w:rsidR="001E62BC" w:rsidRPr="00D47C37" w:rsidRDefault="001E62BC" w:rsidP="00A76F4A">
            <w:pPr>
              <w:ind w:right="12"/>
              <w:rPr>
                <w:sz w:val="22"/>
                <w:szCs w:val="22"/>
              </w:rPr>
            </w:pPr>
            <w:r w:rsidRPr="00D47C37">
              <w:rPr>
                <w:b/>
                <w:bCs/>
                <w:sz w:val="22"/>
                <w:szCs w:val="22"/>
                <w:lang w:eastAsia="en-US"/>
              </w:rPr>
              <w:t>Perte de récoltes, arbres fruitiers, et infrastructures domestiques</w:t>
            </w:r>
          </w:p>
        </w:tc>
      </w:tr>
      <w:tr w:rsidR="0077247E" w:rsidRPr="00CF7258" w:rsidTr="006162B1">
        <w:trPr>
          <w:trHeight w:val="295"/>
        </w:trPr>
        <w:tc>
          <w:tcPr>
            <w:tcW w:w="3287" w:type="pct"/>
            <w:gridSpan w:val="2"/>
          </w:tcPr>
          <w:p w:rsidR="00FD4E69" w:rsidRPr="00D47C37" w:rsidRDefault="00EA0BCD" w:rsidP="00A76F4A">
            <w:pPr>
              <w:autoSpaceDE w:val="0"/>
              <w:autoSpaceDN w:val="0"/>
              <w:adjustRightInd w:val="0"/>
              <w:ind w:right="12"/>
              <w:rPr>
                <w:sz w:val="22"/>
                <w:szCs w:val="22"/>
                <w:lang w:eastAsia="en-US"/>
              </w:rPr>
            </w:pPr>
            <w:r w:rsidRPr="00D47C37">
              <w:rPr>
                <w:sz w:val="22"/>
                <w:szCs w:val="22"/>
                <w:lang w:eastAsia="en-US"/>
              </w:rPr>
              <w:t>Le projet concerné provoquera-t-il la perte permanente ou temporaire de récoltes, arbres fruitiers, ou</w:t>
            </w:r>
            <w:r w:rsidR="00725162" w:rsidRPr="00D47C37">
              <w:rPr>
                <w:sz w:val="22"/>
                <w:szCs w:val="22"/>
                <w:lang w:eastAsia="en-US"/>
              </w:rPr>
              <w:t xml:space="preserve"> </w:t>
            </w:r>
            <w:r w:rsidRPr="00D47C37">
              <w:rPr>
                <w:sz w:val="22"/>
                <w:szCs w:val="22"/>
                <w:lang w:eastAsia="en-US"/>
              </w:rPr>
              <w:t>infrastructures domestiques ?</w:t>
            </w:r>
          </w:p>
        </w:tc>
        <w:tc>
          <w:tcPr>
            <w:tcW w:w="289" w:type="pct"/>
          </w:tcPr>
          <w:p w:rsidR="001E62BC" w:rsidRPr="00D47C37" w:rsidRDefault="001E62BC" w:rsidP="00A76F4A">
            <w:pPr>
              <w:ind w:right="12"/>
              <w:rPr>
                <w:sz w:val="22"/>
                <w:szCs w:val="22"/>
              </w:rPr>
            </w:pPr>
          </w:p>
        </w:tc>
        <w:tc>
          <w:tcPr>
            <w:tcW w:w="308" w:type="pct"/>
          </w:tcPr>
          <w:p w:rsidR="001E62BC" w:rsidRPr="00D47C37" w:rsidRDefault="001E62BC" w:rsidP="00A76F4A">
            <w:pPr>
              <w:ind w:right="12"/>
              <w:rPr>
                <w:sz w:val="22"/>
                <w:szCs w:val="22"/>
              </w:rPr>
            </w:pPr>
          </w:p>
        </w:tc>
        <w:tc>
          <w:tcPr>
            <w:tcW w:w="1116" w:type="pct"/>
          </w:tcPr>
          <w:p w:rsidR="001E62BC" w:rsidRPr="00D47C37" w:rsidRDefault="001E62BC" w:rsidP="00A76F4A">
            <w:pPr>
              <w:ind w:right="12"/>
              <w:rPr>
                <w:sz w:val="22"/>
                <w:szCs w:val="22"/>
              </w:rPr>
            </w:pPr>
          </w:p>
        </w:tc>
      </w:tr>
      <w:tr w:rsidR="003D1623" w:rsidRPr="00FD4E69" w:rsidTr="006162B1">
        <w:trPr>
          <w:trHeight w:val="67"/>
        </w:trPr>
        <w:tc>
          <w:tcPr>
            <w:tcW w:w="5000" w:type="pct"/>
            <w:gridSpan w:val="5"/>
          </w:tcPr>
          <w:p w:rsidR="003D1623" w:rsidRPr="00D47C37" w:rsidRDefault="003D1623" w:rsidP="00A76F4A">
            <w:pPr>
              <w:ind w:right="12"/>
              <w:rPr>
                <w:sz w:val="22"/>
                <w:szCs w:val="22"/>
              </w:rPr>
            </w:pPr>
            <w:r w:rsidRPr="00D47C37">
              <w:rPr>
                <w:sz w:val="22"/>
                <w:szCs w:val="22"/>
              </w:rPr>
              <w:t>Pollution et nuisances</w:t>
            </w:r>
          </w:p>
        </w:tc>
      </w:tr>
      <w:tr w:rsidR="00F03935" w:rsidRPr="00AE2190" w:rsidTr="006162B1">
        <w:trPr>
          <w:trHeight w:val="295"/>
        </w:trPr>
        <w:tc>
          <w:tcPr>
            <w:tcW w:w="250" w:type="pct"/>
          </w:tcPr>
          <w:p w:rsidR="003D1623" w:rsidRPr="00D47C37" w:rsidRDefault="003D1623" w:rsidP="00A76F4A">
            <w:pPr>
              <w:ind w:right="12"/>
              <w:rPr>
                <w:sz w:val="22"/>
                <w:szCs w:val="22"/>
              </w:rPr>
            </w:pPr>
            <w:r w:rsidRPr="00D47C37">
              <w:rPr>
                <w:sz w:val="22"/>
                <w:szCs w:val="22"/>
              </w:rPr>
              <w:t>1</w:t>
            </w:r>
            <w:r w:rsidR="00A3625C" w:rsidRPr="00D47C37">
              <w:rPr>
                <w:sz w:val="22"/>
                <w:szCs w:val="22"/>
              </w:rPr>
              <w:t>5</w:t>
            </w:r>
          </w:p>
        </w:tc>
        <w:tc>
          <w:tcPr>
            <w:tcW w:w="3037" w:type="pct"/>
          </w:tcPr>
          <w:p w:rsidR="00FD4E69" w:rsidRPr="00D47C37" w:rsidRDefault="003D1623" w:rsidP="00A76F4A">
            <w:pPr>
              <w:ind w:right="12"/>
              <w:rPr>
                <w:sz w:val="22"/>
                <w:szCs w:val="22"/>
              </w:rPr>
            </w:pPr>
            <w:r w:rsidRPr="00D47C37">
              <w:rPr>
                <w:sz w:val="22"/>
                <w:szCs w:val="22"/>
              </w:rPr>
              <w:t>Le projet pourrait-il occasionner un niv</w:t>
            </w:r>
            <w:r w:rsidR="00036229">
              <w:rPr>
                <w:sz w:val="22"/>
                <w:szCs w:val="22"/>
              </w:rPr>
              <w:t>eau élevé de bruit?</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rPr>
          <w:trHeight w:val="295"/>
        </w:trPr>
        <w:tc>
          <w:tcPr>
            <w:tcW w:w="250" w:type="pct"/>
          </w:tcPr>
          <w:p w:rsidR="003D1623" w:rsidRPr="00D47C37" w:rsidRDefault="003D1623" w:rsidP="00A76F4A">
            <w:pPr>
              <w:ind w:right="12"/>
              <w:rPr>
                <w:sz w:val="22"/>
                <w:szCs w:val="22"/>
              </w:rPr>
            </w:pPr>
            <w:r w:rsidRPr="00D47C37">
              <w:rPr>
                <w:sz w:val="22"/>
                <w:szCs w:val="22"/>
              </w:rPr>
              <w:t>1</w:t>
            </w:r>
            <w:r w:rsidR="00A3625C" w:rsidRPr="00D47C37">
              <w:rPr>
                <w:sz w:val="22"/>
                <w:szCs w:val="22"/>
              </w:rPr>
              <w:t>6</w:t>
            </w:r>
          </w:p>
        </w:tc>
        <w:tc>
          <w:tcPr>
            <w:tcW w:w="3037" w:type="pct"/>
          </w:tcPr>
          <w:p w:rsidR="00FD4E69" w:rsidRPr="00D47C37" w:rsidRDefault="003D1623" w:rsidP="00A76F4A">
            <w:pPr>
              <w:ind w:right="12"/>
              <w:rPr>
                <w:sz w:val="22"/>
                <w:szCs w:val="22"/>
              </w:rPr>
            </w:pPr>
            <w:r w:rsidRPr="00D47C37">
              <w:rPr>
                <w:sz w:val="22"/>
                <w:szCs w:val="22"/>
              </w:rPr>
              <w:t>Le projet risque-t-il de générer des déchets solides et liquides ? Si « oui » recommander un plan pour leur collecte et élimination a</w:t>
            </w:r>
            <w:r w:rsidR="00036229">
              <w:rPr>
                <w:sz w:val="22"/>
                <w:szCs w:val="22"/>
              </w:rPr>
              <w:t xml:space="preserve">vec des équipements appropriés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rPr>
          <w:trHeight w:val="295"/>
        </w:trPr>
        <w:tc>
          <w:tcPr>
            <w:tcW w:w="250" w:type="pct"/>
          </w:tcPr>
          <w:p w:rsidR="003D1623" w:rsidRPr="00D47C37" w:rsidRDefault="003D1623" w:rsidP="00A76F4A">
            <w:pPr>
              <w:ind w:right="12"/>
              <w:rPr>
                <w:sz w:val="22"/>
                <w:szCs w:val="22"/>
              </w:rPr>
            </w:pPr>
            <w:r w:rsidRPr="00D47C37">
              <w:rPr>
                <w:sz w:val="22"/>
                <w:szCs w:val="22"/>
              </w:rPr>
              <w:lastRenderedPageBreak/>
              <w:t>1</w:t>
            </w:r>
            <w:r w:rsidR="00725162" w:rsidRPr="00D47C37">
              <w:rPr>
                <w:sz w:val="22"/>
                <w:szCs w:val="22"/>
              </w:rPr>
              <w:t>7</w:t>
            </w:r>
          </w:p>
        </w:tc>
        <w:tc>
          <w:tcPr>
            <w:tcW w:w="3037" w:type="pct"/>
          </w:tcPr>
          <w:p w:rsidR="003D1623" w:rsidRPr="00D47C37" w:rsidRDefault="003D1623" w:rsidP="00A76F4A">
            <w:pPr>
              <w:ind w:right="12"/>
              <w:rPr>
                <w:sz w:val="22"/>
                <w:szCs w:val="22"/>
              </w:rPr>
            </w:pPr>
            <w:r w:rsidRPr="00D47C37">
              <w:rPr>
                <w:sz w:val="22"/>
                <w:szCs w:val="22"/>
              </w:rPr>
              <w:t xml:space="preserve"> Le projet pourrait-il affecter la qualité des eaux de surface, souterraine, sources d’eau potable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rPr>
          <w:trHeight w:val="295"/>
        </w:trPr>
        <w:tc>
          <w:tcPr>
            <w:tcW w:w="250" w:type="pct"/>
          </w:tcPr>
          <w:p w:rsidR="003D1623" w:rsidRPr="00D47C37" w:rsidRDefault="003D1623" w:rsidP="00A76F4A">
            <w:pPr>
              <w:ind w:right="12"/>
              <w:rPr>
                <w:sz w:val="22"/>
                <w:szCs w:val="22"/>
              </w:rPr>
            </w:pPr>
            <w:r w:rsidRPr="00D47C37">
              <w:rPr>
                <w:sz w:val="22"/>
                <w:szCs w:val="22"/>
              </w:rPr>
              <w:t>1</w:t>
            </w:r>
            <w:r w:rsidR="00725162" w:rsidRPr="00D47C37">
              <w:rPr>
                <w:sz w:val="22"/>
                <w:szCs w:val="22"/>
              </w:rPr>
              <w:t>8</w:t>
            </w:r>
          </w:p>
        </w:tc>
        <w:tc>
          <w:tcPr>
            <w:tcW w:w="3037" w:type="pct"/>
          </w:tcPr>
          <w:p w:rsidR="00FD4E69" w:rsidRPr="00D47C37" w:rsidRDefault="003D1623" w:rsidP="00A76F4A">
            <w:pPr>
              <w:ind w:right="12"/>
              <w:rPr>
                <w:sz w:val="22"/>
                <w:szCs w:val="22"/>
              </w:rPr>
            </w:pPr>
            <w:r w:rsidRPr="00D47C37">
              <w:rPr>
                <w:sz w:val="22"/>
                <w:szCs w:val="22"/>
              </w:rPr>
              <w:t>Le projet risque-t-il d’affecter l’atmo</w:t>
            </w:r>
            <w:r w:rsidR="00036229">
              <w:rPr>
                <w:sz w:val="22"/>
                <w:szCs w:val="22"/>
              </w:rPr>
              <w:t xml:space="preserve">sphère (poussière, gaz divers)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rPr>
          <w:trHeight w:val="295"/>
        </w:trPr>
        <w:tc>
          <w:tcPr>
            <w:tcW w:w="250" w:type="pct"/>
          </w:tcPr>
          <w:p w:rsidR="003D1623" w:rsidRPr="00D47C37" w:rsidRDefault="003D1623" w:rsidP="00A76F4A">
            <w:pPr>
              <w:ind w:right="12"/>
              <w:rPr>
                <w:sz w:val="22"/>
                <w:szCs w:val="22"/>
              </w:rPr>
            </w:pPr>
            <w:r w:rsidRPr="00D47C37">
              <w:rPr>
                <w:sz w:val="22"/>
                <w:szCs w:val="22"/>
              </w:rPr>
              <w:t>1</w:t>
            </w:r>
            <w:r w:rsidR="00725162" w:rsidRPr="00D47C37">
              <w:rPr>
                <w:sz w:val="22"/>
                <w:szCs w:val="22"/>
              </w:rPr>
              <w:t>9</w:t>
            </w:r>
          </w:p>
        </w:tc>
        <w:tc>
          <w:tcPr>
            <w:tcW w:w="3037" w:type="pct"/>
          </w:tcPr>
          <w:p w:rsidR="00FD4E69" w:rsidRPr="00D47C37" w:rsidRDefault="003D1623" w:rsidP="00A76F4A">
            <w:pPr>
              <w:ind w:right="12"/>
              <w:rPr>
                <w:sz w:val="22"/>
                <w:szCs w:val="22"/>
              </w:rPr>
            </w:pPr>
            <w:r w:rsidRPr="00D47C37">
              <w:rPr>
                <w:sz w:val="22"/>
                <w:szCs w:val="22"/>
              </w:rPr>
              <w:t>Le projet entraîne-t-il l’utilisation d’appareils contenant du PCB (polychlorobiphényles) ou une application quelconque d’un Polluant Organique Persistant (POP)</w:t>
            </w:r>
            <w:r w:rsidR="0064433D" w:rsidRPr="00D47C37">
              <w:rPr>
                <w:sz w:val="22"/>
                <w:szCs w:val="22"/>
              </w:rPr>
              <w:t xml:space="preserve"> </w:t>
            </w:r>
            <w:r w:rsidRPr="00D47C37">
              <w:rPr>
                <w:sz w:val="22"/>
                <w:szCs w:val="22"/>
              </w:rPr>
              <w:t xml:space="preserve">? Si Oui, indiquer les dispositions prises pour le respect de la réglementation en la matière.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3D1623" w:rsidRPr="00FD4E69" w:rsidTr="006162B1">
        <w:trPr>
          <w:trHeight w:val="295"/>
        </w:trPr>
        <w:tc>
          <w:tcPr>
            <w:tcW w:w="5000" w:type="pct"/>
            <w:gridSpan w:val="5"/>
          </w:tcPr>
          <w:p w:rsidR="003D1623" w:rsidRPr="00D47C37" w:rsidRDefault="003D1623" w:rsidP="00A76F4A">
            <w:pPr>
              <w:ind w:right="12"/>
              <w:rPr>
                <w:sz w:val="22"/>
                <w:szCs w:val="22"/>
              </w:rPr>
            </w:pPr>
            <w:r w:rsidRPr="00D47C37">
              <w:rPr>
                <w:sz w:val="22"/>
                <w:szCs w:val="22"/>
              </w:rPr>
              <w:t xml:space="preserve">Déchets biomédicaux </w:t>
            </w:r>
          </w:p>
        </w:tc>
      </w:tr>
      <w:tr w:rsidR="00F03935" w:rsidRPr="00AE2190" w:rsidTr="006162B1">
        <w:trPr>
          <w:trHeight w:val="295"/>
        </w:trPr>
        <w:tc>
          <w:tcPr>
            <w:tcW w:w="250" w:type="pct"/>
          </w:tcPr>
          <w:p w:rsidR="003D1623" w:rsidRPr="00D47C37" w:rsidRDefault="00725162" w:rsidP="00A76F4A">
            <w:pPr>
              <w:ind w:right="12"/>
              <w:rPr>
                <w:sz w:val="22"/>
                <w:szCs w:val="22"/>
              </w:rPr>
            </w:pPr>
            <w:r w:rsidRPr="00D47C37">
              <w:rPr>
                <w:sz w:val="22"/>
                <w:szCs w:val="22"/>
              </w:rPr>
              <w:t>20</w:t>
            </w:r>
          </w:p>
        </w:tc>
        <w:tc>
          <w:tcPr>
            <w:tcW w:w="3037" w:type="pct"/>
          </w:tcPr>
          <w:p w:rsidR="003D1623" w:rsidRPr="00D47C37" w:rsidRDefault="003D1623" w:rsidP="00A76F4A">
            <w:pPr>
              <w:ind w:right="12"/>
              <w:rPr>
                <w:sz w:val="22"/>
                <w:szCs w:val="22"/>
              </w:rPr>
            </w:pPr>
            <w:r w:rsidRPr="00D47C37">
              <w:rPr>
                <w:sz w:val="22"/>
                <w:szCs w:val="22"/>
              </w:rPr>
              <w:t xml:space="preserve">Le projet risque-t-il de générer des déchets biomédicaux ? Si oui décrire les mesures prévues pour leur gestion (voir le Plan de gestion des déchets biomédicaux) </w:t>
            </w:r>
          </w:p>
          <w:p w:rsidR="00FD4E69" w:rsidRPr="00D47C37" w:rsidRDefault="00FD4E69" w:rsidP="00A76F4A">
            <w:pPr>
              <w:ind w:right="12"/>
              <w:rPr>
                <w:sz w:val="22"/>
                <w:szCs w:val="22"/>
              </w:rPr>
            </w:pP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3D1623" w:rsidRPr="00FD4E69" w:rsidTr="006162B1">
        <w:trPr>
          <w:trHeight w:val="295"/>
        </w:trPr>
        <w:tc>
          <w:tcPr>
            <w:tcW w:w="5000" w:type="pct"/>
            <w:gridSpan w:val="5"/>
          </w:tcPr>
          <w:p w:rsidR="003D1623" w:rsidRPr="00D47C37" w:rsidRDefault="003D1623" w:rsidP="00A76F4A">
            <w:pPr>
              <w:ind w:right="12"/>
              <w:rPr>
                <w:sz w:val="22"/>
                <w:szCs w:val="22"/>
              </w:rPr>
            </w:pPr>
            <w:r w:rsidRPr="00D47C37">
              <w:rPr>
                <w:sz w:val="22"/>
                <w:szCs w:val="22"/>
              </w:rPr>
              <w:t>Inégalités sociales, Conflits, Genre</w:t>
            </w:r>
          </w:p>
        </w:tc>
      </w:tr>
      <w:tr w:rsidR="00F03935" w:rsidRPr="00AE2190" w:rsidTr="006162B1">
        <w:trPr>
          <w:trHeight w:val="295"/>
        </w:trPr>
        <w:tc>
          <w:tcPr>
            <w:tcW w:w="250" w:type="pct"/>
          </w:tcPr>
          <w:p w:rsidR="003D1623" w:rsidRPr="00D47C37" w:rsidRDefault="00725162" w:rsidP="00A76F4A">
            <w:pPr>
              <w:ind w:right="12"/>
              <w:rPr>
                <w:sz w:val="22"/>
                <w:szCs w:val="22"/>
              </w:rPr>
            </w:pPr>
            <w:r w:rsidRPr="00D47C37">
              <w:rPr>
                <w:sz w:val="22"/>
                <w:szCs w:val="22"/>
              </w:rPr>
              <w:t>21</w:t>
            </w:r>
          </w:p>
        </w:tc>
        <w:tc>
          <w:tcPr>
            <w:tcW w:w="3037" w:type="pct"/>
          </w:tcPr>
          <w:p w:rsidR="00FD4E69" w:rsidRPr="00D47C37" w:rsidRDefault="003D1623" w:rsidP="00A76F4A">
            <w:pPr>
              <w:ind w:right="12"/>
              <w:rPr>
                <w:sz w:val="22"/>
                <w:szCs w:val="22"/>
              </w:rPr>
            </w:pPr>
            <w:r w:rsidRPr="00D47C37">
              <w:rPr>
                <w:sz w:val="22"/>
                <w:szCs w:val="22"/>
              </w:rPr>
              <w:t>Le projet peut-il entraîner une accentua</w:t>
            </w:r>
            <w:r w:rsidR="00036229">
              <w:rPr>
                <w:sz w:val="22"/>
                <w:szCs w:val="22"/>
              </w:rPr>
              <w:t xml:space="preserve">tion des inégalités sociales ?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rPr>
          <w:trHeight w:val="295"/>
        </w:trPr>
        <w:tc>
          <w:tcPr>
            <w:tcW w:w="250" w:type="pct"/>
          </w:tcPr>
          <w:p w:rsidR="003D1623" w:rsidRPr="00D47C37" w:rsidRDefault="00725162" w:rsidP="00A76F4A">
            <w:pPr>
              <w:ind w:right="12"/>
              <w:rPr>
                <w:sz w:val="22"/>
                <w:szCs w:val="22"/>
              </w:rPr>
            </w:pPr>
            <w:r w:rsidRPr="00D47C37">
              <w:rPr>
                <w:sz w:val="22"/>
                <w:szCs w:val="22"/>
              </w:rPr>
              <w:t>2</w:t>
            </w:r>
            <w:r w:rsidR="003D1623" w:rsidRPr="00D47C37">
              <w:rPr>
                <w:sz w:val="22"/>
                <w:szCs w:val="22"/>
              </w:rPr>
              <w:t>2</w:t>
            </w:r>
          </w:p>
        </w:tc>
        <w:tc>
          <w:tcPr>
            <w:tcW w:w="3037" w:type="pct"/>
          </w:tcPr>
          <w:p w:rsidR="00FD4E69" w:rsidRPr="00D47C37" w:rsidRDefault="003D1623" w:rsidP="00A76F4A">
            <w:pPr>
              <w:ind w:right="12"/>
              <w:rPr>
                <w:sz w:val="22"/>
                <w:szCs w:val="22"/>
              </w:rPr>
            </w:pPr>
            <w:r w:rsidRPr="00D47C37">
              <w:rPr>
                <w:sz w:val="22"/>
                <w:szCs w:val="22"/>
              </w:rPr>
              <w:t xml:space="preserve">Le projet peut-il entraîner des utilisations incompatibles ou des conflits sociaux </w:t>
            </w:r>
            <w:r w:rsidR="00036229">
              <w:rPr>
                <w:sz w:val="22"/>
                <w:szCs w:val="22"/>
              </w:rPr>
              <w:t xml:space="preserve">entre les différents usagers ?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rPr>
          <w:trHeight w:val="295"/>
        </w:trPr>
        <w:tc>
          <w:tcPr>
            <w:tcW w:w="250" w:type="pct"/>
          </w:tcPr>
          <w:p w:rsidR="003D1623" w:rsidRPr="00D47C37" w:rsidRDefault="00725162" w:rsidP="00A76F4A">
            <w:pPr>
              <w:ind w:right="12"/>
              <w:rPr>
                <w:sz w:val="22"/>
                <w:szCs w:val="22"/>
              </w:rPr>
            </w:pPr>
            <w:r w:rsidRPr="00D47C37">
              <w:rPr>
                <w:sz w:val="22"/>
                <w:szCs w:val="22"/>
              </w:rPr>
              <w:t>23</w:t>
            </w:r>
            <w:r w:rsidR="003D1623" w:rsidRPr="00D47C37">
              <w:rPr>
                <w:sz w:val="22"/>
                <w:szCs w:val="22"/>
              </w:rPr>
              <w:t>.</w:t>
            </w:r>
          </w:p>
        </w:tc>
        <w:tc>
          <w:tcPr>
            <w:tcW w:w="3037" w:type="pct"/>
          </w:tcPr>
          <w:p w:rsidR="00FD4E69" w:rsidRPr="00D47C37" w:rsidRDefault="003D1623" w:rsidP="00A76F4A">
            <w:pPr>
              <w:ind w:right="12"/>
              <w:rPr>
                <w:sz w:val="22"/>
                <w:szCs w:val="22"/>
              </w:rPr>
            </w:pPr>
            <w:r w:rsidRPr="00D47C37">
              <w:rPr>
                <w:sz w:val="22"/>
                <w:szCs w:val="22"/>
              </w:rPr>
              <w:t xml:space="preserve">Le projet défavorise-t-il l’intégration des femmes </w:t>
            </w:r>
            <w:r w:rsidR="00036229">
              <w:rPr>
                <w:sz w:val="22"/>
                <w:szCs w:val="22"/>
              </w:rPr>
              <w:t>et autres couches vulnérables ?</w:t>
            </w:r>
          </w:p>
        </w:tc>
        <w:tc>
          <w:tcPr>
            <w:tcW w:w="289" w:type="pct"/>
          </w:tcPr>
          <w:p w:rsidR="003D1623" w:rsidRPr="00D47C37" w:rsidRDefault="003D1623" w:rsidP="00A76F4A">
            <w:pPr>
              <w:ind w:right="12"/>
              <w:rPr>
                <w:sz w:val="22"/>
                <w:szCs w:val="22"/>
              </w:rPr>
            </w:pPr>
          </w:p>
        </w:tc>
        <w:tc>
          <w:tcPr>
            <w:tcW w:w="308" w:type="pct"/>
          </w:tcPr>
          <w:p w:rsidR="003D1623" w:rsidRPr="00D47C37" w:rsidRDefault="003D1623" w:rsidP="00A76F4A">
            <w:pPr>
              <w:ind w:right="12"/>
              <w:rPr>
                <w:sz w:val="22"/>
                <w:szCs w:val="22"/>
              </w:rPr>
            </w:pPr>
          </w:p>
        </w:tc>
        <w:tc>
          <w:tcPr>
            <w:tcW w:w="1116" w:type="pct"/>
          </w:tcPr>
          <w:p w:rsidR="003D1623" w:rsidRPr="00D47C37" w:rsidRDefault="003D1623" w:rsidP="00A76F4A">
            <w:pPr>
              <w:ind w:right="12"/>
              <w:rPr>
                <w:sz w:val="22"/>
                <w:szCs w:val="22"/>
              </w:rPr>
            </w:pPr>
          </w:p>
        </w:tc>
      </w:tr>
      <w:tr w:rsidR="00F03935" w:rsidRPr="00AE2190" w:rsidTr="006162B1">
        <w:trPr>
          <w:trHeight w:val="295"/>
        </w:trPr>
        <w:tc>
          <w:tcPr>
            <w:tcW w:w="250" w:type="pct"/>
          </w:tcPr>
          <w:p w:rsidR="00C614F6" w:rsidRPr="00D47C37" w:rsidRDefault="00F60632" w:rsidP="00A76F4A">
            <w:pPr>
              <w:ind w:right="12"/>
              <w:rPr>
                <w:sz w:val="22"/>
                <w:szCs w:val="22"/>
              </w:rPr>
            </w:pPr>
            <w:r w:rsidRPr="00D47C37">
              <w:rPr>
                <w:sz w:val="22"/>
                <w:szCs w:val="22"/>
              </w:rPr>
              <w:t>24</w:t>
            </w:r>
          </w:p>
        </w:tc>
        <w:tc>
          <w:tcPr>
            <w:tcW w:w="3037" w:type="pct"/>
          </w:tcPr>
          <w:p w:rsidR="00FD4E69" w:rsidRPr="00D47C37" w:rsidRDefault="00C614F6" w:rsidP="00A76F4A">
            <w:pPr>
              <w:ind w:right="12"/>
              <w:rPr>
                <w:sz w:val="22"/>
                <w:szCs w:val="22"/>
              </w:rPr>
            </w:pPr>
            <w:r w:rsidRPr="00D47C37">
              <w:rPr>
                <w:sz w:val="22"/>
                <w:szCs w:val="22"/>
              </w:rPr>
              <w:t>Le projet peut-elle entraîner une accentu</w:t>
            </w:r>
            <w:r w:rsidR="00036229">
              <w:rPr>
                <w:sz w:val="22"/>
                <w:szCs w:val="22"/>
              </w:rPr>
              <w:t>ation des inégalités sociales ?</w:t>
            </w:r>
          </w:p>
        </w:tc>
        <w:tc>
          <w:tcPr>
            <w:tcW w:w="289" w:type="pct"/>
          </w:tcPr>
          <w:p w:rsidR="00C614F6" w:rsidRPr="00D47C37" w:rsidRDefault="00C614F6" w:rsidP="00A76F4A">
            <w:pPr>
              <w:ind w:right="12"/>
              <w:rPr>
                <w:sz w:val="22"/>
                <w:szCs w:val="22"/>
              </w:rPr>
            </w:pPr>
          </w:p>
        </w:tc>
        <w:tc>
          <w:tcPr>
            <w:tcW w:w="308" w:type="pct"/>
          </w:tcPr>
          <w:p w:rsidR="00C614F6" w:rsidRPr="00D47C37" w:rsidRDefault="00C614F6" w:rsidP="00A76F4A">
            <w:pPr>
              <w:ind w:right="12"/>
              <w:rPr>
                <w:sz w:val="22"/>
                <w:szCs w:val="22"/>
              </w:rPr>
            </w:pPr>
          </w:p>
        </w:tc>
        <w:tc>
          <w:tcPr>
            <w:tcW w:w="1116" w:type="pct"/>
          </w:tcPr>
          <w:p w:rsidR="00C614F6" w:rsidRPr="00D47C37" w:rsidRDefault="00C614F6" w:rsidP="00A76F4A">
            <w:pPr>
              <w:ind w:right="12"/>
              <w:rPr>
                <w:sz w:val="22"/>
                <w:szCs w:val="22"/>
              </w:rPr>
            </w:pPr>
          </w:p>
        </w:tc>
      </w:tr>
      <w:tr w:rsidR="00F03935" w:rsidRPr="00AE2190" w:rsidTr="006162B1">
        <w:trPr>
          <w:trHeight w:val="295"/>
        </w:trPr>
        <w:tc>
          <w:tcPr>
            <w:tcW w:w="250" w:type="pct"/>
          </w:tcPr>
          <w:p w:rsidR="00E404A6" w:rsidRPr="00D47C37" w:rsidRDefault="00F60632" w:rsidP="00A76F4A">
            <w:pPr>
              <w:ind w:right="12"/>
              <w:rPr>
                <w:sz w:val="22"/>
                <w:szCs w:val="22"/>
              </w:rPr>
            </w:pPr>
            <w:r w:rsidRPr="00D47C37">
              <w:rPr>
                <w:sz w:val="22"/>
                <w:szCs w:val="22"/>
              </w:rPr>
              <w:t>25</w:t>
            </w:r>
          </w:p>
        </w:tc>
        <w:tc>
          <w:tcPr>
            <w:tcW w:w="3037" w:type="pct"/>
          </w:tcPr>
          <w:p w:rsidR="00FD4E69" w:rsidRPr="00D47C37" w:rsidRDefault="00C614F6" w:rsidP="00A76F4A">
            <w:pPr>
              <w:ind w:right="12"/>
              <w:rPr>
                <w:sz w:val="22"/>
                <w:szCs w:val="22"/>
              </w:rPr>
            </w:pPr>
            <w:r w:rsidRPr="00D47C37">
              <w:rPr>
                <w:sz w:val="22"/>
                <w:szCs w:val="22"/>
              </w:rPr>
              <w:t>Le projet peut-il entraîner des utilisations incompatibles ou des conflits sociaux entre les différents usagers et les propriétaires du territoire (lieux sacrés, sites traditionnels)?</w:t>
            </w:r>
          </w:p>
        </w:tc>
        <w:tc>
          <w:tcPr>
            <w:tcW w:w="289" w:type="pct"/>
          </w:tcPr>
          <w:p w:rsidR="00E404A6" w:rsidRPr="00D47C37" w:rsidRDefault="00E404A6" w:rsidP="00A76F4A">
            <w:pPr>
              <w:ind w:right="12"/>
              <w:rPr>
                <w:sz w:val="22"/>
                <w:szCs w:val="22"/>
              </w:rPr>
            </w:pPr>
          </w:p>
        </w:tc>
        <w:tc>
          <w:tcPr>
            <w:tcW w:w="308" w:type="pct"/>
          </w:tcPr>
          <w:p w:rsidR="00E404A6" w:rsidRPr="00D47C37" w:rsidRDefault="00E404A6" w:rsidP="00A76F4A">
            <w:pPr>
              <w:ind w:right="12"/>
              <w:rPr>
                <w:sz w:val="22"/>
                <w:szCs w:val="22"/>
              </w:rPr>
            </w:pPr>
          </w:p>
        </w:tc>
        <w:tc>
          <w:tcPr>
            <w:tcW w:w="1116" w:type="pct"/>
          </w:tcPr>
          <w:p w:rsidR="00E404A6" w:rsidRPr="00D47C37" w:rsidRDefault="00E404A6" w:rsidP="00A76F4A">
            <w:pPr>
              <w:ind w:right="12"/>
              <w:rPr>
                <w:sz w:val="22"/>
                <w:szCs w:val="22"/>
              </w:rPr>
            </w:pPr>
          </w:p>
        </w:tc>
      </w:tr>
      <w:tr w:rsidR="00F03935" w:rsidRPr="00AE2190" w:rsidTr="006162B1">
        <w:trPr>
          <w:trHeight w:val="295"/>
        </w:trPr>
        <w:tc>
          <w:tcPr>
            <w:tcW w:w="250" w:type="pct"/>
          </w:tcPr>
          <w:p w:rsidR="00C614F6" w:rsidRPr="00D47C37" w:rsidRDefault="00F60632" w:rsidP="00A76F4A">
            <w:pPr>
              <w:ind w:right="12"/>
              <w:rPr>
                <w:sz w:val="22"/>
                <w:szCs w:val="22"/>
              </w:rPr>
            </w:pPr>
            <w:r w:rsidRPr="00D47C37">
              <w:rPr>
                <w:sz w:val="22"/>
                <w:szCs w:val="22"/>
              </w:rPr>
              <w:t>26</w:t>
            </w:r>
          </w:p>
        </w:tc>
        <w:tc>
          <w:tcPr>
            <w:tcW w:w="3037" w:type="pct"/>
          </w:tcPr>
          <w:p w:rsidR="00FD4E69" w:rsidRPr="00D47C37" w:rsidRDefault="00C614F6" w:rsidP="00A76F4A">
            <w:pPr>
              <w:ind w:right="12"/>
              <w:rPr>
                <w:sz w:val="22"/>
                <w:szCs w:val="22"/>
              </w:rPr>
            </w:pPr>
            <w:r w:rsidRPr="00D47C37">
              <w:rPr>
                <w:sz w:val="22"/>
                <w:szCs w:val="22"/>
              </w:rPr>
              <w:t>Le projet peut-il entraîner un déplacement de main d’œuvre (pas de recrutement sur</w:t>
            </w:r>
            <w:r w:rsidR="00036229">
              <w:rPr>
                <w:sz w:val="22"/>
                <w:szCs w:val="22"/>
              </w:rPr>
              <w:t xml:space="preserve"> place) ? </w:t>
            </w:r>
          </w:p>
        </w:tc>
        <w:tc>
          <w:tcPr>
            <w:tcW w:w="289" w:type="pct"/>
          </w:tcPr>
          <w:p w:rsidR="00C614F6" w:rsidRPr="00D47C37" w:rsidRDefault="00C614F6" w:rsidP="00A76F4A">
            <w:pPr>
              <w:ind w:right="12"/>
              <w:rPr>
                <w:sz w:val="22"/>
                <w:szCs w:val="22"/>
              </w:rPr>
            </w:pPr>
          </w:p>
        </w:tc>
        <w:tc>
          <w:tcPr>
            <w:tcW w:w="308" w:type="pct"/>
          </w:tcPr>
          <w:p w:rsidR="00C614F6" w:rsidRPr="00D47C37" w:rsidRDefault="00C614F6" w:rsidP="00A76F4A">
            <w:pPr>
              <w:ind w:right="12"/>
              <w:rPr>
                <w:sz w:val="22"/>
                <w:szCs w:val="22"/>
              </w:rPr>
            </w:pPr>
          </w:p>
        </w:tc>
        <w:tc>
          <w:tcPr>
            <w:tcW w:w="1116" w:type="pct"/>
          </w:tcPr>
          <w:p w:rsidR="00C614F6" w:rsidRPr="00D47C37" w:rsidRDefault="00C614F6" w:rsidP="00A76F4A">
            <w:pPr>
              <w:ind w:right="12"/>
              <w:rPr>
                <w:sz w:val="22"/>
                <w:szCs w:val="22"/>
              </w:rPr>
            </w:pPr>
          </w:p>
        </w:tc>
      </w:tr>
      <w:tr w:rsidR="00C614F6" w:rsidRPr="00FD4E69" w:rsidTr="006162B1">
        <w:trPr>
          <w:trHeight w:val="295"/>
        </w:trPr>
        <w:tc>
          <w:tcPr>
            <w:tcW w:w="5000" w:type="pct"/>
            <w:gridSpan w:val="5"/>
          </w:tcPr>
          <w:p w:rsidR="00C614F6" w:rsidRPr="00D47C37" w:rsidRDefault="00C614F6" w:rsidP="00A76F4A">
            <w:pPr>
              <w:ind w:right="12"/>
              <w:rPr>
                <w:sz w:val="22"/>
                <w:szCs w:val="22"/>
              </w:rPr>
            </w:pPr>
            <w:r w:rsidRPr="00D47C37">
              <w:rPr>
                <w:sz w:val="22"/>
                <w:szCs w:val="22"/>
              </w:rPr>
              <w:t xml:space="preserve"> Santé, Sécurité</w:t>
            </w:r>
          </w:p>
        </w:tc>
      </w:tr>
      <w:tr w:rsidR="00F03935" w:rsidRPr="00AE2190" w:rsidTr="006162B1">
        <w:trPr>
          <w:trHeight w:val="295"/>
        </w:trPr>
        <w:tc>
          <w:tcPr>
            <w:tcW w:w="250" w:type="pct"/>
          </w:tcPr>
          <w:p w:rsidR="00C614F6" w:rsidRPr="00D47C37" w:rsidRDefault="00C614F6" w:rsidP="00A76F4A">
            <w:pPr>
              <w:ind w:right="12"/>
              <w:rPr>
                <w:sz w:val="22"/>
                <w:szCs w:val="22"/>
              </w:rPr>
            </w:pPr>
            <w:r w:rsidRPr="00D47C37">
              <w:rPr>
                <w:sz w:val="22"/>
                <w:szCs w:val="22"/>
              </w:rPr>
              <w:t>2</w:t>
            </w:r>
            <w:r w:rsidR="00F60632" w:rsidRPr="00D47C37">
              <w:rPr>
                <w:sz w:val="22"/>
                <w:szCs w:val="22"/>
              </w:rPr>
              <w:t>7</w:t>
            </w:r>
            <w:r w:rsidRPr="00D47C37">
              <w:rPr>
                <w:sz w:val="22"/>
                <w:szCs w:val="22"/>
              </w:rPr>
              <w:t>.</w:t>
            </w:r>
          </w:p>
        </w:tc>
        <w:tc>
          <w:tcPr>
            <w:tcW w:w="3037" w:type="pct"/>
          </w:tcPr>
          <w:p w:rsidR="00FD4E69" w:rsidRPr="00D47C37" w:rsidRDefault="00C614F6" w:rsidP="00A76F4A">
            <w:pPr>
              <w:ind w:right="12"/>
              <w:rPr>
                <w:sz w:val="22"/>
                <w:szCs w:val="22"/>
              </w:rPr>
            </w:pPr>
            <w:r w:rsidRPr="00D47C37">
              <w:rPr>
                <w:sz w:val="22"/>
                <w:szCs w:val="22"/>
              </w:rPr>
              <w:t>Le projet peut-il induire des risques d’accidents des tra</w:t>
            </w:r>
            <w:r w:rsidR="00036229">
              <w:rPr>
                <w:sz w:val="22"/>
                <w:szCs w:val="22"/>
              </w:rPr>
              <w:t>vailleurs ou de la population ?</w:t>
            </w:r>
          </w:p>
        </w:tc>
        <w:tc>
          <w:tcPr>
            <w:tcW w:w="289" w:type="pct"/>
          </w:tcPr>
          <w:p w:rsidR="00C614F6" w:rsidRPr="00D47C37" w:rsidRDefault="00C614F6" w:rsidP="00A76F4A">
            <w:pPr>
              <w:ind w:right="12"/>
              <w:rPr>
                <w:sz w:val="22"/>
                <w:szCs w:val="22"/>
              </w:rPr>
            </w:pPr>
          </w:p>
        </w:tc>
        <w:tc>
          <w:tcPr>
            <w:tcW w:w="308" w:type="pct"/>
          </w:tcPr>
          <w:p w:rsidR="00C614F6" w:rsidRPr="00D47C37" w:rsidRDefault="00C614F6" w:rsidP="00A76F4A">
            <w:pPr>
              <w:ind w:right="12"/>
              <w:rPr>
                <w:sz w:val="22"/>
                <w:szCs w:val="22"/>
              </w:rPr>
            </w:pPr>
          </w:p>
        </w:tc>
        <w:tc>
          <w:tcPr>
            <w:tcW w:w="1116" w:type="pct"/>
          </w:tcPr>
          <w:p w:rsidR="00C614F6" w:rsidRPr="00D47C37" w:rsidRDefault="00C614F6" w:rsidP="00A76F4A">
            <w:pPr>
              <w:ind w:right="12"/>
              <w:rPr>
                <w:sz w:val="22"/>
                <w:szCs w:val="22"/>
              </w:rPr>
            </w:pPr>
          </w:p>
        </w:tc>
      </w:tr>
      <w:tr w:rsidR="00F03935" w:rsidRPr="00AE2190" w:rsidTr="006162B1">
        <w:trPr>
          <w:trHeight w:val="295"/>
        </w:trPr>
        <w:tc>
          <w:tcPr>
            <w:tcW w:w="250" w:type="pct"/>
          </w:tcPr>
          <w:p w:rsidR="00C614F6" w:rsidRPr="00D47C37" w:rsidRDefault="00C614F6" w:rsidP="00A76F4A">
            <w:pPr>
              <w:ind w:right="12"/>
              <w:rPr>
                <w:sz w:val="22"/>
                <w:szCs w:val="22"/>
              </w:rPr>
            </w:pPr>
            <w:r w:rsidRPr="00D47C37">
              <w:rPr>
                <w:sz w:val="22"/>
                <w:szCs w:val="22"/>
              </w:rPr>
              <w:t>2</w:t>
            </w:r>
            <w:r w:rsidR="00F60632" w:rsidRPr="00D47C37">
              <w:rPr>
                <w:sz w:val="22"/>
                <w:szCs w:val="22"/>
              </w:rPr>
              <w:t>8</w:t>
            </w:r>
            <w:r w:rsidRPr="00D47C37">
              <w:rPr>
                <w:sz w:val="22"/>
                <w:szCs w:val="22"/>
              </w:rPr>
              <w:t>.</w:t>
            </w:r>
          </w:p>
        </w:tc>
        <w:tc>
          <w:tcPr>
            <w:tcW w:w="3037" w:type="pct"/>
          </w:tcPr>
          <w:p w:rsidR="00FD4E69" w:rsidRPr="00D47C37" w:rsidRDefault="00C614F6" w:rsidP="00A76F4A">
            <w:pPr>
              <w:ind w:right="12"/>
              <w:rPr>
                <w:sz w:val="22"/>
                <w:szCs w:val="22"/>
              </w:rPr>
            </w:pPr>
            <w:r w:rsidRPr="00D47C37">
              <w:rPr>
                <w:sz w:val="22"/>
                <w:szCs w:val="22"/>
              </w:rPr>
              <w:t xml:space="preserve"> Le projet peut-il causer des risques pour la santé des trav</w:t>
            </w:r>
            <w:r w:rsidR="00036229">
              <w:rPr>
                <w:sz w:val="22"/>
                <w:szCs w:val="22"/>
              </w:rPr>
              <w:t xml:space="preserve">ailleurs ou de la population ? </w:t>
            </w:r>
          </w:p>
        </w:tc>
        <w:tc>
          <w:tcPr>
            <w:tcW w:w="289" w:type="pct"/>
          </w:tcPr>
          <w:p w:rsidR="00C614F6" w:rsidRPr="00D47C37" w:rsidRDefault="00C614F6" w:rsidP="00A76F4A">
            <w:pPr>
              <w:ind w:right="12"/>
              <w:rPr>
                <w:sz w:val="22"/>
                <w:szCs w:val="22"/>
              </w:rPr>
            </w:pPr>
          </w:p>
        </w:tc>
        <w:tc>
          <w:tcPr>
            <w:tcW w:w="308" w:type="pct"/>
          </w:tcPr>
          <w:p w:rsidR="00C614F6" w:rsidRPr="00D47C37" w:rsidRDefault="00C614F6" w:rsidP="00A76F4A">
            <w:pPr>
              <w:ind w:right="12"/>
              <w:rPr>
                <w:sz w:val="22"/>
                <w:szCs w:val="22"/>
              </w:rPr>
            </w:pPr>
          </w:p>
        </w:tc>
        <w:tc>
          <w:tcPr>
            <w:tcW w:w="1116" w:type="pct"/>
          </w:tcPr>
          <w:p w:rsidR="00C614F6" w:rsidRPr="00D47C37" w:rsidRDefault="00C614F6" w:rsidP="00A76F4A">
            <w:pPr>
              <w:ind w:right="12"/>
              <w:rPr>
                <w:sz w:val="22"/>
                <w:szCs w:val="22"/>
              </w:rPr>
            </w:pPr>
          </w:p>
        </w:tc>
      </w:tr>
      <w:tr w:rsidR="00F03935" w:rsidRPr="00AE2190" w:rsidTr="006162B1">
        <w:trPr>
          <w:trHeight w:val="295"/>
        </w:trPr>
        <w:tc>
          <w:tcPr>
            <w:tcW w:w="250" w:type="pct"/>
          </w:tcPr>
          <w:p w:rsidR="00C614F6" w:rsidRPr="00D47C37" w:rsidRDefault="00C614F6" w:rsidP="00A76F4A">
            <w:pPr>
              <w:ind w:right="12"/>
              <w:rPr>
                <w:sz w:val="22"/>
                <w:szCs w:val="22"/>
              </w:rPr>
            </w:pPr>
            <w:r w:rsidRPr="00D47C37">
              <w:rPr>
                <w:sz w:val="22"/>
                <w:szCs w:val="22"/>
              </w:rPr>
              <w:t>2</w:t>
            </w:r>
            <w:r w:rsidR="00F60632" w:rsidRPr="00D47C37">
              <w:rPr>
                <w:sz w:val="22"/>
                <w:szCs w:val="22"/>
              </w:rPr>
              <w:t>9</w:t>
            </w:r>
            <w:r w:rsidRPr="00D47C37">
              <w:rPr>
                <w:sz w:val="22"/>
                <w:szCs w:val="22"/>
              </w:rPr>
              <w:t>.</w:t>
            </w:r>
          </w:p>
        </w:tc>
        <w:tc>
          <w:tcPr>
            <w:tcW w:w="3037" w:type="pct"/>
          </w:tcPr>
          <w:p w:rsidR="00FD4E69" w:rsidRPr="00D47C37" w:rsidRDefault="00C614F6" w:rsidP="00A76F4A">
            <w:pPr>
              <w:ind w:right="12"/>
              <w:rPr>
                <w:sz w:val="22"/>
                <w:szCs w:val="22"/>
              </w:rPr>
            </w:pPr>
            <w:r w:rsidRPr="00D47C37">
              <w:rPr>
                <w:sz w:val="22"/>
                <w:szCs w:val="22"/>
              </w:rPr>
              <w:t>Le projet peut-il entraîner une augmentat</w:t>
            </w:r>
            <w:r w:rsidR="00036229">
              <w:rPr>
                <w:sz w:val="22"/>
                <w:szCs w:val="22"/>
              </w:rPr>
              <w:t xml:space="preserve">ion des vecteurs de maladies ? </w:t>
            </w:r>
          </w:p>
        </w:tc>
        <w:tc>
          <w:tcPr>
            <w:tcW w:w="289" w:type="pct"/>
          </w:tcPr>
          <w:p w:rsidR="00C614F6" w:rsidRPr="00D47C37" w:rsidRDefault="00C614F6" w:rsidP="00A76F4A">
            <w:pPr>
              <w:ind w:right="12"/>
              <w:rPr>
                <w:sz w:val="22"/>
                <w:szCs w:val="22"/>
              </w:rPr>
            </w:pPr>
          </w:p>
        </w:tc>
        <w:tc>
          <w:tcPr>
            <w:tcW w:w="308" w:type="pct"/>
          </w:tcPr>
          <w:p w:rsidR="00C614F6" w:rsidRPr="00D47C37" w:rsidRDefault="00C614F6" w:rsidP="00A76F4A">
            <w:pPr>
              <w:ind w:right="12"/>
              <w:rPr>
                <w:sz w:val="22"/>
                <w:szCs w:val="22"/>
              </w:rPr>
            </w:pPr>
          </w:p>
        </w:tc>
        <w:tc>
          <w:tcPr>
            <w:tcW w:w="1116" w:type="pct"/>
          </w:tcPr>
          <w:p w:rsidR="00C614F6" w:rsidRPr="00D47C37" w:rsidRDefault="00C614F6" w:rsidP="00A76F4A">
            <w:pPr>
              <w:ind w:right="12"/>
              <w:rPr>
                <w:sz w:val="22"/>
                <w:szCs w:val="22"/>
              </w:rPr>
            </w:pPr>
          </w:p>
        </w:tc>
      </w:tr>
      <w:tr w:rsidR="0077247E" w:rsidRPr="00CF7258" w:rsidTr="006162B1">
        <w:trPr>
          <w:trHeight w:val="295"/>
        </w:trPr>
        <w:tc>
          <w:tcPr>
            <w:tcW w:w="3287" w:type="pct"/>
            <w:gridSpan w:val="2"/>
          </w:tcPr>
          <w:p w:rsidR="00C614F6" w:rsidRPr="00D47C37" w:rsidRDefault="00C614F6" w:rsidP="00A76F4A">
            <w:pPr>
              <w:ind w:right="12"/>
              <w:rPr>
                <w:sz w:val="22"/>
                <w:szCs w:val="22"/>
              </w:rPr>
            </w:pPr>
            <w:r w:rsidRPr="00D47C37">
              <w:rPr>
                <w:sz w:val="22"/>
                <w:szCs w:val="22"/>
              </w:rPr>
              <w:t xml:space="preserve">Equipements socioéducatifs et sanitaires </w:t>
            </w:r>
          </w:p>
        </w:tc>
        <w:tc>
          <w:tcPr>
            <w:tcW w:w="289" w:type="pct"/>
          </w:tcPr>
          <w:p w:rsidR="00C614F6" w:rsidRPr="00D47C37" w:rsidRDefault="00C614F6" w:rsidP="00A76F4A">
            <w:pPr>
              <w:ind w:right="12"/>
              <w:rPr>
                <w:sz w:val="22"/>
                <w:szCs w:val="22"/>
              </w:rPr>
            </w:pPr>
          </w:p>
        </w:tc>
        <w:tc>
          <w:tcPr>
            <w:tcW w:w="308" w:type="pct"/>
          </w:tcPr>
          <w:p w:rsidR="00C614F6" w:rsidRPr="00D47C37" w:rsidRDefault="00C614F6" w:rsidP="00A76F4A">
            <w:pPr>
              <w:ind w:right="12"/>
              <w:rPr>
                <w:sz w:val="22"/>
                <w:szCs w:val="22"/>
              </w:rPr>
            </w:pPr>
          </w:p>
        </w:tc>
        <w:tc>
          <w:tcPr>
            <w:tcW w:w="1116" w:type="pct"/>
          </w:tcPr>
          <w:p w:rsidR="00C614F6" w:rsidRPr="00D47C37" w:rsidRDefault="00C614F6" w:rsidP="00A76F4A">
            <w:pPr>
              <w:ind w:right="12"/>
              <w:rPr>
                <w:sz w:val="22"/>
                <w:szCs w:val="22"/>
              </w:rPr>
            </w:pPr>
          </w:p>
        </w:tc>
      </w:tr>
      <w:tr w:rsidR="00F03935" w:rsidRPr="00AE2190" w:rsidTr="006162B1">
        <w:trPr>
          <w:trHeight w:val="295"/>
        </w:trPr>
        <w:tc>
          <w:tcPr>
            <w:tcW w:w="250" w:type="pct"/>
          </w:tcPr>
          <w:p w:rsidR="00C614F6" w:rsidRPr="00D47C37" w:rsidRDefault="00F60632" w:rsidP="00A76F4A">
            <w:pPr>
              <w:ind w:right="12"/>
              <w:rPr>
                <w:sz w:val="22"/>
                <w:szCs w:val="22"/>
              </w:rPr>
            </w:pPr>
            <w:r w:rsidRPr="00D47C37">
              <w:rPr>
                <w:sz w:val="22"/>
                <w:szCs w:val="22"/>
              </w:rPr>
              <w:t>30</w:t>
            </w:r>
          </w:p>
        </w:tc>
        <w:tc>
          <w:tcPr>
            <w:tcW w:w="3037" w:type="pct"/>
          </w:tcPr>
          <w:p w:rsidR="00FD4E69" w:rsidRPr="00D47C37" w:rsidRDefault="00C614F6" w:rsidP="00A76F4A">
            <w:pPr>
              <w:ind w:right="12"/>
              <w:rPr>
                <w:sz w:val="22"/>
                <w:szCs w:val="22"/>
              </w:rPr>
            </w:pPr>
            <w:r w:rsidRPr="00D47C37">
              <w:rPr>
                <w:sz w:val="22"/>
                <w:szCs w:val="22"/>
              </w:rPr>
              <w:t>Le projet peut-il affecter négativement le fonctionnement des infrastructures socioéducatives</w:t>
            </w:r>
            <w:r w:rsidR="00036229">
              <w:rPr>
                <w:sz w:val="22"/>
                <w:szCs w:val="22"/>
              </w:rPr>
              <w:t xml:space="preserve"> et sanitaires environnantes ? </w:t>
            </w:r>
          </w:p>
        </w:tc>
        <w:tc>
          <w:tcPr>
            <w:tcW w:w="289" w:type="pct"/>
          </w:tcPr>
          <w:p w:rsidR="00C614F6" w:rsidRPr="00D47C37" w:rsidRDefault="00C614F6" w:rsidP="00A76F4A">
            <w:pPr>
              <w:ind w:right="12"/>
              <w:rPr>
                <w:sz w:val="22"/>
                <w:szCs w:val="22"/>
              </w:rPr>
            </w:pPr>
          </w:p>
        </w:tc>
        <w:tc>
          <w:tcPr>
            <w:tcW w:w="308" w:type="pct"/>
          </w:tcPr>
          <w:p w:rsidR="00C614F6" w:rsidRPr="00D47C37" w:rsidRDefault="00C614F6" w:rsidP="00A76F4A">
            <w:pPr>
              <w:ind w:right="12"/>
              <w:rPr>
                <w:sz w:val="22"/>
                <w:szCs w:val="22"/>
              </w:rPr>
            </w:pPr>
          </w:p>
        </w:tc>
        <w:tc>
          <w:tcPr>
            <w:tcW w:w="1116" w:type="pct"/>
          </w:tcPr>
          <w:p w:rsidR="00C614F6" w:rsidRPr="00D47C37" w:rsidRDefault="00C614F6" w:rsidP="00A76F4A">
            <w:pPr>
              <w:ind w:right="12"/>
              <w:rPr>
                <w:sz w:val="22"/>
                <w:szCs w:val="22"/>
              </w:rPr>
            </w:pPr>
          </w:p>
        </w:tc>
      </w:tr>
      <w:tr w:rsidR="0064433D" w:rsidRPr="00FD4E69" w:rsidTr="006162B1">
        <w:trPr>
          <w:trHeight w:val="295"/>
        </w:trPr>
        <w:tc>
          <w:tcPr>
            <w:tcW w:w="5000" w:type="pct"/>
            <w:gridSpan w:val="5"/>
          </w:tcPr>
          <w:p w:rsidR="0064433D" w:rsidRPr="00D47C37" w:rsidRDefault="0064433D" w:rsidP="00A76F4A">
            <w:pPr>
              <w:ind w:right="12"/>
              <w:rPr>
                <w:sz w:val="22"/>
                <w:szCs w:val="22"/>
              </w:rPr>
            </w:pPr>
            <w:r w:rsidRPr="00D47C37">
              <w:rPr>
                <w:sz w:val="22"/>
                <w:szCs w:val="22"/>
              </w:rPr>
              <w:t xml:space="preserve">Patrimoine culturel </w:t>
            </w:r>
          </w:p>
        </w:tc>
      </w:tr>
      <w:tr w:rsidR="00F03935" w:rsidRPr="00AE2190" w:rsidTr="006162B1">
        <w:trPr>
          <w:trHeight w:val="295"/>
        </w:trPr>
        <w:tc>
          <w:tcPr>
            <w:tcW w:w="250" w:type="pct"/>
          </w:tcPr>
          <w:p w:rsidR="00C614F6" w:rsidRPr="00D47C37" w:rsidRDefault="00C614F6" w:rsidP="00A76F4A">
            <w:pPr>
              <w:ind w:right="12"/>
              <w:rPr>
                <w:sz w:val="22"/>
                <w:szCs w:val="22"/>
              </w:rPr>
            </w:pPr>
            <w:r w:rsidRPr="00D47C37">
              <w:rPr>
                <w:sz w:val="22"/>
                <w:szCs w:val="22"/>
              </w:rPr>
              <w:t>3</w:t>
            </w:r>
            <w:r w:rsidR="00F60632" w:rsidRPr="00D47C37">
              <w:rPr>
                <w:sz w:val="22"/>
                <w:szCs w:val="22"/>
              </w:rPr>
              <w:t>1</w:t>
            </w:r>
          </w:p>
        </w:tc>
        <w:tc>
          <w:tcPr>
            <w:tcW w:w="3037" w:type="pct"/>
          </w:tcPr>
          <w:p w:rsidR="00FD4E69" w:rsidRPr="00D47C37" w:rsidRDefault="00C614F6" w:rsidP="00A76F4A">
            <w:pPr>
              <w:ind w:right="12"/>
              <w:rPr>
                <w:sz w:val="22"/>
                <w:szCs w:val="22"/>
              </w:rPr>
            </w:pPr>
            <w:r w:rsidRPr="00D47C37">
              <w:rPr>
                <w:sz w:val="22"/>
                <w:szCs w:val="22"/>
              </w:rPr>
              <w:t>Le projet risque-t-il d’affecter des sites d’importance culturelle,</w:t>
            </w:r>
            <w:r w:rsidR="00036229">
              <w:rPr>
                <w:sz w:val="22"/>
                <w:szCs w:val="22"/>
              </w:rPr>
              <w:t xml:space="preserve"> archéologique ou historique ? </w:t>
            </w:r>
          </w:p>
        </w:tc>
        <w:tc>
          <w:tcPr>
            <w:tcW w:w="289" w:type="pct"/>
          </w:tcPr>
          <w:p w:rsidR="00C614F6" w:rsidRPr="00D47C37" w:rsidRDefault="00C614F6" w:rsidP="00A76F4A">
            <w:pPr>
              <w:ind w:right="12"/>
              <w:rPr>
                <w:sz w:val="22"/>
                <w:szCs w:val="22"/>
              </w:rPr>
            </w:pPr>
          </w:p>
        </w:tc>
        <w:tc>
          <w:tcPr>
            <w:tcW w:w="308" w:type="pct"/>
          </w:tcPr>
          <w:p w:rsidR="00C614F6" w:rsidRPr="00D47C37" w:rsidRDefault="00C614F6" w:rsidP="00A76F4A">
            <w:pPr>
              <w:ind w:right="12"/>
              <w:rPr>
                <w:sz w:val="22"/>
                <w:szCs w:val="22"/>
              </w:rPr>
            </w:pPr>
          </w:p>
        </w:tc>
        <w:tc>
          <w:tcPr>
            <w:tcW w:w="1116" w:type="pct"/>
          </w:tcPr>
          <w:p w:rsidR="00C614F6" w:rsidRPr="00D47C37" w:rsidRDefault="00C614F6" w:rsidP="00A76F4A">
            <w:pPr>
              <w:ind w:right="12"/>
              <w:rPr>
                <w:sz w:val="22"/>
                <w:szCs w:val="22"/>
              </w:rPr>
            </w:pPr>
          </w:p>
        </w:tc>
      </w:tr>
      <w:tr w:rsidR="00F03935" w:rsidRPr="00AE2190" w:rsidTr="006162B1">
        <w:trPr>
          <w:trHeight w:val="295"/>
        </w:trPr>
        <w:tc>
          <w:tcPr>
            <w:tcW w:w="250" w:type="pct"/>
          </w:tcPr>
          <w:p w:rsidR="00C614F6" w:rsidRPr="00D47C37" w:rsidRDefault="00C614F6" w:rsidP="00A76F4A">
            <w:pPr>
              <w:ind w:right="12"/>
              <w:rPr>
                <w:sz w:val="22"/>
                <w:szCs w:val="22"/>
              </w:rPr>
            </w:pPr>
            <w:r w:rsidRPr="00D47C37">
              <w:rPr>
                <w:sz w:val="22"/>
                <w:szCs w:val="22"/>
              </w:rPr>
              <w:t>3</w:t>
            </w:r>
            <w:r w:rsidR="00F60632" w:rsidRPr="00D47C37">
              <w:rPr>
                <w:sz w:val="22"/>
                <w:szCs w:val="22"/>
              </w:rPr>
              <w:t>2</w:t>
            </w:r>
          </w:p>
        </w:tc>
        <w:tc>
          <w:tcPr>
            <w:tcW w:w="3037" w:type="pct"/>
          </w:tcPr>
          <w:p w:rsidR="00FD4E69" w:rsidRPr="00D47C37" w:rsidRDefault="00C614F6" w:rsidP="00A76F4A">
            <w:pPr>
              <w:ind w:right="12"/>
              <w:rPr>
                <w:sz w:val="22"/>
                <w:szCs w:val="22"/>
              </w:rPr>
            </w:pPr>
            <w:r w:rsidRPr="00D47C37">
              <w:rPr>
                <w:sz w:val="22"/>
                <w:szCs w:val="22"/>
              </w:rPr>
              <w:t xml:space="preserve">Le bénéficiaire du projet ne dispose pas d’un mécanisme de gestion, d’exploitation et d’entretien du </w:t>
            </w:r>
            <w:r w:rsidR="001E6141" w:rsidRPr="00D47C37">
              <w:rPr>
                <w:sz w:val="22"/>
                <w:szCs w:val="22"/>
              </w:rPr>
              <w:t>projet ?</w:t>
            </w:r>
            <w:r w:rsidR="00036229">
              <w:rPr>
                <w:sz w:val="22"/>
                <w:szCs w:val="22"/>
              </w:rPr>
              <w:t xml:space="preserve"> </w:t>
            </w:r>
          </w:p>
        </w:tc>
        <w:tc>
          <w:tcPr>
            <w:tcW w:w="289" w:type="pct"/>
          </w:tcPr>
          <w:p w:rsidR="00C614F6" w:rsidRPr="00D47C37" w:rsidRDefault="00C614F6" w:rsidP="00A76F4A">
            <w:pPr>
              <w:ind w:right="12"/>
              <w:rPr>
                <w:sz w:val="22"/>
                <w:szCs w:val="22"/>
              </w:rPr>
            </w:pPr>
          </w:p>
        </w:tc>
        <w:tc>
          <w:tcPr>
            <w:tcW w:w="308" w:type="pct"/>
          </w:tcPr>
          <w:p w:rsidR="00C614F6" w:rsidRPr="00D47C37" w:rsidRDefault="00C614F6" w:rsidP="00A76F4A">
            <w:pPr>
              <w:ind w:right="12"/>
              <w:rPr>
                <w:sz w:val="22"/>
                <w:szCs w:val="22"/>
              </w:rPr>
            </w:pPr>
          </w:p>
        </w:tc>
        <w:tc>
          <w:tcPr>
            <w:tcW w:w="1116" w:type="pct"/>
          </w:tcPr>
          <w:p w:rsidR="00C614F6" w:rsidRPr="00D47C37" w:rsidRDefault="00C614F6" w:rsidP="00A76F4A">
            <w:pPr>
              <w:ind w:right="12"/>
              <w:rPr>
                <w:sz w:val="22"/>
                <w:szCs w:val="22"/>
              </w:rPr>
            </w:pPr>
          </w:p>
        </w:tc>
      </w:tr>
      <w:tr w:rsidR="00F03935" w:rsidRPr="00AE2190" w:rsidTr="006162B1">
        <w:trPr>
          <w:trHeight w:val="295"/>
        </w:trPr>
        <w:tc>
          <w:tcPr>
            <w:tcW w:w="250" w:type="pct"/>
          </w:tcPr>
          <w:p w:rsidR="002A6174" w:rsidRPr="00D47C37" w:rsidRDefault="00F60632" w:rsidP="00A76F4A">
            <w:pPr>
              <w:ind w:right="12"/>
              <w:rPr>
                <w:sz w:val="22"/>
                <w:szCs w:val="22"/>
              </w:rPr>
            </w:pPr>
            <w:r w:rsidRPr="00D47C37">
              <w:rPr>
                <w:sz w:val="22"/>
                <w:szCs w:val="22"/>
              </w:rPr>
              <w:t>33</w:t>
            </w:r>
          </w:p>
        </w:tc>
        <w:tc>
          <w:tcPr>
            <w:tcW w:w="3037" w:type="pct"/>
          </w:tcPr>
          <w:p w:rsidR="002A6174" w:rsidRPr="00D47C37" w:rsidRDefault="002A6174" w:rsidP="00A76F4A">
            <w:pPr>
              <w:ind w:right="12"/>
              <w:rPr>
                <w:sz w:val="22"/>
                <w:szCs w:val="22"/>
              </w:rPr>
            </w:pPr>
            <w:r w:rsidRPr="00D47C37">
              <w:rPr>
                <w:b/>
                <w:bCs/>
                <w:sz w:val="22"/>
                <w:szCs w:val="22"/>
                <w:lang w:val="en-US" w:eastAsia="en-US"/>
              </w:rPr>
              <w:t>Consultation du public</w:t>
            </w:r>
          </w:p>
        </w:tc>
        <w:tc>
          <w:tcPr>
            <w:tcW w:w="289" w:type="pct"/>
          </w:tcPr>
          <w:p w:rsidR="002A6174" w:rsidRPr="00D47C37" w:rsidRDefault="002A6174" w:rsidP="00A76F4A">
            <w:pPr>
              <w:ind w:right="12"/>
              <w:rPr>
                <w:sz w:val="22"/>
                <w:szCs w:val="22"/>
              </w:rPr>
            </w:pPr>
          </w:p>
        </w:tc>
        <w:tc>
          <w:tcPr>
            <w:tcW w:w="308" w:type="pct"/>
          </w:tcPr>
          <w:p w:rsidR="002A6174" w:rsidRPr="00D47C37" w:rsidRDefault="002A6174" w:rsidP="00A76F4A">
            <w:pPr>
              <w:ind w:right="12"/>
              <w:rPr>
                <w:sz w:val="22"/>
                <w:szCs w:val="22"/>
              </w:rPr>
            </w:pPr>
          </w:p>
        </w:tc>
        <w:tc>
          <w:tcPr>
            <w:tcW w:w="1116" w:type="pct"/>
          </w:tcPr>
          <w:p w:rsidR="002A6174" w:rsidRPr="00D47C37" w:rsidRDefault="002A6174" w:rsidP="00A76F4A">
            <w:pPr>
              <w:ind w:right="12"/>
              <w:rPr>
                <w:sz w:val="22"/>
                <w:szCs w:val="22"/>
              </w:rPr>
            </w:pPr>
          </w:p>
        </w:tc>
      </w:tr>
      <w:tr w:rsidR="00F03935" w:rsidRPr="00AE2190" w:rsidTr="006162B1">
        <w:trPr>
          <w:trHeight w:val="295"/>
        </w:trPr>
        <w:tc>
          <w:tcPr>
            <w:tcW w:w="250" w:type="pct"/>
          </w:tcPr>
          <w:p w:rsidR="002A6174" w:rsidRPr="00D47C37" w:rsidRDefault="00F60632" w:rsidP="00A76F4A">
            <w:pPr>
              <w:ind w:right="12"/>
              <w:rPr>
                <w:sz w:val="22"/>
                <w:szCs w:val="22"/>
              </w:rPr>
            </w:pPr>
            <w:r w:rsidRPr="00D47C37">
              <w:rPr>
                <w:sz w:val="22"/>
                <w:szCs w:val="22"/>
              </w:rPr>
              <w:t>34</w:t>
            </w:r>
          </w:p>
        </w:tc>
        <w:tc>
          <w:tcPr>
            <w:tcW w:w="3037" w:type="pct"/>
          </w:tcPr>
          <w:p w:rsidR="00FD4E69" w:rsidRPr="00D47C37" w:rsidRDefault="005456A1" w:rsidP="00A76F4A">
            <w:pPr>
              <w:autoSpaceDE w:val="0"/>
              <w:autoSpaceDN w:val="0"/>
              <w:adjustRightInd w:val="0"/>
              <w:ind w:right="12"/>
              <w:rPr>
                <w:sz w:val="22"/>
                <w:szCs w:val="22"/>
                <w:lang w:eastAsia="en-US"/>
              </w:rPr>
            </w:pPr>
            <w:r w:rsidRPr="00D47C37">
              <w:rPr>
                <w:sz w:val="22"/>
                <w:szCs w:val="22"/>
                <w:lang w:eastAsia="en-US"/>
              </w:rPr>
              <w:t xml:space="preserve">Lors de la préparation et la mise en </w:t>
            </w:r>
            <w:r w:rsidR="001E6141" w:rsidRPr="00D47C37">
              <w:rPr>
                <w:sz w:val="22"/>
                <w:szCs w:val="22"/>
                <w:lang w:eastAsia="en-US"/>
              </w:rPr>
              <w:t>œuvre</w:t>
            </w:r>
            <w:r w:rsidRPr="00D47C37">
              <w:rPr>
                <w:sz w:val="22"/>
                <w:szCs w:val="22"/>
                <w:lang w:eastAsia="en-US"/>
              </w:rPr>
              <w:t xml:space="preserve"> du projet, la consultation et la participation du public </w:t>
            </w:r>
            <w:r w:rsidR="001E6141" w:rsidRPr="00D47C37">
              <w:rPr>
                <w:sz w:val="22"/>
                <w:szCs w:val="22"/>
                <w:lang w:eastAsia="en-US"/>
              </w:rPr>
              <w:t>sont-elles</w:t>
            </w:r>
            <w:r w:rsidR="007B4D24" w:rsidRPr="00D47C37">
              <w:rPr>
                <w:sz w:val="22"/>
                <w:szCs w:val="22"/>
                <w:lang w:eastAsia="en-US"/>
              </w:rPr>
              <w:t xml:space="preserve"> </w:t>
            </w:r>
            <w:r w:rsidRPr="00D47C37">
              <w:rPr>
                <w:sz w:val="22"/>
                <w:szCs w:val="22"/>
                <w:lang w:eastAsia="en-US"/>
              </w:rPr>
              <w:t xml:space="preserve">été </w:t>
            </w:r>
            <w:r w:rsidR="00036229">
              <w:rPr>
                <w:sz w:val="22"/>
                <w:szCs w:val="22"/>
                <w:lang w:eastAsia="en-US"/>
              </w:rPr>
              <w:t>recherchées ?</w:t>
            </w:r>
          </w:p>
        </w:tc>
        <w:tc>
          <w:tcPr>
            <w:tcW w:w="289" w:type="pct"/>
          </w:tcPr>
          <w:p w:rsidR="002A6174" w:rsidRPr="00D47C37" w:rsidRDefault="002A6174" w:rsidP="00A76F4A">
            <w:pPr>
              <w:ind w:right="12"/>
              <w:rPr>
                <w:sz w:val="22"/>
                <w:szCs w:val="22"/>
              </w:rPr>
            </w:pPr>
          </w:p>
        </w:tc>
        <w:tc>
          <w:tcPr>
            <w:tcW w:w="308" w:type="pct"/>
          </w:tcPr>
          <w:p w:rsidR="002A6174" w:rsidRPr="00D47C37" w:rsidRDefault="002A6174" w:rsidP="00A76F4A">
            <w:pPr>
              <w:ind w:right="12"/>
              <w:rPr>
                <w:sz w:val="22"/>
                <w:szCs w:val="22"/>
              </w:rPr>
            </w:pPr>
          </w:p>
        </w:tc>
        <w:tc>
          <w:tcPr>
            <w:tcW w:w="1116" w:type="pct"/>
          </w:tcPr>
          <w:p w:rsidR="002A6174" w:rsidRPr="00D47C37" w:rsidRDefault="002A6174" w:rsidP="00A76F4A">
            <w:pPr>
              <w:ind w:right="12"/>
              <w:rPr>
                <w:sz w:val="22"/>
                <w:szCs w:val="22"/>
              </w:rPr>
            </w:pPr>
          </w:p>
        </w:tc>
      </w:tr>
    </w:tbl>
    <w:p w:rsidR="00353788" w:rsidRDefault="00353788" w:rsidP="00A76F4A">
      <w:pPr>
        <w:ind w:right="12"/>
        <w:rPr>
          <w:b/>
          <w:sz w:val="20"/>
          <w:szCs w:val="20"/>
          <w:u w:val="single"/>
        </w:rPr>
      </w:pPr>
    </w:p>
    <w:p w:rsidR="00353788" w:rsidRDefault="00353788" w:rsidP="00A76F4A">
      <w:pPr>
        <w:ind w:right="12"/>
        <w:rPr>
          <w:b/>
          <w:sz w:val="20"/>
          <w:szCs w:val="20"/>
          <w:u w:val="single"/>
        </w:rPr>
      </w:pPr>
    </w:p>
    <w:p w:rsidR="003D1623" w:rsidRDefault="003D1623" w:rsidP="00A76F4A">
      <w:pPr>
        <w:ind w:right="12"/>
      </w:pPr>
      <w:r w:rsidRPr="00D47C37">
        <w:rPr>
          <w:b/>
          <w:u w:val="single"/>
        </w:rPr>
        <w:t>PARTIE C : Mesures d’atténuation Au vu du Checklist sur les Impacts et Mesures d’atténuation</w:t>
      </w:r>
      <w:r w:rsidRPr="00D47C37">
        <w:t xml:space="preserve"> (document fourni à part), décrire brièvement les mesures d’atténuation ou de bonification qui doivent être prises dans le cadre de la mise en œuvre du projet. </w:t>
      </w:r>
    </w:p>
    <w:p w:rsidR="006162B1" w:rsidRPr="00D47C37" w:rsidRDefault="006162B1" w:rsidP="00A76F4A">
      <w:pPr>
        <w:ind w:right="12"/>
      </w:pPr>
    </w:p>
    <w:tbl>
      <w:tblPr>
        <w:tblStyle w:val="Tabelacomgrelha"/>
        <w:tblW w:w="10323" w:type="dxa"/>
        <w:tblInd w:w="-545" w:type="dxa"/>
        <w:tblLook w:val="04A0" w:firstRow="1" w:lastRow="0" w:firstColumn="1" w:lastColumn="0" w:noHBand="0" w:noVBand="1"/>
      </w:tblPr>
      <w:tblGrid>
        <w:gridCol w:w="10323"/>
      </w:tblGrid>
      <w:tr w:rsidR="003D1623" w:rsidRPr="00FD4E69" w:rsidTr="006162B1">
        <w:trPr>
          <w:trHeight w:val="1081"/>
        </w:trPr>
        <w:tc>
          <w:tcPr>
            <w:tcW w:w="10323" w:type="dxa"/>
          </w:tcPr>
          <w:p w:rsidR="003D1623" w:rsidRPr="00D47C37" w:rsidRDefault="003D1623" w:rsidP="00A76F4A">
            <w:pPr>
              <w:ind w:right="12"/>
            </w:pPr>
          </w:p>
          <w:p w:rsidR="003D1623" w:rsidRPr="00D47C37" w:rsidRDefault="003D1623" w:rsidP="00A76F4A">
            <w:pPr>
              <w:ind w:right="12"/>
            </w:pPr>
          </w:p>
        </w:tc>
      </w:tr>
    </w:tbl>
    <w:p w:rsidR="00FD4E69" w:rsidRDefault="00FD4E69" w:rsidP="00A76F4A">
      <w:pPr>
        <w:ind w:right="12"/>
        <w:rPr>
          <w:b/>
          <w:u w:val="single"/>
        </w:rPr>
      </w:pPr>
    </w:p>
    <w:p w:rsidR="003D1623" w:rsidRPr="00D47C37" w:rsidRDefault="003D1623" w:rsidP="00A76F4A">
      <w:pPr>
        <w:ind w:right="12"/>
        <w:rPr>
          <w:b/>
          <w:u w:val="single"/>
        </w:rPr>
      </w:pPr>
      <w:r w:rsidRPr="00D47C37">
        <w:rPr>
          <w:b/>
          <w:u w:val="single"/>
        </w:rPr>
        <w:t>PARTIE D :</w:t>
      </w:r>
    </w:p>
    <w:p w:rsidR="001344FB" w:rsidRDefault="003D1623" w:rsidP="00A76F4A">
      <w:pPr>
        <w:ind w:right="12"/>
        <w:rPr>
          <w:b/>
          <w:i/>
        </w:rPr>
      </w:pPr>
      <w:r w:rsidRPr="00D47C37">
        <w:rPr>
          <w:b/>
          <w:i/>
        </w:rPr>
        <w:t xml:space="preserve"> </w:t>
      </w:r>
    </w:p>
    <w:p w:rsidR="003D1623" w:rsidRPr="00D47C37" w:rsidRDefault="003D1623" w:rsidP="00A76F4A">
      <w:pPr>
        <w:ind w:right="12"/>
        <w:rPr>
          <w:b/>
          <w:i/>
        </w:rPr>
      </w:pPr>
      <w:r w:rsidRPr="00D47C37">
        <w:rPr>
          <w:b/>
          <w:i/>
        </w:rPr>
        <w:t xml:space="preserve">Classification du projet et travail environnemental </w:t>
      </w:r>
    </w:p>
    <w:p w:rsidR="00FD4E69" w:rsidRDefault="00FD4E69" w:rsidP="00A76F4A">
      <w:pPr>
        <w:ind w:right="12"/>
      </w:pPr>
    </w:p>
    <w:p w:rsidR="003D1623" w:rsidRDefault="003D1623" w:rsidP="00A76F4A">
      <w:pPr>
        <w:ind w:right="12"/>
      </w:pPr>
      <w:r w:rsidRPr="00D47C37">
        <w:t xml:space="preserve">Régime de Déclaration </w:t>
      </w:r>
    </w:p>
    <w:p w:rsidR="001F5EED" w:rsidRPr="00D47C37" w:rsidRDefault="001F5EED" w:rsidP="00A76F4A">
      <w:pPr>
        <w:ind w:right="12"/>
      </w:pPr>
    </w:p>
    <w:p w:rsidR="005E59DF" w:rsidRDefault="005E59DF" w:rsidP="00A76F4A">
      <w:pPr>
        <w:pStyle w:val="PargrafodaLista"/>
        <w:numPr>
          <w:ilvl w:val="0"/>
          <w:numId w:val="275"/>
        </w:numPr>
        <w:spacing w:after="0" w:line="240" w:lineRule="auto"/>
        <w:ind w:left="432" w:right="12"/>
        <w:rPr>
          <w:rFonts w:ascii="Times New Roman" w:hAnsi="Times New Roman"/>
          <w:sz w:val="24"/>
          <w:szCs w:val="24"/>
        </w:rPr>
      </w:pPr>
      <w:r w:rsidRPr="00D47C37">
        <w:rPr>
          <w:rFonts w:ascii="Times New Roman" w:hAnsi="Times New Roman"/>
          <w:sz w:val="24"/>
          <w:szCs w:val="24"/>
        </w:rPr>
        <w:t>Catégorie 1 : Exige qu'une EIES soit soumise à la date :…….</w:t>
      </w:r>
    </w:p>
    <w:p w:rsidR="00D87F62" w:rsidRDefault="00D87F62" w:rsidP="00A76F4A">
      <w:pPr>
        <w:pStyle w:val="PargrafodaLista"/>
        <w:spacing w:after="0" w:line="240" w:lineRule="auto"/>
        <w:ind w:left="432" w:right="12"/>
        <w:rPr>
          <w:rFonts w:ascii="Times New Roman" w:hAnsi="Times New Roman"/>
          <w:sz w:val="24"/>
          <w:szCs w:val="24"/>
        </w:rPr>
      </w:pPr>
    </w:p>
    <w:p w:rsidR="00FF2561" w:rsidRPr="00D47C37" w:rsidRDefault="00FF2561" w:rsidP="00A76F4A">
      <w:pPr>
        <w:pStyle w:val="PargrafodaLista"/>
        <w:numPr>
          <w:ilvl w:val="0"/>
          <w:numId w:val="275"/>
        </w:numPr>
        <w:spacing w:after="0" w:line="240" w:lineRule="auto"/>
        <w:ind w:left="432" w:right="12"/>
        <w:rPr>
          <w:rFonts w:ascii="Times New Roman" w:hAnsi="Times New Roman"/>
          <w:sz w:val="24"/>
          <w:szCs w:val="24"/>
        </w:rPr>
      </w:pPr>
      <w:r w:rsidRPr="00176649">
        <w:rPr>
          <w:rFonts w:ascii="Times New Roman" w:eastAsiaTheme="minorHAnsi" w:hAnsi="Times New Roman"/>
          <w:sz w:val="24"/>
          <w:szCs w:val="24"/>
        </w:rPr>
        <w:t>Catégorie 2 : Exige qu'une AEI soit soumise à la date :..........</w:t>
      </w:r>
    </w:p>
    <w:p w:rsidR="00D87F62" w:rsidRPr="00D47C37" w:rsidRDefault="00D87F62" w:rsidP="00A76F4A">
      <w:pPr>
        <w:pStyle w:val="PargrafodaLista"/>
        <w:spacing w:after="0" w:line="240" w:lineRule="auto"/>
        <w:ind w:left="432" w:right="12"/>
        <w:rPr>
          <w:rFonts w:ascii="Times New Roman" w:hAnsi="Times New Roman"/>
          <w:sz w:val="24"/>
          <w:szCs w:val="24"/>
        </w:rPr>
      </w:pPr>
    </w:p>
    <w:p w:rsidR="00FF2561" w:rsidRPr="00D47C37" w:rsidRDefault="00FF2561" w:rsidP="00A76F4A">
      <w:pPr>
        <w:pStyle w:val="PargrafodaLista"/>
        <w:numPr>
          <w:ilvl w:val="0"/>
          <w:numId w:val="275"/>
        </w:numPr>
        <w:spacing w:after="0" w:line="240" w:lineRule="auto"/>
        <w:ind w:left="432" w:right="12"/>
        <w:rPr>
          <w:rFonts w:ascii="Times New Roman" w:hAnsi="Times New Roman"/>
          <w:sz w:val="24"/>
          <w:szCs w:val="24"/>
        </w:rPr>
      </w:pPr>
      <w:r w:rsidRPr="00D47C37">
        <w:rPr>
          <w:rFonts w:ascii="Times New Roman" w:hAnsi="Times New Roman"/>
          <w:sz w:val="24"/>
          <w:szCs w:val="24"/>
        </w:rPr>
        <w:t>Ne nécessite pas d'études environnementales ou sociales supplémentaires</w:t>
      </w:r>
    </w:p>
    <w:p w:rsidR="00FF2561" w:rsidRPr="005E59DF" w:rsidRDefault="00FF2561" w:rsidP="00A76F4A">
      <w:pPr>
        <w:ind w:left="432" w:right="12"/>
      </w:pPr>
      <w:r>
        <w:t>L'application de mesures d'atténuation simples par du personnel qualifié suffira (</w:t>
      </w:r>
      <w:r w:rsidR="00092B4E">
        <w:t>check-liste</w:t>
      </w:r>
      <w:r>
        <w:t xml:space="preserve"> de contrôle).</w:t>
      </w:r>
    </w:p>
    <w:p w:rsidR="005E59DF" w:rsidRPr="005E59DF" w:rsidRDefault="005E59DF" w:rsidP="00A76F4A">
      <w:pPr>
        <w:pStyle w:val="PargrafodaLista"/>
        <w:spacing w:after="0" w:line="240" w:lineRule="auto"/>
        <w:ind w:left="1428" w:right="12"/>
      </w:pPr>
    </w:p>
    <w:p w:rsidR="00F03935" w:rsidRPr="00D47C37" w:rsidRDefault="003D1623" w:rsidP="00A76F4A">
      <w:pPr>
        <w:ind w:right="12"/>
      </w:pPr>
      <w:r w:rsidRPr="00D47C37">
        <w:t>Travail social nécessaire</w:t>
      </w:r>
    </w:p>
    <w:p w:rsidR="003D1623" w:rsidRPr="00D47C37" w:rsidRDefault="003D1623" w:rsidP="00A76F4A">
      <w:pPr>
        <w:ind w:right="12"/>
        <w:rPr>
          <w:i/>
        </w:rPr>
      </w:pPr>
      <w:r w:rsidRPr="00D47C37">
        <w:rPr>
          <w:i/>
        </w:rPr>
        <w:t xml:space="preserve"> </w:t>
      </w:r>
    </w:p>
    <w:p w:rsidR="003D1623" w:rsidRPr="005B67CD" w:rsidRDefault="003D1623" w:rsidP="00A76F4A">
      <w:pPr>
        <w:pStyle w:val="PargrafodaLista"/>
        <w:numPr>
          <w:ilvl w:val="0"/>
          <w:numId w:val="274"/>
        </w:numPr>
        <w:spacing w:after="0" w:line="240" w:lineRule="auto"/>
        <w:ind w:right="12"/>
      </w:pPr>
      <w:r w:rsidRPr="00D47C37">
        <w:rPr>
          <w:rFonts w:ascii="Times New Roman" w:hAnsi="Times New Roman"/>
          <w:sz w:val="24"/>
          <w:szCs w:val="24"/>
        </w:rPr>
        <w:t>Pas d’étude sociale à faire …..</w:t>
      </w:r>
    </w:p>
    <w:p w:rsidR="00766024" w:rsidRPr="005B67CD" w:rsidRDefault="003D1623" w:rsidP="00A76F4A">
      <w:pPr>
        <w:pStyle w:val="PargrafodaLista"/>
        <w:numPr>
          <w:ilvl w:val="0"/>
          <w:numId w:val="274"/>
        </w:numPr>
        <w:spacing w:after="0" w:line="240" w:lineRule="auto"/>
        <w:ind w:right="12"/>
      </w:pPr>
      <w:r w:rsidRPr="00D47C37">
        <w:rPr>
          <w:rFonts w:ascii="Times New Roman" w:hAnsi="Times New Roman"/>
          <w:sz w:val="24"/>
          <w:szCs w:val="24"/>
        </w:rPr>
        <w:t>PAR ….</w:t>
      </w:r>
    </w:p>
    <w:p w:rsidR="00766024" w:rsidRPr="00766024" w:rsidRDefault="00766024" w:rsidP="00A76F4A">
      <w:pPr>
        <w:ind w:right="12"/>
        <w:sectPr w:rsidR="00766024" w:rsidRPr="00766024" w:rsidSect="00D47C37">
          <w:pgSz w:w="11906" w:h="16838"/>
          <w:pgMar w:top="1411" w:right="1411" w:bottom="1411" w:left="1411" w:header="317" w:footer="706" w:gutter="0"/>
          <w:cols w:space="708"/>
          <w:docGrid w:linePitch="360"/>
        </w:sectPr>
      </w:pPr>
    </w:p>
    <w:p w:rsidR="00374A0D" w:rsidRPr="00D47C37" w:rsidRDefault="00F6724C" w:rsidP="00A76F4A">
      <w:pPr>
        <w:pStyle w:val="Cabealho1"/>
        <w:numPr>
          <w:ilvl w:val="0"/>
          <w:numId w:val="0"/>
        </w:numPr>
        <w:pBdr>
          <w:bottom w:val="thickThinSmallGap" w:sz="24" w:space="1" w:color="auto"/>
        </w:pBdr>
        <w:spacing w:after="120"/>
        <w:ind w:left="-432" w:right="12"/>
        <w:rPr>
          <w:rFonts w:ascii="Times New Roman" w:hAnsi="Times New Roman"/>
          <w:sz w:val="24"/>
          <w:szCs w:val="24"/>
        </w:rPr>
      </w:pPr>
      <w:bookmarkStart w:id="477" w:name="_Toc75432350"/>
      <w:r w:rsidRPr="00D47C37">
        <w:rPr>
          <w:rFonts w:ascii="Times New Roman" w:hAnsi="Times New Roman"/>
          <w:sz w:val="24"/>
          <w:szCs w:val="24"/>
        </w:rPr>
        <w:lastRenderedPageBreak/>
        <w:t xml:space="preserve">ANNEXE 3. </w:t>
      </w:r>
      <w:r w:rsidR="00374A0D" w:rsidRPr="00D47C37">
        <w:rPr>
          <w:rFonts w:ascii="Times New Roman" w:hAnsi="Times New Roman"/>
          <w:sz w:val="24"/>
          <w:szCs w:val="24"/>
        </w:rPr>
        <w:t>CODES DE CONDUITE ET PLAN D’ACTION POUR LA MISE EN ŒUVRE DES NORMES ESHS ET HST</w:t>
      </w:r>
      <w:bookmarkEnd w:id="477"/>
      <w:r w:rsidR="00374A0D" w:rsidRPr="00D47C37">
        <w:rPr>
          <w:rFonts w:ascii="Times New Roman" w:hAnsi="Times New Roman"/>
          <w:sz w:val="24"/>
          <w:szCs w:val="24"/>
        </w:rPr>
        <w:t xml:space="preserve"> </w:t>
      </w:r>
    </w:p>
    <w:p w:rsidR="00374A0D" w:rsidRPr="00345951" w:rsidRDefault="00374A0D" w:rsidP="00A76F4A">
      <w:pPr>
        <w:spacing w:after="120"/>
        <w:ind w:right="12"/>
        <w:outlineLvl w:val="1"/>
        <w:rPr>
          <w:b/>
          <w:bCs/>
        </w:rPr>
      </w:pPr>
      <w:bookmarkStart w:id="478" w:name="_Toc73459795"/>
      <w:bookmarkStart w:id="479" w:name="_Toc75432351"/>
      <w:r w:rsidRPr="00345951">
        <w:rPr>
          <w:b/>
          <w:bCs/>
        </w:rPr>
        <w:t>Généralités</w:t>
      </w:r>
      <w:bookmarkEnd w:id="478"/>
      <w:bookmarkEnd w:id="479"/>
      <w:r w:rsidRPr="00345951">
        <w:rPr>
          <w:b/>
          <w:bCs/>
        </w:rPr>
        <w:t xml:space="preserve"> </w:t>
      </w:r>
    </w:p>
    <w:p w:rsidR="00374A0D" w:rsidRPr="009C1D9E" w:rsidRDefault="00374A0D" w:rsidP="00A76F4A">
      <w:pPr>
        <w:autoSpaceDE w:val="0"/>
        <w:autoSpaceDN w:val="0"/>
        <w:adjustRightInd w:val="0"/>
        <w:ind w:right="12"/>
        <w:jc w:val="both"/>
      </w:pPr>
      <w:r w:rsidRPr="009C1D9E">
        <w:t>Le but des présents Codes de conduite et plan d’action pour la mise en œuvre des normes Environnementales et sociales, d’hygiène et de sécurité (ESHS), d’Hygiène et de sécurité au travail (HST), la prévention d’EAS/HS et les violences contre les enfants (VCE) consiste à introduire un ensemble de définitions clefs, des codes de conduite et des lignes directrices afin de :</w:t>
      </w:r>
    </w:p>
    <w:p w:rsidR="00374A0D" w:rsidRPr="00A05698" w:rsidRDefault="00374A0D" w:rsidP="00A76F4A">
      <w:pPr>
        <w:ind w:left="-284" w:right="12"/>
        <w:jc w:val="both"/>
        <w:rPr>
          <w:rFonts w:eastAsia="Times New Roman"/>
        </w:rPr>
      </w:pPr>
    </w:p>
    <w:p w:rsidR="00374A0D" w:rsidRPr="000E214D" w:rsidRDefault="00374A0D" w:rsidP="00A76F4A">
      <w:pPr>
        <w:pStyle w:val="PargrafodaLista"/>
        <w:numPr>
          <w:ilvl w:val="0"/>
          <w:numId w:val="98"/>
        </w:numPr>
        <w:ind w:left="851" w:right="12"/>
        <w:jc w:val="both"/>
        <w:rPr>
          <w:rFonts w:ascii="Times New Roman" w:eastAsia="Times New Roman" w:hAnsi="Times New Roman"/>
          <w:sz w:val="22"/>
          <w:szCs w:val="22"/>
        </w:rPr>
      </w:pPr>
      <w:r w:rsidRPr="000E214D">
        <w:rPr>
          <w:rFonts w:ascii="Times New Roman" w:eastAsia="Times New Roman" w:hAnsi="Times New Roman"/>
          <w:sz w:val="22"/>
          <w:szCs w:val="22"/>
        </w:rPr>
        <w:t xml:space="preserve">Définir clairement les obligations de tous les membres du personnel du projet (y compris les sous-traitants et les journaliers) concernant la mise en œuvre des normes environnementales, sociales, de santé et de sécurité (ESHS) et d’hygiène et de sécurité au travail (HST) ; et </w:t>
      </w:r>
    </w:p>
    <w:p w:rsidR="00374A0D" w:rsidRPr="000E214D" w:rsidRDefault="00374A0D" w:rsidP="00A76F4A">
      <w:pPr>
        <w:pStyle w:val="PargrafodaLista"/>
        <w:numPr>
          <w:ilvl w:val="0"/>
          <w:numId w:val="98"/>
        </w:numPr>
        <w:ind w:left="851" w:right="12"/>
        <w:jc w:val="both"/>
        <w:rPr>
          <w:rFonts w:ascii="Times New Roman" w:eastAsia="Times New Roman" w:hAnsi="Times New Roman"/>
          <w:sz w:val="22"/>
          <w:szCs w:val="22"/>
        </w:rPr>
      </w:pPr>
      <w:r w:rsidRPr="000E214D">
        <w:rPr>
          <w:rFonts w:ascii="Times New Roman" w:eastAsia="Times New Roman" w:hAnsi="Times New Roman"/>
          <w:sz w:val="22"/>
          <w:szCs w:val="22"/>
        </w:rPr>
        <w:t>Contribuer à prévenir, identifier et combattre les incidents d’EAS/HS et la VCE sur le chantier et dans les communautés avoisinantes.</w:t>
      </w:r>
    </w:p>
    <w:p w:rsidR="00374A0D" w:rsidRPr="009C1D9E" w:rsidRDefault="00374A0D" w:rsidP="00A76F4A">
      <w:pPr>
        <w:autoSpaceDE w:val="0"/>
        <w:autoSpaceDN w:val="0"/>
        <w:adjustRightInd w:val="0"/>
        <w:ind w:right="12"/>
        <w:jc w:val="both"/>
      </w:pPr>
      <w:r w:rsidRPr="009C1D9E">
        <w:t>L’application de ces Codes de Conduites permettra de faire en sorte que le projet atteigne ses objectifs en matière de normes ESHS et HST, ainsi que de prévenir et/ou atténuer les risques de VBG et de VCE sur le site du projet et dans les communautés locales. Les personnes travaillant dans le projet doivent adopter ces Codes de conduite qui vise à :</w:t>
      </w:r>
    </w:p>
    <w:p w:rsidR="00374A0D" w:rsidRPr="006F0EA9" w:rsidRDefault="00374A0D" w:rsidP="00A76F4A">
      <w:pPr>
        <w:ind w:left="851" w:right="12"/>
        <w:jc w:val="both"/>
        <w:rPr>
          <w:rFonts w:eastAsia="Times New Roman"/>
          <w:sz w:val="22"/>
          <w:szCs w:val="22"/>
        </w:rPr>
      </w:pPr>
      <w:r w:rsidRPr="006F0EA9">
        <w:rPr>
          <w:rFonts w:eastAsia="Times New Roman"/>
          <w:sz w:val="22"/>
          <w:szCs w:val="22"/>
        </w:rPr>
        <w:t xml:space="preserve"> i. Sensibiliser le personnel opérant dans le projet aux attentes en matière de ESHS et de HST ; et</w:t>
      </w:r>
    </w:p>
    <w:p w:rsidR="00374A0D" w:rsidRPr="006F0EA9" w:rsidRDefault="00374A0D" w:rsidP="00A76F4A">
      <w:pPr>
        <w:ind w:left="851" w:right="12"/>
        <w:jc w:val="both"/>
        <w:rPr>
          <w:rFonts w:eastAsia="Times New Roman"/>
          <w:sz w:val="22"/>
          <w:szCs w:val="22"/>
        </w:rPr>
      </w:pPr>
      <w:r w:rsidRPr="006F0EA9">
        <w:rPr>
          <w:rFonts w:eastAsia="Times New Roman"/>
          <w:sz w:val="22"/>
          <w:szCs w:val="22"/>
        </w:rPr>
        <w:t xml:space="preserve"> ii. Créer une prise de conscience concernant l’EAS/HS et de VCE, et : </w:t>
      </w:r>
    </w:p>
    <w:p w:rsidR="00374A0D" w:rsidRPr="006F0EA9" w:rsidRDefault="00374A0D" w:rsidP="00A76F4A">
      <w:pPr>
        <w:ind w:left="1276" w:right="12"/>
        <w:jc w:val="both"/>
        <w:rPr>
          <w:rFonts w:eastAsia="Times New Roman"/>
          <w:sz w:val="22"/>
          <w:szCs w:val="22"/>
        </w:rPr>
      </w:pPr>
      <w:r w:rsidRPr="006F0EA9">
        <w:rPr>
          <w:rFonts w:eastAsia="Times New Roman"/>
          <w:sz w:val="22"/>
          <w:szCs w:val="22"/>
        </w:rPr>
        <w:t xml:space="preserve">a) Créer un consensus sur le fait que tels actes n’ont pas leur place dans le projet ; et </w:t>
      </w:r>
    </w:p>
    <w:p w:rsidR="00374A0D" w:rsidRPr="006F0EA9" w:rsidRDefault="00374A0D" w:rsidP="00A76F4A">
      <w:pPr>
        <w:ind w:left="1276" w:right="12"/>
        <w:jc w:val="both"/>
        <w:rPr>
          <w:rFonts w:eastAsia="Times New Roman"/>
          <w:sz w:val="22"/>
          <w:szCs w:val="22"/>
        </w:rPr>
      </w:pPr>
      <w:r w:rsidRPr="006F0EA9">
        <w:rPr>
          <w:rFonts w:eastAsia="Times New Roman"/>
          <w:sz w:val="22"/>
          <w:szCs w:val="22"/>
        </w:rPr>
        <w:t xml:space="preserve">b) Etablir un protocole pour identifier les incidents d’EAS/HS et de VCE ; répondre à tels incidents ; et les sanctionner. </w:t>
      </w:r>
    </w:p>
    <w:p w:rsidR="00374A0D" w:rsidRPr="00A05698" w:rsidRDefault="00374A0D" w:rsidP="00A76F4A">
      <w:pPr>
        <w:ind w:right="12"/>
        <w:rPr>
          <w:rFonts w:eastAsia="Times New Roman"/>
        </w:rPr>
      </w:pPr>
    </w:p>
    <w:p w:rsidR="00374A0D" w:rsidRPr="009C1D9E" w:rsidRDefault="00374A0D" w:rsidP="00A76F4A">
      <w:pPr>
        <w:autoSpaceDE w:val="0"/>
        <w:autoSpaceDN w:val="0"/>
        <w:adjustRightInd w:val="0"/>
        <w:ind w:right="12"/>
        <w:jc w:val="both"/>
      </w:pPr>
      <w:r w:rsidRPr="009C1D9E">
        <w:t xml:space="preserve">L’objectif des Codes de Conduite est de s'assurer que tout le personnel du projet comprenne les valeurs morales du projet, les conduites que tout employé est tenu à suivre et les conséquences des violations de ces valeurs. Cette compréhension contribuera à une mise en œuvre du projet plus harmonieuse, plus respectueuse et plus productive, pour faire en sorte que les objectifs du projet soient atteints. </w:t>
      </w:r>
    </w:p>
    <w:p w:rsidR="00374A0D" w:rsidRPr="00A05698" w:rsidRDefault="00374A0D" w:rsidP="00A76F4A">
      <w:pPr>
        <w:ind w:right="12"/>
        <w:rPr>
          <w:rFonts w:eastAsia="Times New Roman"/>
        </w:rPr>
      </w:pPr>
    </w:p>
    <w:p w:rsidR="00374A0D" w:rsidRPr="00345951" w:rsidRDefault="00374A0D" w:rsidP="00A76F4A">
      <w:pPr>
        <w:spacing w:after="120"/>
        <w:ind w:right="12"/>
        <w:outlineLvl w:val="1"/>
        <w:rPr>
          <w:b/>
          <w:bCs/>
        </w:rPr>
      </w:pPr>
      <w:bookmarkStart w:id="480" w:name="_Toc73459796"/>
      <w:bookmarkStart w:id="481" w:name="_Toc75432352"/>
      <w:r w:rsidRPr="00345951">
        <w:rPr>
          <w:b/>
          <w:bCs/>
        </w:rPr>
        <w:t>Codes de conduite</w:t>
      </w:r>
      <w:bookmarkEnd w:id="480"/>
      <w:bookmarkEnd w:id="481"/>
      <w:r w:rsidRPr="00345951">
        <w:rPr>
          <w:b/>
          <w:bCs/>
        </w:rPr>
        <w:t xml:space="preserve"> </w:t>
      </w:r>
    </w:p>
    <w:p w:rsidR="00374A0D" w:rsidRPr="009C1D9E" w:rsidRDefault="00374A0D" w:rsidP="00A76F4A">
      <w:pPr>
        <w:autoSpaceDE w:val="0"/>
        <w:autoSpaceDN w:val="0"/>
        <w:adjustRightInd w:val="0"/>
        <w:ind w:right="12"/>
        <w:jc w:val="both"/>
      </w:pPr>
      <w:r w:rsidRPr="009C1D9E">
        <w:t xml:space="preserve">- Code de conduite du gestionnaire (FAO) : Engage le gestionnaire (FAO) à mettre en œuvre le Code de conduite de l’entreprise, y compris ceux que qui sont signés par les individus ; et </w:t>
      </w:r>
    </w:p>
    <w:p w:rsidR="00374A0D" w:rsidRPr="006F0EA9" w:rsidRDefault="00374A0D" w:rsidP="00A76F4A">
      <w:pPr>
        <w:autoSpaceDE w:val="0"/>
        <w:autoSpaceDN w:val="0"/>
        <w:adjustRightInd w:val="0"/>
        <w:ind w:right="12"/>
        <w:jc w:val="both"/>
      </w:pPr>
      <w:r w:rsidRPr="009C1D9E">
        <w:t>- Code de conduite individuel : Code de conduite pour toute personne travaillant sur le projet, y compris les gestionnaires (FAO).</w:t>
      </w:r>
    </w:p>
    <w:p w:rsidR="00374A0D" w:rsidRPr="009D7D30" w:rsidRDefault="00374A0D" w:rsidP="00A76F4A">
      <w:pPr>
        <w:pStyle w:val="PargrafodaLista"/>
        <w:numPr>
          <w:ilvl w:val="0"/>
          <w:numId w:val="168"/>
        </w:numPr>
        <w:spacing w:before="120" w:after="0"/>
        <w:ind w:right="12"/>
        <w:rPr>
          <w:rFonts w:ascii="Times New Roman" w:eastAsia="Times New Roman" w:hAnsi="Times New Roman"/>
          <w:b/>
          <w:sz w:val="22"/>
          <w:szCs w:val="22"/>
        </w:rPr>
      </w:pPr>
      <w:r w:rsidRPr="009D7D30">
        <w:rPr>
          <w:rFonts w:ascii="Times New Roman" w:eastAsia="Times New Roman" w:hAnsi="Times New Roman"/>
          <w:b/>
          <w:sz w:val="22"/>
          <w:szCs w:val="22"/>
        </w:rPr>
        <w:t xml:space="preserve">Mise en œuvre des normes ESHS et HST </w:t>
      </w:r>
    </w:p>
    <w:p w:rsidR="00374A0D" w:rsidRPr="009C1D9E" w:rsidRDefault="00374A0D" w:rsidP="00A76F4A">
      <w:pPr>
        <w:autoSpaceDE w:val="0"/>
        <w:autoSpaceDN w:val="0"/>
        <w:adjustRightInd w:val="0"/>
        <w:ind w:right="12"/>
        <w:jc w:val="both"/>
      </w:pPr>
      <w:r w:rsidRPr="009C1D9E">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et la violence contre les enfants (VCE) n’aient pas lieu – elles ne seront tolérées par aucun employé, sous-traitant, fournisseur, associé ou représentant de l'entreprise. </w:t>
      </w:r>
    </w:p>
    <w:p w:rsidR="00374A0D" w:rsidRPr="009C1D9E" w:rsidRDefault="00374A0D" w:rsidP="00A76F4A">
      <w:pPr>
        <w:autoSpaceDE w:val="0"/>
        <w:autoSpaceDN w:val="0"/>
        <w:adjustRightInd w:val="0"/>
        <w:ind w:right="12"/>
        <w:jc w:val="both"/>
      </w:pPr>
    </w:p>
    <w:p w:rsidR="00374A0D" w:rsidRPr="009C1D9E" w:rsidRDefault="00374A0D" w:rsidP="00A76F4A">
      <w:pPr>
        <w:autoSpaceDE w:val="0"/>
        <w:autoSpaceDN w:val="0"/>
        <w:adjustRightInd w:val="0"/>
        <w:ind w:right="12"/>
        <w:jc w:val="both"/>
      </w:pPr>
      <w:r w:rsidRPr="009C1D9E">
        <w:lastRenderedPageBreak/>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374A0D" w:rsidRPr="00083B97" w:rsidRDefault="00374A0D" w:rsidP="00A76F4A">
      <w:pPr>
        <w:ind w:left="284" w:right="12"/>
        <w:jc w:val="both"/>
        <w:rPr>
          <w:b/>
          <w:bCs/>
        </w:rPr>
      </w:pPr>
    </w:p>
    <w:p w:rsidR="00374A0D" w:rsidRPr="006F0EA9" w:rsidRDefault="00374A0D" w:rsidP="00A76F4A">
      <w:pPr>
        <w:autoSpaceDE w:val="0"/>
        <w:autoSpaceDN w:val="0"/>
        <w:adjustRightInd w:val="0"/>
        <w:ind w:left="284" w:right="12"/>
        <w:jc w:val="both"/>
        <w:rPr>
          <w:b/>
          <w:u w:val="single"/>
        </w:rPr>
      </w:pPr>
      <w:r w:rsidRPr="006F0EA9">
        <w:rPr>
          <w:b/>
          <w:u w:val="single"/>
        </w:rPr>
        <w:t xml:space="preserve">Généralités </w:t>
      </w:r>
    </w:p>
    <w:p w:rsidR="00374A0D" w:rsidRPr="00A1253A" w:rsidRDefault="00374A0D" w:rsidP="00A76F4A">
      <w:pPr>
        <w:autoSpaceDE w:val="0"/>
        <w:autoSpaceDN w:val="0"/>
        <w:adjustRightInd w:val="0"/>
        <w:ind w:right="12"/>
        <w:jc w:val="both"/>
      </w:pPr>
      <w:r w:rsidRPr="00A1253A">
        <w:t xml:space="preserve">1. FAO, l'entreprise et par conséquent tous les employés, associés, représentants, sous-traitants et les fournisseurs – doivent s'engager à respecter toutes les lois, règles et réglementations nationales et les normes internationales. </w:t>
      </w:r>
    </w:p>
    <w:p w:rsidR="00374A0D" w:rsidRPr="00A1253A" w:rsidRDefault="00374A0D" w:rsidP="00A76F4A">
      <w:pPr>
        <w:autoSpaceDE w:val="0"/>
        <w:autoSpaceDN w:val="0"/>
        <w:adjustRightInd w:val="0"/>
        <w:ind w:right="12"/>
        <w:jc w:val="both"/>
      </w:pPr>
      <w:r w:rsidRPr="00A1253A">
        <w:t xml:space="preserve">2. FAO et entreprise doivent s'engager à mettre intégralement en œuvre son « Plan de gestion environnementale et sociale des entrepreneurs » (E-PGES), qui doit respecter les normes énoncées dans le plan d'engagement environnemental et social de la Banque mondiale. </w:t>
      </w:r>
    </w:p>
    <w:p w:rsidR="00374A0D" w:rsidRPr="00A1253A" w:rsidRDefault="00374A0D" w:rsidP="00A76F4A">
      <w:pPr>
        <w:autoSpaceDE w:val="0"/>
        <w:autoSpaceDN w:val="0"/>
        <w:adjustRightInd w:val="0"/>
        <w:ind w:right="12"/>
        <w:jc w:val="both"/>
      </w:pPr>
      <w:r w:rsidRPr="00A1253A">
        <w:t xml:space="preserve">3. FAO et entreprise doivent s'engager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 et de VCE constituent une violation de cet engagement. </w:t>
      </w:r>
    </w:p>
    <w:p w:rsidR="00374A0D" w:rsidRPr="00A1253A" w:rsidRDefault="00374A0D" w:rsidP="00A76F4A">
      <w:pPr>
        <w:autoSpaceDE w:val="0"/>
        <w:autoSpaceDN w:val="0"/>
        <w:adjustRightInd w:val="0"/>
        <w:ind w:right="12"/>
        <w:jc w:val="both"/>
      </w:pPr>
      <w:r w:rsidRPr="00A1253A">
        <w:t xml:space="preserve">4. FAO et entreprise doivent s'assurer que les interactions avec les membres de la communauté locale aient lieu dans le respect et en absence de discrimination. </w:t>
      </w:r>
    </w:p>
    <w:p w:rsidR="00374A0D" w:rsidRPr="00A1253A" w:rsidRDefault="00374A0D" w:rsidP="00A76F4A">
      <w:pPr>
        <w:autoSpaceDE w:val="0"/>
        <w:autoSpaceDN w:val="0"/>
        <w:adjustRightInd w:val="0"/>
        <w:ind w:right="12"/>
        <w:jc w:val="both"/>
      </w:pPr>
      <w:r w:rsidRPr="00A1253A">
        <w:t xml:space="preserve">5. 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374A0D" w:rsidRPr="00A1253A" w:rsidRDefault="00374A0D" w:rsidP="00A76F4A">
      <w:pPr>
        <w:autoSpaceDE w:val="0"/>
        <w:autoSpaceDN w:val="0"/>
        <w:adjustRightInd w:val="0"/>
        <w:ind w:right="12"/>
        <w:jc w:val="both"/>
      </w:pPr>
      <w:r w:rsidRPr="00A1253A">
        <w:t xml:space="preserve">6. FAO et entreprise devront suivre toutes les instructions de travail raisonnables (y compris celles qui concernent les normes environnementales et sociales). </w:t>
      </w:r>
    </w:p>
    <w:p w:rsidR="00374A0D" w:rsidRPr="00A1253A" w:rsidRDefault="00374A0D" w:rsidP="00A76F4A">
      <w:pPr>
        <w:autoSpaceDE w:val="0"/>
        <w:autoSpaceDN w:val="0"/>
        <w:adjustRightInd w:val="0"/>
        <w:ind w:right="12"/>
        <w:jc w:val="both"/>
      </w:pPr>
      <w:r w:rsidRPr="00A1253A">
        <w:t xml:space="preserve">7. FAO et entreprise protégera les biens et veillera à leur bonne utilisation (par exemple, interdire le vol, la négligence ou le gaspillage). </w:t>
      </w:r>
    </w:p>
    <w:p w:rsidR="00374A0D" w:rsidRPr="00A05698" w:rsidRDefault="00374A0D" w:rsidP="00A76F4A">
      <w:pPr>
        <w:ind w:right="12"/>
        <w:rPr>
          <w:rFonts w:eastAsia="Times New Roman"/>
        </w:rPr>
      </w:pPr>
    </w:p>
    <w:p w:rsidR="00374A0D" w:rsidRPr="006F0EA9" w:rsidRDefault="00374A0D" w:rsidP="00A76F4A">
      <w:pPr>
        <w:autoSpaceDE w:val="0"/>
        <w:autoSpaceDN w:val="0"/>
        <w:adjustRightInd w:val="0"/>
        <w:ind w:left="284" w:right="12"/>
        <w:jc w:val="both"/>
        <w:rPr>
          <w:b/>
          <w:u w:val="single"/>
        </w:rPr>
      </w:pPr>
      <w:r w:rsidRPr="006F0EA9">
        <w:rPr>
          <w:b/>
          <w:u w:val="single"/>
        </w:rPr>
        <w:t xml:space="preserve">Hygiène et sécurité </w:t>
      </w:r>
    </w:p>
    <w:p w:rsidR="00374A0D" w:rsidRPr="00A1253A" w:rsidRDefault="00374A0D" w:rsidP="00A76F4A">
      <w:pPr>
        <w:autoSpaceDE w:val="0"/>
        <w:autoSpaceDN w:val="0"/>
        <w:adjustRightInd w:val="0"/>
        <w:ind w:right="12"/>
        <w:jc w:val="both"/>
      </w:pPr>
      <w:r w:rsidRPr="00A1253A">
        <w:t xml:space="preserve">1. FAO et entreprise veillera à ce que le plan de gestion de l’hygiène, santé et sécurité au travail (HST) du projet soit efficacement mis en œuvre par le personnel de l'entreprise, ainsi que par les sous-traitants et les fournisseurs. </w:t>
      </w:r>
    </w:p>
    <w:p w:rsidR="00374A0D" w:rsidRPr="00A1253A" w:rsidRDefault="00374A0D" w:rsidP="00A76F4A">
      <w:pPr>
        <w:autoSpaceDE w:val="0"/>
        <w:autoSpaceDN w:val="0"/>
        <w:adjustRightInd w:val="0"/>
        <w:ind w:right="12"/>
        <w:jc w:val="both"/>
      </w:pPr>
      <w:r w:rsidRPr="00A1253A">
        <w:t xml:space="preserve">2. FAO et 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374A0D" w:rsidRPr="00A1253A" w:rsidRDefault="00374A0D" w:rsidP="00A76F4A">
      <w:pPr>
        <w:autoSpaceDE w:val="0"/>
        <w:autoSpaceDN w:val="0"/>
        <w:adjustRightInd w:val="0"/>
        <w:ind w:right="12"/>
        <w:jc w:val="both"/>
      </w:pPr>
      <w:r w:rsidRPr="00A1253A">
        <w:t xml:space="preserve">3. FAO et entreprise : Interdira la consommation d’alcool pendant le travail ; </w:t>
      </w:r>
      <w:r w:rsidRPr="00A1253A">
        <w:br/>
        <w:t xml:space="preserve">5. Interdira l'usage de stupéfiants ou d'autres substances qui peuvent altérer les facultés à tout moment. </w:t>
      </w:r>
    </w:p>
    <w:p w:rsidR="00374A0D" w:rsidRPr="00A1253A" w:rsidRDefault="00374A0D" w:rsidP="00A76F4A">
      <w:pPr>
        <w:autoSpaceDE w:val="0"/>
        <w:autoSpaceDN w:val="0"/>
        <w:adjustRightInd w:val="0"/>
        <w:ind w:right="12"/>
        <w:jc w:val="both"/>
      </w:pPr>
      <w:r w:rsidRPr="00A1253A">
        <w:t>6. FAO et entreprise veillera à ce que des installations sanitaires adéquates soient à disposition des travailleurs sur le site et dans tous les logements des travailleurs du projet.</w:t>
      </w:r>
    </w:p>
    <w:p w:rsidR="00374A0D" w:rsidRPr="00252B4C" w:rsidRDefault="00374A0D" w:rsidP="00A76F4A">
      <w:pPr>
        <w:ind w:right="12"/>
      </w:pPr>
    </w:p>
    <w:p w:rsidR="00374A0D" w:rsidRPr="009A4F92" w:rsidRDefault="00374A0D" w:rsidP="00A76F4A">
      <w:pPr>
        <w:autoSpaceDE w:val="0"/>
        <w:autoSpaceDN w:val="0"/>
        <w:adjustRightInd w:val="0"/>
        <w:ind w:left="284" w:right="12"/>
        <w:jc w:val="both"/>
        <w:rPr>
          <w:b/>
          <w:u w:val="single"/>
        </w:rPr>
      </w:pPr>
      <w:r w:rsidRPr="009A4F92">
        <w:rPr>
          <w:b/>
          <w:u w:val="single"/>
        </w:rPr>
        <w:t xml:space="preserve">Mise en œuvre </w:t>
      </w:r>
    </w:p>
    <w:p w:rsidR="00374A0D" w:rsidRPr="00FF0A9A" w:rsidRDefault="00374A0D" w:rsidP="00A76F4A">
      <w:pPr>
        <w:autoSpaceDE w:val="0"/>
        <w:autoSpaceDN w:val="0"/>
        <w:adjustRightInd w:val="0"/>
        <w:ind w:right="12"/>
        <w:jc w:val="both"/>
      </w:pPr>
      <w:r w:rsidRPr="00FF0A9A">
        <w:t xml:space="preserve">Pour veiller à ce que les principes énoncés ci-dessus soient efficacement mis en œuvre, FAO ou l’entreprise s’engage à faire en sorte que : </w:t>
      </w:r>
    </w:p>
    <w:p w:rsidR="00374A0D" w:rsidRPr="00FF0A9A" w:rsidRDefault="00374A0D" w:rsidP="00A76F4A">
      <w:pPr>
        <w:autoSpaceDE w:val="0"/>
        <w:autoSpaceDN w:val="0"/>
        <w:adjustRightInd w:val="0"/>
        <w:ind w:right="12"/>
        <w:jc w:val="both"/>
      </w:pPr>
      <w:r w:rsidRPr="00FF0A9A">
        <w:t xml:space="preserve">1. Tous les gestionnaires signent le « Code de conduite des gestionnaires » du projet, qui présente dans le détail leurs responsabilités, et consiste à mettre en œuvre les engagements de l'entreprise et à faire respecter les obligations du « Code de conduite individuel ». </w:t>
      </w:r>
    </w:p>
    <w:p w:rsidR="00374A0D" w:rsidRPr="00FF0A9A" w:rsidRDefault="00374A0D" w:rsidP="00A76F4A">
      <w:pPr>
        <w:autoSpaceDE w:val="0"/>
        <w:autoSpaceDN w:val="0"/>
        <w:adjustRightInd w:val="0"/>
        <w:ind w:right="12"/>
        <w:jc w:val="both"/>
      </w:pPr>
      <w:r w:rsidRPr="00FF0A9A">
        <w:lastRenderedPageBreak/>
        <w:t xml:space="preserve">2. Tous les employés signent le « Code de conduite individuel » du projet confirmant leur engagement à respecter les normes ESHS et HST, et à ne pas entreprendre des activités entraînant les VBG ou les VCE. </w:t>
      </w:r>
    </w:p>
    <w:p w:rsidR="00374A0D" w:rsidRPr="00FF0A9A" w:rsidRDefault="00374A0D" w:rsidP="00A76F4A">
      <w:pPr>
        <w:autoSpaceDE w:val="0"/>
        <w:autoSpaceDN w:val="0"/>
        <w:adjustRightInd w:val="0"/>
        <w:ind w:right="12"/>
        <w:jc w:val="both"/>
      </w:pPr>
      <w:r w:rsidRPr="00FF0A9A">
        <w:t xml:space="preserve">3. 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374A0D" w:rsidRPr="00FF0A9A" w:rsidRDefault="00374A0D" w:rsidP="00A76F4A">
      <w:pPr>
        <w:autoSpaceDE w:val="0"/>
        <w:autoSpaceDN w:val="0"/>
        <w:adjustRightInd w:val="0"/>
        <w:ind w:right="12"/>
        <w:jc w:val="both"/>
      </w:pPr>
      <w:r w:rsidRPr="00FF0A9A">
        <w:t xml:space="preserve">4. Les copies affichées et distribuées du Code de conduite de l'entreprise et du Code de conduite individuel doivent être traduites dans la langue appropriée utilisée dans les zones d’intervention du projet ainsi que dans la langue maternelle de tout personnel international. </w:t>
      </w:r>
    </w:p>
    <w:p w:rsidR="00374A0D" w:rsidRPr="00FF0A9A" w:rsidRDefault="00374A0D" w:rsidP="00A76F4A">
      <w:pPr>
        <w:autoSpaceDE w:val="0"/>
        <w:autoSpaceDN w:val="0"/>
        <w:adjustRightInd w:val="0"/>
        <w:ind w:right="12"/>
        <w:jc w:val="both"/>
      </w:pPr>
      <w:r w:rsidRPr="00FF0A9A">
        <w:t xml:space="preserve">5. Une personne désignée doit être nommée « Point focal » de l'entreprise pour le traitement des questions de VBG et de VCE, y compris pour représenter l'entreprise au sein de l’Equipe de Conformité (EC) contre les VBG et les VCE, qui est composée de représentants du client, de l'entrepreneur/des entrepreneurs, du consultant en supervision et du(des) prestataire(s) de services locaux. </w:t>
      </w:r>
    </w:p>
    <w:p w:rsidR="00374A0D" w:rsidRPr="00FF0A9A" w:rsidRDefault="00374A0D" w:rsidP="00A76F4A">
      <w:pPr>
        <w:autoSpaceDE w:val="0"/>
        <w:autoSpaceDN w:val="0"/>
        <w:adjustRightInd w:val="0"/>
        <w:ind w:right="12"/>
        <w:jc w:val="both"/>
      </w:pPr>
      <w:r w:rsidRPr="00FF0A9A">
        <w:t>6. En consultation avec de l’Equipe de conformité (EC), un Plan d'action efficace doit être élaboré, ce dernier doit comprendre au minimum les dispositions suivantes :</w:t>
      </w:r>
    </w:p>
    <w:p w:rsidR="00374A0D" w:rsidRPr="00FF0A9A" w:rsidRDefault="00374A0D" w:rsidP="00A76F4A">
      <w:pPr>
        <w:ind w:left="851" w:right="12"/>
        <w:jc w:val="both"/>
        <w:rPr>
          <w:rFonts w:eastAsia="Times New Roman"/>
        </w:rPr>
      </w:pPr>
      <w:r w:rsidRPr="00FF0A9A">
        <w:rPr>
          <w:rFonts w:eastAsia="Times New Roman"/>
        </w:rPr>
        <w:t xml:space="preserve">i. La Procédure d’allégation des incidents de VBG et de VCE pour signaler les incidents de VBG et de VCE par le biais du Mécanisme de règlement des plaintes (Section 4.3 Plan d’action) ; </w:t>
      </w:r>
    </w:p>
    <w:p w:rsidR="00374A0D" w:rsidRPr="00FF0A9A" w:rsidRDefault="00374A0D" w:rsidP="00A76F4A">
      <w:pPr>
        <w:ind w:left="851" w:right="12"/>
        <w:jc w:val="both"/>
        <w:rPr>
          <w:rFonts w:eastAsia="Times New Roman"/>
        </w:rPr>
      </w:pPr>
      <w:r w:rsidRPr="00FF0A9A">
        <w:rPr>
          <w:rFonts w:eastAsia="Times New Roman"/>
        </w:rPr>
        <w:t xml:space="preserve">ii. Les mesures de responsabilité et confidentialité pour protéger la vie privée de tous les intéressés ; et </w:t>
      </w:r>
    </w:p>
    <w:p w:rsidR="00374A0D" w:rsidRPr="00FF0A9A" w:rsidRDefault="00374A0D" w:rsidP="00A76F4A">
      <w:pPr>
        <w:ind w:left="851" w:right="12"/>
        <w:jc w:val="both"/>
        <w:rPr>
          <w:rFonts w:eastAsia="Times New Roman"/>
        </w:rPr>
      </w:pPr>
      <w:r w:rsidRPr="00FF0A9A">
        <w:rPr>
          <w:rFonts w:eastAsia="Times New Roman"/>
        </w:rPr>
        <w:t>iii. Le Protocole d’intervention applicable aux survivant(e)s et aux auteurs de VBG et de VCE.</w:t>
      </w:r>
    </w:p>
    <w:p w:rsidR="00374A0D" w:rsidRPr="00FF0A9A" w:rsidRDefault="00374A0D" w:rsidP="00A76F4A">
      <w:pPr>
        <w:autoSpaceDE w:val="0"/>
        <w:autoSpaceDN w:val="0"/>
        <w:adjustRightInd w:val="0"/>
        <w:ind w:right="12"/>
        <w:jc w:val="both"/>
      </w:pPr>
      <w:r w:rsidRPr="00FF0A9A">
        <w:t xml:space="preserve">8. Tous les employés doivent suivre un cours d'orientation avant de commencer à travailler sur le chantier pour s'assurer qu'ils connaissent les engagements de l'entreprise à l'égard des normes ESHS et HST, </w:t>
      </w:r>
    </w:p>
    <w:p w:rsidR="00374A0D" w:rsidRPr="00FF0A9A" w:rsidRDefault="00374A0D" w:rsidP="00A76F4A">
      <w:pPr>
        <w:autoSpaceDE w:val="0"/>
        <w:autoSpaceDN w:val="0"/>
        <w:adjustRightInd w:val="0"/>
        <w:ind w:right="12"/>
        <w:jc w:val="both"/>
      </w:pPr>
      <w:r w:rsidRPr="00FF0A9A">
        <w:t xml:space="preserve">9. Tous les employés doivent suivre un cours de formation obligatoire une fois par mois pendant toute la durée du contrat, à partir d’une première formation au moment de l’entrée en service avant le début des travaux, afin de renforcer la compréhension des normes ESHS et HST du projet et du Code de conduite VBG et VCE. </w:t>
      </w:r>
    </w:p>
    <w:p w:rsidR="00374A0D" w:rsidRPr="00A05698" w:rsidRDefault="00374A0D" w:rsidP="00A76F4A">
      <w:pPr>
        <w:ind w:right="12"/>
        <w:rPr>
          <w:rFonts w:eastAsia="Times New Roman"/>
        </w:rPr>
      </w:pPr>
    </w:p>
    <w:p w:rsidR="00374A0D" w:rsidRPr="00822FC4" w:rsidRDefault="00374A0D" w:rsidP="00A76F4A">
      <w:pPr>
        <w:autoSpaceDE w:val="0"/>
        <w:autoSpaceDN w:val="0"/>
        <w:adjustRightInd w:val="0"/>
        <w:ind w:left="709" w:right="12"/>
        <w:jc w:val="both"/>
        <w:rPr>
          <w:i/>
          <w:sz w:val="22"/>
          <w:szCs w:val="22"/>
        </w:rPr>
      </w:pPr>
      <w:r w:rsidRPr="00822FC4">
        <w:rPr>
          <w:i/>
          <w:sz w:val="22"/>
          <w:szCs w:val="22"/>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 </w:t>
      </w:r>
    </w:p>
    <w:p w:rsidR="00374A0D" w:rsidRPr="00822FC4" w:rsidRDefault="00374A0D" w:rsidP="00A76F4A">
      <w:pPr>
        <w:autoSpaceDE w:val="0"/>
        <w:autoSpaceDN w:val="0"/>
        <w:adjustRightInd w:val="0"/>
        <w:ind w:left="709" w:right="12"/>
        <w:jc w:val="both"/>
        <w:rPr>
          <w:i/>
          <w:sz w:val="22"/>
          <w:szCs w:val="22"/>
        </w:rPr>
      </w:pPr>
      <w:r w:rsidRPr="00822FC4">
        <w:rPr>
          <w:i/>
          <w:sz w:val="22"/>
          <w:szCs w:val="22"/>
        </w:rPr>
        <w:t xml:space="preserve">Nom de l’entreprise : _________________________ Signature : _________________________ </w:t>
      </w:r>
    </w:p>
    <w:p w:rsidR="00374A0D" w:rsidRPr="00822FC4" w:rsidRDefault="00374A0D" w:rsidP="00A76F4A">
      <w:pPr>
        <w:autoSpaceDE w:val="0"/>
        <w:autoSpaceDN w:val="0"/>
        <w:adjustRightInd w:val="0"/>
        <w:ind w:left="709" w:right="12"/>
        <w:jc w:val="both"/>
        <w:rPr>
          <w:i/>
          <w:sz w:val="22"/>
          <w:szCs w:val="22"/>
        </w:rPr>
      </w:pPr>
      <w:r w:rsidRPr="00822FC4">
        <w:rPr>
          <w:i/>
          <w:sz w:val="22"/>
          <w:szCs w:val="22"/>
        </w:rPr>
        <w:t xml:space="preserve">Nom en toutes lettres : ___________________ Titre : _________________________ </w:t>
      </w:r>
    </w:p>
    <w:p w:rsidR="00374A0D" w:rsidRPr="00822FC4" w:rsidRDefault="00374A0D" w:rsidP="00A76F4A">
      <w:pPr>
        <w:autoSpaceDE w:val="0"/>
        <w:autoSpaceDN w:val="0"/>
        <w:adjustRightInd w:val="0"/>
        <w:ind w:left="709" w:right="12"/>
        <w:jc w:val="both"/>
        <w:rPr>
          <w:i/>
          <w:sz w:val="22"/>
          <w:szCs w:val="22"/>
        </w:rPr>
      </w:pPr>
      <w:r w:rsidRPr="00822FC4">
        <w:rPr>
          <w:i/>
          <w:sz w:val="22"/>
          <w:szCs w:val="22"/>
        </w:rPr>
        <w:t xml:space="preserve">Date : ________________________ </w:t>
      </w:r>
    </w:p>
    <w:p w:rsidR="00374A0D" w:rsidRPr="00A05698" w:rsidRDefault="00374A0D" w:rsidP="00A76F4A">
      <w:pPr>
        <w:ind w:left="-284" w:right="12"/>
        <w:jc w:val="both"/>
        <w:rPr>
          <w:rFonts w:eastAsia="Times New Roman"/>
        </w:rPr>
      </w:pPr>
    </w:p>
    <w:p w:rsidR="00374A0D" w:rsidRPr="00345951" w:rsidRDefault="00374A0D" w:rsidP="00A76F4A">
      <w:pPr>
        <w:spacing w:after="120"/>
        <w:ind w:right="12"/>
        <w:outlineLvl w:val="1"/>
        <w:rPr>
          <w:b/>
          <w:bCs/>
        </w:rPr>
      </w:pPr>
      <w:bookmarkStart w:id="482" w:name="_Toc73459797"/>
      <w:bookmarkStart w:id="483" w:name="_Toc75432353"/>
      <w:r w:rsidRPr="00345951">
        <w:rPr>
          <w:b/>
          <w:bCs/>
        </w:rPr>
        <w:t>EAS/HS et violences contre les enfants</w:t>
      </w:r>
      <w:bookmarkEnd w:id="482"/>
      <w:bookmarkEnd w:id="483"/>
      <w:r w:rsidRPr="00345951">
        <w:rPr>
          <w:b/>
          <w:bCs/>
        </w:rPr>
        <w:t xml:space="preserve"> </w:t>
      </w:r>
    </w:p>
    <w:p w:rsidR="00374A0D" w:rsidRPr="00E76D51" w:rsidRDefault="00374A0D" w:rsidP="00A76F4A">
      <w:pPr>
        <w:autoSpaceDE w:val="0"/>
        <w:autoSpaceDN w:val="0"/>
        <w:adjustRightInd w:val="0"/>
        <w:ind w:right="12"/>
        <w:jc w:val="both"/>
      </w:pPr>
      <w:r w:rsidRPr="00E76D51">
        <w:t xml:space="preserve">Les actes d’EAS/HS et de VCE constituent une faute grave et peuvent donc donner lieu à des sanctions, y compris des pénalités et/ou le licenciement, et, le cas échéant, le renvoi à la police (obligatoire) pour la suite à donner. </w:t>
      </w:r>
    </w:p>
    <w:p w:rsidR="00374A0D" w:rsidRPr="00E76D51" w:rsidRDefault="00374A0D" w:rsidP="00A76F4A">
      <w:pPr>
        <w:autoSpaceDE w:val="0"/>
        <w:autoSpaceDN w:val="0"/>
        <w:adjustRightInd w:val="0"/>
        <w:ind w:right="12"/>
        <w:jc w:val="both"/>
      </w:pPr>
    </w:p>
    <w:p w:rsidR="00374A0D" w:rsidRPr="00846B77" w:rsidRDefault="00374A0D" w:rsidP="00A76F4A">
      <w:pPr>
        <w:autoSpaceDE w:val="0"/>
        <w:autoSpaceDN w:val="0"/>
        <w:adjustRightInd w:val="0"/>
        <w:ind w:right="12"/>
        <w:jc w:val="both"/>
      </w:pPr>
      <w:r w:rsidRPr="00846B77">
        <w:lastRenderedPageBreak/>
        <w:t xml:space="preserve">Toutes les formes d’EAS/HS et de VCE, y compris la sollicitation des enfants, sont inacceptables, qu'elles aient lieu sur le lieu de travail, dans les environs du lieu de travail, dans les campements de travailleurs ou dans la communauté locale. </w:t>
      </w:r>
    </w:p>
    <w:p w:rsidR="00374A0D" w:rsidRPr="00FF0A9A" w:rsidRDefault="00374A0D" w:rsidP="00A76F4A">
      <w:pPr>
        <w:autoSpaceDE w:val="0"/>
        <w:autoSpaceDN w:val="0"/>
        <w:adjustRightInd w:val="0"/>
        <w:ind w:right="12"/>
        <w:jc w:val="both"/>
      </w:pPr>
      <w:r w:rsidRPr="00FF0A9A">
        <w:t xml:space="preserve">1. Harcèlement sexuel - par exemple, il est interdit de faire des avances sexuelles indésirées, de demander des faveurs sexuelles, ou d'avoir un comportement verbal ou physique à connotation sexuelle, y compris des actes subtils. </w:t>
      </w:r>
    </w:p>
    <w:p w:rsidR="00374A0D" w:rsidRPr="00FF0A9A" w:rsidRDefault="00374A0D" w:rsidP="00A76F4A">
      <w:pPr>
        <w:autoSpaceDE w:val="0"/>
        <w:autoSpaceDN w:val="0"/>
        <w:adjustRightInd w:val="0"/>
        <w:ind w:right="12"/>
        <w:jc w:val="both"/>
      </w:pPr>
      <w:r w:rsidRPr="00FF0A9A">
        <w:t xml:space="preserve">2. Faveurs sexuelles par exemple, il est interdit de promettre ou de réaliser des traitements de faveurs conditionnés par des actes sexuels, ou d'autres formes de comportement humiliant, dégradant ou d'exploitation. </w:t>
      </w:r>
    </w:p>
    <w:p w:rsidR="00374A0D" w:rsidRPr="00FF0A9A" w:rsidRDefault="00374A0D" w:rsidP="00A76F4A">
      <w:pPr>
        <w:autoSpaceDE w:val="0"/>
        <w:autoSpaceDN w:val="0"/>
        <w:adjustRightInd w:val="0"/>
        <w:ind w:right="12"/>
        <w:jc w:val="both"/>
      </w:pPr>
      <w:r w:rsidRPr="00FF0A9A">
        <w:t xml:space="preserve">3. 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 </w:t>
      </w:r>
    </w:p>
    <w:p w:rsidR="00374A0D" w:rsidRPr="00FF0A9A" w:rsidRDefault="00374A0D" w:rsidP="00A76F4A">
      <w:pPr>
        <w:autoSpaceDE w:val="0"/>
        <w:autoSpaceDN w:val="0"/>
        <w:adjustRightInd w:val="0"/>
        <w:ind w:right="12"/>
        <w:jc w:val="both"/>
      </w:pPr>
      <w:r w:rsidRPr="00FF0A9A">
        <w:t xml:space="preserve">4.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 </w:t>
      </w:r>
    </w:p>
    <w:p w:rsidR="00374A0D" w:rsidRPr="00FF0A9A" w:rsidRDefault="00374A0D" w:rsidP="00A76F4A">
      <w:pPr>
        <w:autoSpaceDE w:val="0"/>
        <w:autoSpaceDN w:val="0"/>
        <w:adjustRightInd w:val="0"/>
        <w:ind w:right="12"/>
        <w:jc w:val="both"/>
      </w:pPr>
      <w:r w:rsidRPr="00FF0A9A">
        <w:t xml:space="preserve">5. Outre les sanctions appliquées par l’entreprise, des poursuites judiciaires à l’encontre des auteurs d'actes d’EAS/HS ou de VCE seront engagées, le cas échéant. </w:t>
      </w:r>
    </w:p>
    <w:p w:rsidR="00374A0D" w:rsidRPr="00FF0A9A" w:rsidRDefault="00374A0D" w:rsidP="00A76F4A">
      <w:pPr>
        <w:autoSpaceDE w:val="0"/>
        <w:autoSpaceDN w:val="0"/>
        <w:adjustRightInd w:val="0"/>
        <w:ind w:right="12"/>
        <w:jc w:val="both"/>
      </w:pPr>
      <w:r w:rsidRPr="00FF0A9A">
        <w:t xml:space="preserve">6. Tous les employés, y compris les bénévoles et les sous-traitants, sont fortement encouragés à signaler les actes présumés ou réels d’EAS/HS et/ou de VCE commis par un collègue, dans la même entreprise ou non. Les rapports doivent être présentés conformément aux Procédures d'allégation d’actes d’EAS/HS et de VCE du projet. </w:t>
      </w:r>
    </w:p>
    <w:p w:rsidR="00374A0D" w:rsidRPr="00FF0A9A" w:rsidRDefault="00374A0D" w:rsidP="00A76F4A">
      <w:pPr>
        <w:autoSpaceDE w:val="0"/>
        <w:autoSpaceDN w:val="0"/>
        <w:adjustRightInd w:val="0"/>
        <w:ind w:right="12"/>
        <w:jc w:val="both"/>
      </w:pPr>
      <w:r w:rsidRPr="00FF0A9A">
        <w:t xml:space="preserve">7. Les gestionnaires sont tenus de signaler les actes présumés ou avérés d’EAS/HS et/ou de VCE et d'agir en conséquence, car ils ont la responsabilité du respect des engagements de l'entreprise et de tenir leurs subordonnés directs pour responsables de ces actes. </w:t>
      </w:r>
    </w:p>
    <w:p w:rsidR="00374A0D" w:rsidRPr="00846B77" w:rsidRDefault="00374A0D" w:rsidP="00A76F4A">
      <w:pPr>
        <w:ind w:right="12"/>
        <w:rPr>
          <w:rFonts w:eastAsia="Times New Roman"/>
        </w:rPr>
      </w:pPr>
    </w:p>
    <w:p w:rsidR="00374A0D" w:rsidRPr="00854065" w:rsidRDefault="00374A0D" w:rsidP="00A76F4A">
      <w:pPr>
        <w:autoSpaceDE w:val="0"/>
        <w:autoSpaceDN w:val="0"/>
        <w:adjustRightInd w:val="0"/>
        <w:ind w:left="284" w:right="12"/>
        <w:jc w:val="both"/>
        <w:rPr>
          <w:b/>
          <w:u w:val="single"/>
        </w:rPr>
      </w:pPr>
      <w:r w:rsidRPr="00854065">
        <w:rPr>
          <w:b/>
          <w:u w:val="single"/>
        </w:rPr>
        <w:t xml:space="preserve">Mise en œuvre </w:t>
      </w:r>
    </w:p>
    <w:p w:rsidR="00374A0D" w:rsidRPr="00846B77" w:rsidRDefault="00374A0D" w:rsidP="00A76F4A">
      <w:pPr>
        <w:autoSpaceDE w:val="0"/>
        <w:autoSpaceDN w:val="0"/>
        <w:adjustRightInd w:val="0"/>
        <w:ind w:right="12"/>
        <w:jc w:val="both"/>
      </w:pPr>
      <w:r w:rsidRPr="00846B77">
        <w:t xml:space="preserve">Pour veiller à ce que les principes énoncés ci-dessus soient efficacement mis en œuvre, FAO ou l’entreprise s’engage à faire en sorte que : </w:t>
      </w:r>
    </w:p>
    <w:p w:rsidR="00374A0D" w:rsidRPr="00FF0A9A" w:rsidRDefault="00374A0D" w:rsidP="00A76F4A">
      <w:pPr>
        <w:autoSpaceDE w:val="0"/>
        <w:autoSpaceDN w:val="0"/>
        <w:adjustRightInd w:val="0"/>
        <w:ind w:right="12"/>
        <w:jc w:val="both"/>
      </w:pPr>
      <w:r w:rsidRPr="00FF0A9A">
        <w:t xml:space="preserve">1. Tous les employés signent le « Code de conduite individuel » du projet confirmant leur engagement à respecter les normes ESHS et HST, et à ne pas entreprendre des activités entraînant l’EAS/HS ou les VCE. </w:t>
      </w:r>
    </w:p>
    <w:p w:rsidR="00374A0D" w:rsidRPr="00FF0A9A" w:rsidRDefault="00374A0D" w:rsidP="00A76F4A">
      <w:pPr>
        <w:autoSpaceDE w:val="0"/>
        <w:autoSpaceDN w:val="0"/>
        <w:adjustRightInd w:val="0"/>
        <w:ind w:right="12"/>
        <w:jc w:val="both"/>
      </w:pPr>
      <w:r w:rsidRPr="00FF0A9A">
        <w:t xml:space="preserve">2. Une personne désignée doit être nommée « Point focal » de l'entreprise pour le traitement des questions d’EAS/HS et de VCE, y compris pour représenter l'entreprise au sein de l’Equipe de Conformité (EC) contre l’EAS/HS et les VCE, qui est composée de représentants du client, de l'entrepreneur/des entrepreneurs, du consultant en supervision et du(des) prestataire(s) de services locaux. </w:t>
      </w:r>
    </w:p>
    <w:p w:rsidR="00374A0D" w:rsidRPr="00FF0A9A" w:rsidRDefault="00374A0D" w:rsidP="00A76F4A">
      <w:pPr>
        <w:autoSpaceDE w:val="0"/>
        <w:autoSpaceDN w:val="0"/>
        <w:adjustRightInd w:val="0"/>
        <w:ind w:right="12"/>
        <w:jc w:val="both"/>
      </w:pPr>
      <w:r w:rsidRPr="00FF0A9A">
        <w:t>3. En consultation avec de l’Équipe de conformité (EC), un Plan d'action efficace doit être élaboré, ce dernier doit comprendre au minimum les dispositions suivantes :</w:t>
      </w:r>
    </w:p>
    <w:p w:rsidR="00374A0D" w:rsidRPr="00FF0A9A" w:rsidRDefault="00374A0D" w:rsidP="00A76F4A">
      <w:pPr>
        <w:ind w:left="993" w:right="12"/>
        <w:jc w:val="both"/>
        <w:rPr>
          <w:rFonts w:eastAsia="Times New Roman"/>
        </w:rPr>
      </w:pPr>
      <w:r w:rsidRPr="00FF0A9A">
        <w:rPr>
          <w:rFonts w:eastAsia="Times New Roman"/>
        </w:rPr>
        <w:t xml:space="preserve"> i. La Procédure d’allégation des incidents de VBG et de VCE pour signaler les incidents de VBG et de VCE par le biais du Mécanisme de règlement des plaintes ; </w:t>
      </w:r>
    </w:p>
    <w:p w:rsidR="00374A0D" w:rsidRPr="00FF0A9A" w:rsidRDefault="00374A0D" w:rsidP="00A76F4A">
      <w:pPr>
        <w:ind w:left="993" w:right="12"/>
        <w:jc w:val="both"/>
        <w:rPr>
          <w:rFonts w:eastAsia="Times New Roman"/>
        </w:rPr>
      </w:pPr>
      <w:r w:rsidRPr="00FF0A9A">
        <w:rPr>
          <w:rFonts w:eastAsia="Times New Roman"/>
        </w:rPr>
        <w:t xml:space="preserve">ii. Les mesures de responsabilité et confidentialité pour protéger la vie privée de tous les intéressés ; et </w:t>
      </w:r>
    </w:p>
    <w:p w:rsidR="00374A0D" w:rsidRPr="00FF0A9A" w:rsidRDefault="00374A0D" w:rsidP="00A76F4A">
      <w:pPr>
        <w:ind w:left="993" w:right="12"/>
        <w:jc w:val="both"/>
        <w:rPr>
          <w:rFonts w:eastAsia="Times New Roman"/>
        </w:rPr>
      </w:pPr>
      <w:r w:rsidRPr="00FF0A9A">
        <w:rPr>
          <w:rFonts w:eastAsia="Times New Roman"/>
        </w:rPr>
        <w:t>iii. Le Protocole d’intervention applicable aux survivant(e)s et aux auteurs de VBG et de VCE.</w:t>
      </w:r>
    </w:p>
    <w:p w:rsidR="00374A0D" w:rsidRPr="00FF0A9A" w:rsidRDefault="00374A0D" w:rsidP="00A76F4A">
      <w:pPr>
        <w:autoSpaceDE w:val="0"/>
        <w:autoSpaceDN w:val="0"/>
        <w:adjustRightInd w:val="0"/>
        <w:ind w:right="12"/>
        <w:jc w:val="both"/>
      </w:pPr>
      <w:r w:rsidRPr="00FF0A9A">
        <w:t xml:space="preserve">4. L'entreprise doit mettre en œuvre de manière efficace le Plan d'action contre l’EAS/HS et Violences contre les Enfants (VCE) final convenu, en faisant part à l’Equipe de conformité (EC) d’éventuels améliorations et de mises à jour, le cas échéant. </w:t>
      </w:r>
    </w:p>
    <w:p w:rsidR="00374A0D" w:rsidRPr="00FF0A9A" w:rsidRDefault="00374A0D" w:rsidP="00A76F4A">
      <w:pPr>
        <w:autoSpaceDE w:val="0"/>
        <w:autoSpaceDN w:val="0"/>
        <w:adjustRightInd w:val="0"/>
        <w:ind w:right="12"/>
        <w:jc w:val="both"/>
      </w:pPr>
      <w:r w:rsidRPr="00FF0A9A">
        <w:lastRenderedPageBreak/>
        <w:t xml:space="preserve">5. 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projet. </w:t>
      </w:r>
    </w:p>
    <w:p w:rsidR="00374A0D" w:rsidRPr="00FF0A9A" w:rsidRDefault="00374A0D" w:rsidP="00A76F4A">
      <w:pPr>
        <w:autoSpaceDE w:val="0"/>
        <w:autoSpaceDN w:val="0"/>
        <w:adjustRightInd w:val="0"/>
        <w:ind w:right="12"/>
        <w:jc w:val="both"/>
      </w:pPr>
      <w:r w:rsidRPr="00FF0A9A">
        <w:t xml:space="preserve">6. Tous les employés doivent suivre un cours de formation obligatoire une fois par mois pendant toute la durée du contrat, à partir d’une première formation au moment de l’entrée en service avant le début des travaux, afin de renforcer la compréhension du Code de conduite VBG et VCE. </w:t>
      </w:r>
    </w:p>
    <w:p w:rsidR="00374A0D" w:rsidRDefault="00374A0D" w:rsidP="00A76F4A">
      <w:pPr>
        <w:ind w:right="12"/>
        <w:jc w:val="both"/>
        <w:rPr>
          <w:rFonts w:eastAsia="Times New Roman"/>
        </w:rPr>
      </w:pPr>
    </w:p>
    <w:p w:rsidR="00374A0D" w:rsidRPr="00345951" w:rsidRDefault="00374A0D" w:rsidP="00A76F4A">
      <w:pPr>
        <w:spacing w:after="120"/>
        <w:ind w:right="12"/>
        <w:outlineLvl w:val="1"/>
        <w:rPr>
          <w:b/>
          <w:bCs/>
        </w:rPr>
      </w:pPr>
      <w:bookmarkStart w:id="484" w:name="_Toc73459798"/>
      <w:bookmarkStart w:id="485" w:name="_Toc75432354"/>
      <w:r w:rsidRPr="00345951">
        <w:rPr>
          <w:b/>
          <w:bCs/>
        </w:rPr>
        <w:t>Le cadre normatif de la FAO en matière de PEAS</w:t>
      </w:r>
      <w:bookmarkEnd w:id="484"/>
      <w:bookmarkEnd w:id="485"/>
      <w:r w:rsidRPr="00345951">
        <w:rPr>
          <w:b/>
          <w:bCs/>
        </w:rPr>
        <w:t xml:space="preserve">  </w:t>
      </w:r>
    </w:p>
    <w:p w:rsidR="00374A0D" w:rsidRPr="00435BC6" w:rsidRDefault="00374A0D" w:rsidP="00A76F4A">
      <w:pPr>
        <w:pStyle w:val="PargrafodaLista"/>
        <w:numPr>
          <w:ilvl w:val="0"/>
          <w:numId w:val="176"/>
        </w:numPr>
        <w:autoSpaceDE w:val="0"/>
        <w:autoSpaceDN w:val="0"/>
        <w:adjustRightInd w:val="0"/>
        <w:ind w:right="12"/>
        <w:jc w:val="both"/>
        <w:rPr>
          <w:rFonts w:ascii="Times New Roman" w:hAnsi="Times New Roman"/>
          <w:b/>
          <w:sz w:val="24"/>
          <w:szCs w:val="24"/>
        </w:rPr>
      </w:pPr>
      <w:r w:rsidRPr="00435BC6">
        <w:rPr>
          <w:rFonts w:ascii="Times New Roman" w:hAnsi="Times New Roman"/>
          <w:b/>
          <w:sz w:val="24"/>
          <w:szCs w:val="24"/>
        </w:rPr>
        <w:t xml:space="preserve">Normes de conduite de la fonction publique internationale : Insérées en 2003 dans la section 304 du manuel, Appendice A. </w:t>
      </w:r>
    </w:p>
    <w:p w:rsidR="00374A0D" w:rsidRPr="00435BC6" w:rsidRDefault="00374A0D" w:rsidP="00A76F4A">
      <w:pPr>
        <w:pStyle w:val="PargrafodaLista"/>
        <w:numPr>
          <w:ilvl w:val="0"/>
          <w:numId w:val="176"/>
        </w:numPr>
        <w:autoSpaceDE w:val="0"/>
        <w:autoSpaceDN w:val="0"/>
        <w:adjustRightInd w:val="0"/>
        <w:ind w:right="12"/>
        <w:jc w:val="both"/>
        <w:rPr>
          <w:rFonts w:ascii="Times New Roman" w:hAnsi="Times New Roman"/>
          <w:b/>
          <w:sz w:val="24"/>
          <w:szCs w:val="24"/>
        </w:rPr>
      </w:pPr>
      <w:r w:rsidRPr="00435BC6">
        <w:rPr>
          <w:rFonts w:ascii="Times New Roman" w:hAnsi="Times New Roman"/>
          <w:b/>
          <w:sz w:val="24"/>
          <w:szCs w:val="24"/>
        </w:rPr>
        <w:t xml:space="preserve">Bulletin du Directeur général n° 2012/70 relatif à la protection contre l’exploitation et les abus sexuels (2012):  </w:t>
      </w:r>
    </w:p>
    <w:p w:rsidR="00374A0D" w:rsidRPr="006627D4" w:rsidRDefault="00374A0D" w:rsidP="00A76F4A">
      <w:pPr>
        <w:ind w:left="1276" w:right="12"/>
        <w:jc w:val="both"/>
        <w:rPr>
          <w:rFonts w:eastAsia="Times New Roman"/>
          <w:sz w:val="22"/>
          <w:szCs w:val="22"/>
        </w:rPr>
      </w:pPr>
      <w:r w:rsidRPr="006627D4">
        <w:rPr>
          <w:rFonts w:eastAsia="Times New Roman"/>
          <w:sz w:val="22"/>
          <w:szCs w:val="22"/>
        </w:rPr>
        <w:t xml:space="preserve">•Affirme que la FAO applique une politique de tolérance zéro concernant les actes d’EAS commis par son personnel ou par toutes personnes associées à ses activités. </w:t>
      </w:r>
    </w:p>
    <w:p w:rsidR="00374A0D" w:rsidRPr="006627D4" w:rsidRDefault="00374A0D" w:rsidP="00A76F4A">
      <w:pPr>
        <w:ind w:left="1276" w:right="12"/>
        <w:jc w:val="both"/>
        <w:rPr>
          <w:rFonts w:eastAsia="Times New Roman"/>
          <w:sz w:val="22"/>
          <w:szCs w:val="22"/>
        </w:rPr>
      </w:pPr>
      <w:r w:rsidRPr="006627D4">
        <w:rPr>
          <w:rFonts w:eastAsia="Times New Roman"/>
          <w:sz w:val="22"/>
          <w:szCs w:val="22"/>
        </w:rPr>
        <w:t>•Ces actes constituent des fautes graves passibles de sanctions disciplinaires, lesquelles peuvent aller jusqu’au renvoi sans préavis ou à la résiliation du contrat.</w:t>
      </w:r>
    </w:p>
    <w:p w:rsidR="00374A0D" w:rsidRDefault="00374A0D" w:rsidP="00A76F4A">
      <w:pPr>
        <w:ind w:left="1276" w:right="12"/>
        <w:jc w:val="both"/>
        <w:rPr>
          <w:rFonts w:eastAsia="Times New Roman"/>
          <w:sz w:val="22"/>
          <w:szCs w:val="22"/>
        </w:rPr>
      </w:pPr>
      <w:r w:rsidRPr="006627D4">
        <w:rPr>
          <w:rFonts w:eastAsia="Times New Roman"/>
          <w:sz w:val="22"/>
          <w:szCs w:val="22"/>
        </w:rPr>
        <w:t>•Énonce la mise en œuvre de la PEAS au sein de la FAO en alignement avec la circulaire du Secrétaire général des Nations Unies sur les dispositions spéciales visant à prévenir l’exploitation et les abus sexuels de 2003.</w:t>
      </w:r>
    </w:p>
    <w:p w:rsidR="00374A0D" w:rsidRPr="006627D4" w:rsidRDefault="00374A0D" w:rsidP="00A76F4A">
      <w:pPr>
        <w:ind w:left="-284" w:right="12"/>
        <w:jc w:val="both"/>
        <w:rPr>
          <w:rFonts w:eastAsia="Times New Roman"/>
          <w:sz w:val="22"/>
          <w:szCs w:val="22"/>
        </w:rPr>
      </w:pPr>
    </w:p>
    <w:p w:rsidR="00374A0D" w:rsidRPr="000A2AED" w:rsidRDefault="00374A0D" w:rsidP="00A76F4A">
      <w:pPr>
        <w:pStyle w:val="PargrafodaLista"/>
        <w:numPr>
          <w:ilvl w:val="0"/>
          <w:numId w:val="176"/>
        </w:numPr>
        <w:autoSpaceDE w:val="0"/>
        <w:autoSpaceDN w:val="0"/>
        <w:adjustRightInd w:val="0"/>
        <w:ind w:right="12"/>
        <w:jc w:val="both"/>
        <w:rPr>
          <w:rFonts w:ascii="Times New Roman" w:hAnsi="Times New Roman"/>
          <w:b/>
          <w:sz w:val="24"/>
          <w:szCs w:val="24"/>
        </w:rPr>
      </w:pPr>
      <w:r w:rsidRPr="000A2AED">
        <w:rPr>
          <w:rFonts w:ascii="Times New Roman" w:hAnsi="Times New Roman"/>
          <w:b/>
          <w:sz w:val="24"/>
          <w:szCs w:val="24"/>
        </w:rPr>
        <w:t xml:space="preserve">Circulaire administrative n° 2013/27 relative à la protection contre l’exploitation et les abus sexuels (2013): </w:t>
      </w:r>
    </w:p>
    <w:p w:rsidR="00374A0D" w:rsidRPr="006627D4" w:rsidRDefault="00374A0D" w:rsidP="00A76F4A">
      <w:pPr>
        <w:ind w:left="1276" w:right="12"/>
        <w:jc w:val="both"/>
        <w:rPr>
          <w:rFonts w:eastAsia="Times New Roman"/>
          <w:sz w:val="22"/>
          <w:szCs w:val="22"/>
        </w:rPr>
      </w:pPr>
      <w:r w:rsidRPr="006627D4">
        <w:rPr>
          <w:rFonts w:eastAsia="Times New Roman"/>
          <w:sz w:val="22"/>
          <w:szCs w:val="22"/>
        </w:rPr>
        <w:t>•Réaffirme que la FAO applique une politique de tolérance zéro concernant les actes d’exploitation ou d’abus sexuels commis par son personnel ou par toute autre personne associée à ses activités.</w:t>
      </w:r>
    </w:p>
    <w:p w:rsidR="00374A0D" w:rsidRPr="006627D4" w:rsidRDefault="00374A0D" w:rsidP="00A76F4A">
      <w:pPr>
        <w:ind w:left="1276" w:right="12"/>
        <w:jc w:val="both"/>
        <w:rPr>
          <w:rFonts w:eastAsia="Times New Roman"/>
          <w:sz w:val="22"/>
          <w:szCs w:val="22"/>
        </w:rPr>
      </w:pPr>
      <w:r w:rsidRPr="006627D4">
        <w:rPr>
          <w:rFonts w:eastAsia="Times New Roman"/>
          <w:sz w:val="22"/>
          <w:szCs w:val="22"/>
        </w:rPr>
        <w:t>•Affirme que les responsables et cadres de tous niveaux sont tenus d’instaurer et de préserver un environnement de travail empêchant l’EAS et de prendre toutes les mesures nécessaires dans ce sens.</w:t>
      </w:r>
    </w:p>
    <w:p w:rsidR="00374A0D" w:rsidRDefault="00374A0D" w:rsidP="00A76F4A">
      <w:pPr>
        <w:ind w:left="1276" w:right="12"/>
        <w:jc w:val="both"/>
        <w:rPr>
          <w:rFonts w:eastAsia="Times New Roman"/>
          <w:sz w:val="22"/>
          <w:szCs w:val="22"/>
        </w:rPr>
      </w:pPr>
      <w:r w:rsidRPr="006627D4">
        <w:rPr>
          <w:rFonts w:eastAsia="Times New Roman"/>
          <w:sz w:val="22"/>
          <w:szCs w:val="22"/>
        </w:rPr>
        <w:t>•Établit des procédures de signalement et d’enquête relatives aux allégations d’EAS impliquant des membres du personnel de la FAO ou des personnes associées aux activités de l’Organisation.</w:t>
      </w:r>
    </w:p>
    <w:p w:rsidR="00374A0D" w:rsidRPr="006627D4" w:rsidRDefault="00374A0D" w:rsidP="00A76F4A">
      <w:pPr>
        <w:ind w:left="1276" w:right="12"/>
        <w:jc w:val="both"/>
        <w:rPr>
          <w:rFonts w:eastAsia="Times New Roman"/>
          <w:sz w:val="22"/>
          <w:szCs w:val="22"/>
        </w:rPr>
      </w:pPr>
    </w:p>
    <w:p w:rsidR="00374A0D" w:rsidRDefault="00374A0D" w:rsidP="00A76F4A">
      <w:pPr>
        <w:pStyle w:val="PargrafodaLista"/>
        <w:numPr>
          <w:ilvl w:val="0"/>
          <w:numId w:val="176"/>
        </w:numPr>
        <w:autoSpaceDE w:val="0"/>
        <w:autoSpaceDN w:val="0"/>
        <w:adjustRightInd w:val="0"/>
        <w:ind w:right="12"/>
        <w:jc w:val="both"/>
        <w:rPr>
          <w:rFonts w:ascii="Times New Roman" w:hAnsi="Times New Roman"/>
          <w:b/>
          <w:sz w:val="24"/>
          <w:szCs w:val="24"/>
        </w:rPr>
      </w:pPr>
      <w:r w:rsidRPr="000A2AED">
        <w:rPr>
          <w:rFonts w:ascii="Times New Roman" w:hAnsi="Times New Roman"/>
          <w:b/>
          <w:sz w:val="24"/>
          <w:szCs w:val="24"/>
        </w:rPr>
        <w:t>Le cadre normatif de la FAO en matière de PEAS s’applique à toutes les personnes employées par la FAO, quels que soient leur lieu d’affectation, leur type de contrat ou leur grade, ainsi qu’à tous les partenaires de l’Organisation, comme les fournisseurs et les partenaires d’exécution.</w:t>
      </w:r>
    </w:p>
    <w:p w:rsidR="00374A0D" w:rsidRPr="00345951" w:rsidRDefault="00374A0D" w:rsidP="00A76F4A">
      <w:pPr>
        <w:spacing w:after="120"/>
        <w:ind w:right="12"/>
        <w:outlineLvl w:val="1"/>
        <w:rPr>
          <w:b/>
          <w:bCs/>
        </w:rPr>
      </w:pPr>
      <w:bookmarkStart w:id="486" w:name="_Toc73459799"/>
      <w:bookmarkStart w:id="487" w:name="_Toc75432355"/>
      <w:r w:rsidRPr="00345951">
        <w:rPr>
          <w:b/>
          <w:bCs/>
        </w:rPr>
        <w:t>LA PREVENTION ET RÉPONSE À ‘L’EAS/HS ET LES VIOLENCES CONTRE LES ENFANTS</w:t>
      </w:r>
      <w:bookmarkEnd w:id="486"/>
      <w:bookmarkEnd w:id="487"/>
      <w:r w:rsidRPr="00345951">
        <w:rPr>
          <w:b/>
          <w:bCs/>
        </w:rPr>
        <w:t xml:space="preserve"> </w:t>
      </w:r>
    </w:p>
    <w:p w:rsidR="00374A0D" w:rsidRPr="00345951" w:rsidRDefault="00374A0D" w:rsidP="00A76F4A">
      <w:pPr>
        <w:spacing w:after="120"/>
        <w:ind w:right="12"/>
        <w:outlineLvl w:val="1"/>
        <w:rPr>
          <w:b/>
          <w:bCs/>
        </w:rPr>
      </w:pPr>
      <w:bookmarkStart w:id="488" w:name="_Toc73459800"/>
      <w:bookmarkStart w:id="489" w:name="_Toc75432356"/>
      <w:r w:rsidRPr="00345951">
        <w:rPr>
          <w:b/>
          <w:bCs/>
        </w:rPr>
        <w:t>Généralités</w:t>
      </w:r>
      <w:bookmarkEnd w:id="488"/>
      <w:bookmarkEnd w:id="489"/>
      <w:r w:rsidRPr="00345951">
        <w:rPr>
          <w:b/>
          <w:bCs/>
        </w:rPr>
        <w:t xml:space="preserve"> </w:t>
      </w:r>
    </w:p>
    <w:p w:rsidR="00374A0D" w:rsidRPr="00846B77" w:rsidRDefault="00374A0D" w:rsidP="00A76F4A">
      <w:pPr>
        <w:autoSpaceDE w:val="0"/>
        <w:autoSpaceDN w:val="0"/>
        <w:adjustRightInd w:val="0"/>
        <w:ind w:right="12"/>
        <w:jc w:val="both"/>
      </w:pPr>
      <w:r w:rsidRPr="00846B77">
        <w:t>La prévention d’EAS/HS et les violences contre les enfants (VCE) consiste à introduire un ensemble de définitions clefs, des codes de conduite et des lignes directrices afin de :</w:t>
      </w:r>
    </w:p>
    <w:p w:rsidR="00374A0D" w:rsidRPr="00FF0A9A" w:rsidRDefault="00374A0D" w:rsidP="00A76F4A">
      <w:pPr>
        <w:pStyle w:val="PargrafodaLista"/>
        <w:numPr>
          <w:ilvl w:val="0"/>
          <w:numId w:val="98"/>
        </w:numPr>
        <w:ind w:left="993" w:right="12"/>
        <w:jc w:val="both"/>
        <w:rPr>
          <w:rFonts w:ascii="Times New Roman" w:eastAsia="Times New Roman" w:hAnsi="Times New Roman"/>
          <w:sz w:val="24"/>
          <w:szCs w:val="24"/>
        </w:rPr>
      </w:pPr>
      <w:r w:rsidRPr="00FF0A9A">
        <w:rPr>
          <w:rFonts w:ascii="Times New Roman" w:eastAsia="Times New Roman" w:hAnsi="Times New Roman"/>
          <w:sz w:val="24"/>
          <w:szCs w:val="24"/>
        </w:rPr>
        <w:t>Contribuer à prévenir, identifier et combattre les incidents d’EAS/HS et la VCE sur le chantier et dans les communautés avoisinantes.</w:t>
      </w:r>
    </w:p>
    <w:p w:rsidR="00374A0D" w:rsidRPr="00FF0A9A" w:rsidRDefault="00374A0D" w:rsidP="00A76F4A">
      <w:pPr>
        <w:pStyle w:val="PargrafodaLista"/>
        <w:numPr>
          <w:ilvl w:val="0"/>
          <w:numId w:val="98"/>
        </w:numPr>
        <w:ind w:left="993" w:right="12"/>
        <w:jc w:val="both"/>
        <w:rPr>
          <w:rFonts w:ascii="Times New Roman" w:eastAsia="Times New Roman" w:hAnsi="Times New Roman"/>
          <w:sz w:val="24"/>
          <w:szCs w:val="24"/>
        </w:rPr>
      </w:pPr>
      <w:r w:rsidRPr="00FF0A9A">
        <w:rPr>
          <w:rFonts w:ascii="Times New Roman" w:eastAsia="Times New Roman" w:hAnsi="Times New Roman"/>
          <w:sz w:val="24"/>
          <w:szCs w:val="24"/>
        </w:rPr>
        <w:lastRenderedPageBreak/>
        <w:t>Prévenir et/ou atténuer les risques de VBG, y compris ceux liés à l’EAS/HS et de VCE sur le site du projet et dans les communautés locales. Les personnes travaillant dans le projet doivent adopter ces Codes de conduite qui vise à :</w:t>
      </w:r>
    </w:p>
    <w:p w:rsidR="00374A0D" w:rsidRPr="00FF0A9A" w:rsidRDefault="00374A0D" w:rsidP="00A76F4A">
      <w:pPr>
        <w:pStyle w:val="PargrafodaLista"/>
        <w:ind w:left="1418" w:right="12"/>
        <w:jc w:val="both"/>
        <w:rPr>
          <w:rFonts w:ascii="Times New Roman" w:eastAsia="Times New Roman" w:hAnsi="Times New Roman"/>
          <w:sz w:val="24"/>
          <w:szCs w:val="24"/>
        </w:rPr>
      </w:pPr>
      <w:r w:rsidRPr="00FF0A9A">
        <w:rPr>
          <w:rFonts w:ascii="Times New Roman" w:eastAsia="Times New Roman" w:hAnsi="Times New Roman"/>
          <w:sz w:val="24"/>
          <w:szCs w:val="24"/>
        </w:rPr>
        <w:t xml:space="preserve"> i. Sensibiliser le personnel opérant dans le projet aux attentes en matière de ESHS et de HST ; et</w:t>
      </w:r>
    </w:p>
    <w:p w:rsidR="00374A0D" w:rsidRPr="00FF0A9A" w:rsidRDefault="00374A0D" w:rsidP="00A76F4A">
      <w:pPr>
        <w:pStyle w:val="PargrafodaLista"/>
        <w:ind w:left="1418" w:right="12"/>
        <w:jc w:val="both"/>
        <w:rPr>
          <w:rFonts w:ascii="Times New Roman" w:eastAsia="Times New Roman" w:hAnsi="Times New Roman"/>
          <w:sz w:val="24"/>
          <w:szCs w:val="24"/>
        </w:rPr>
      </w:pPr>
      <w:r w:rsidRPr="00FF0A9A">
        <w:rPr>
          <w:rFonts w:ascii="Times New Roman" w:eastAsia="Times New Roman" w:hAnsi="Times New Roman"/>
          <w:sz w:val="24"/>
          <w:szCs w:val="24"/>
        </w:rPr>
        <w:t xml:space="preserve">ii. Créer une prise de conscience concernant l’EAS/HS et de VCE, et : </w:t>
      </w:r>
    </w:p>
    <w:p w:rsidR="00374A0D" w:rsidRPr="00FF0A9A" w:rsidRDefault="00374A0D" w:rsidP="00A76F4A">
      <w:pPr>
        <w:pStyle w:val="PargrafodaLista"/>
        <w:ind w:left="2268" w:right="12"/>
        <w:jc w:val="both"/>
        <w:rPr>
          <w:rFonts w:ascii="Times New Roman" w:eastAsia="Times New Roman" w:hAnsi="Times New Roman"/>
          <w:sz w:val="24"/>
          <w:szCs w:val="24"/>
        </w:rPr>
      </w:pPr>
      <w:r w:rsidRPr="00FF0A9A">
        <w:rPr>
          <w:rFonts w:ascii="Times New Roman" w:eastAsia="Times New Roman" w:hAnsi="Times New Roman"/>
          <w:sz w:val="24"/>
          <w:szCs w:val="24"/>
        </w:rPr>
        <w:t xml:space="preserve">a)  Créer un consensus sur le fait que tels actes n’ont pas leur place dans le projet ; et </w:t>
      </w:r>
    </w:p>
    <w:p w:rsidR="00374A0D" w:rsidRPr="00FF0A9A" w:rsidRDefault="00374A0D" w:rsidP="00A76F4A">
      <w:pPr>
        <w:pStyle w:val="PargrafodaLista"/>
        <w:ind w:left="2268" w:right="12"/>
        <w:jc w:val="both"/>
        <w:rPr>
          <w:rFonts w:ascii="Times New Roman" w:eastAsia="Times New Roman" w:hAnsi="Times New Roman"/>
          <w:sz w:val="24"/>
          <w:szCs w:val="24"/>
        </w:rPr>
      </w:pPr>
      <w:r w:rsidRPr="00FF0A9A">
        <w:rPr>
          <w:rFonts w:ascii="Times New Roman" w:eastAsia="Times New Roman" w:hAnsi="Times New Roman"/>
          <w:sz w:val="24"/>
          <w:szCs w:val="24"/>
        </w:rPr>
        <w:t xml:space="preserve">b) Établir un protocole pour identifier les incidents d’EAS/HS et de VCE ; répondre à tels incidents ; et les sanctionner. </w:t>
      </w:r>
    </w:p>
    <w:p w:rsidR="00374A0D" w:rsidRDefault="00374A0D" w:rsidP="00A76F4A">
      <w:pPr>
        <w:pStyle w:val="PargrafodaLista"/>
        <w:ind w:right="12"/>
        <w:jc w:val="both"/>
        <w:rPr>
          <w:rFonts w:eastAsia="Times New Roman"/>
        </w:rPr>
      </w:pPr>
    </w:p>
    <w:p w:rsidR="00374A0D" w:rsidRPr="00846B77" w:rsidRDefault="00374A0D" w:rsidP="00A76F4A">
      <w:pPr>
        <w:pStyle w:val="PargrafodaLista"/>
        <w:spacing w:after="120" w:line="240" w:lineRule="auto"/>
        <w:ind w:left="2420" w:right="12"/>
        <w:outlineLvl w:val="1"/>
        <w:rPr>
          <w:rFonts w:ascii="Times New Roman" w:hAnsi="Times New Roman"/>
          <w:b/>
          <w:bCs/>
          <w:sz w:val="24"/>
          <w:szCs w:val="24"/>
        </w:rPr>
      </w:pPr>
      <w:bookmarkStart w:id="490" w:name="_Toc73459801"/>
      <w:bookmarkStart w:id="491" w:name="_Toc75432357"/>
      <w:r w:rsidRPr="00846B77">
        <w:rPr>
          <w:rFonts w:ascii="Times New Roman" w:hAnsi="Times New Roman"/>
          <w:b/>
          <w:bCs/>
          <w:sz w:val="24"/>
          <w:szCs w:val="24"/>
        </w:rPr>
        <w:t>Définition</w:t>
      </w:r>
      <w:bookmarkEnd w:id="490"/>
      <w:bookmarkEnd w:id="491"/>
    </w:p>
    <w:p w:rsidR="00374A0D" w:rsidRPr="00FF0A9A" w:rsidRDefault="00374A0D" w:rsidP="00A76F4A">
      <w:pPr>
        <w:widowControl w:val="0"/>
        <w:autoSpaceDE w:val="0"/>
        <w:autoSpaceDN w:val="0"/>
        <w:adjustRightInd w:val="0"/>
        <w:ind w:left="426" w:right="12"/>
        <w:jc w:val="both"/>
        <w:rPr>
          <w:color w:val="000000" w:themeColor="text1"/>
          <w:lang w:eastAsia="en-US"/>
        </w:rPr>
      </w:pPr>
      <w:r w:rsidRPr="00FF0A9A">
        <w:rPr>
          <w:color w:val="000000" w:themeColor="text1"/>
          <w:lang w:eastAsia="en-US"/>
        </w:rPr>
        <w:t>•</w:t>
      </w:r>
      <w:r w:rsidRPr="00FF0A9A">
        <w:rPr>
          <w:b/>
          <w:bCs/>
          <w:color w:val="000000" w:themeColor="text1"/>
          <w:lang w:eastAsia="en-US"/>
        </w:rPr>
        <w:t xml:space="preserve">L’exploitation et abus sexuels (EAS) </w:t>
      </w:r>
      <w:r w:rsidR="00E36C86" w:rsidRPr="00FF0A9A">
        <w:rPr>
          <w:b/>
          <w:bCs/>
          <w:color w:val="000000" w:themeColor="text1"/>
          <w:lang w:eastAsia="en-US"/>
        </w:rPr>
        <w:t>:</w:t>
      </w:r>
      <w:r w:rsidR="0064433D" w:rsidRPr="00FF0A9A">
        <w:rPr>
          <w:b/>
          <w:bCs/>
          <w:color w:val="000000" w:themeColor="text1"/>
          <w:lang w:eastAsia="en-US"/>
        </w:rPr>
        <w:t xml:space="preserve"> </w:t>
      </w:r>
      <w:r w:rsidR="0064433D" w:rsidRPr="00FF0A9A">
        <w:rPr>
          <w:color w:val="000000" w:themeColor="text1"/>
          <w:lang w:eastAsia="en-US"/>
        </w:rPr>
        <w:t>« Formes</w:t>
      </w:r>
      <w:r w:rsidRPr="00FF0A9A">
        <w:rPr>
          <w:color w:val="000000" w:themeColor="text1"/>
          <w:lang w:eastAsia="en-US"/>
        </w:rPr>
        <w:t xml:space="preserve"> particulières de violence basée sur le genre signalées dans des contextes humanitaires, plus particulièrement les actes mettant en </w:t>
      </w:r>
      <w:r w:rsidR="00344DD0" w:rsidRPr="00FF0A9A">
        <w:rPr>
          <w:color w:val="000000" w:themeColor="text1"/>
          <w:lang w:eastAsia="en-US"/>
        </w:rPr>
        <w:t>cause des</w:t>
      </w:r>
      <w:r w:rsidRPr="00FF0A9A">
        <w:rPr>
          <w:color w:val="000000" w:themeColor="text1"/>
          <w:lang w:eastAsia="en-US"/>
        </w:rPr>
        <w:t xml:space="preserve"> travailleurs humanitaires.»</w:t>
      </w:r>
    </w:p>
    <w:p w:rsidR="00374A0D" w:rsidRPr="00FF0A9A" w:rsidRDefault="00374A0D" w:rsidP="00A76F4A">
      <w:pPr>
        <w:ind w:left="426" w:right="12"/>
        <w:rPr>
          <w:rFonts w:eastAsia="Times New Roman"/>
          <w:color w:val="000000" w:themeColor="text1"/>
        </w:rPr>
      </w:pPr>
    </w:p>
    <w:p w:rsidR="00374A0D" w:rsidRPr="00FF0A9A" w:rsidRDefault="00374A0D" w:rsidP="00A76F4A">
      <w:pPr>
        <w:widowControl w:val="0"/>
        <w:autoSpaceDE w:val="0"/>
        <w:autoSpaceDN w:val="0"/>
        <w:adjustRightInd w:val="0"/>
        <w:ind w:left="426" w:right="12"/>
        <w:jc w:val="both"/>
        <w:rPr>
          <w:color w:val="000000" w:themeColor="text1"/>
          <w:lang w:eastAsia="en-US"/>
        </w:rPr>
      </w:pPr>
      <w:r w:rsidRPr="00FF0A9A">
        <w:rPr>
          <w:b/>
          <w:color w:val="000000" w:themeColor="text1"/>
          <w:lang w:eastAsia="en-US"/>
        </w:rPr>
        <w:t>L’expression « exploitation sexuelle »</w:t>
      </w:r>
      <w:r w:rsidRPr="00FF0A9A">
        <w:rPr>
          <w:color w:val="000000" w:themeColor="text1"/>
          <w:lang w:eastAsia="en-US"/>
        </w:rPr>
        <w:t xml:space="preserve"> désigne le fait d’abuser ou de tenter d’abuser d’un état de vulnérabilité, d’un rapport de force inégal ou de rapports de confiance à des fins sexuelles, y compris mais non exclusivement en vue d’en tirer un avantage pécuniaire, social ou politique. </w:t>
      </w:r>
    </w:p>
    <w:p w:rsidR="00374A0D" w:rsidRPr="00FF0A9A" w:rsidRDefault="00374A0D" w:rsidP="00A76F4A">
      <w:pPr>
        <w:widowControl w:val="0"/>
        <w:autoSpaceDE w:val="0"/>
        <w:autoSpaceDN w:val="0"/>
        <w:adjustRightInd w:val="0"/>
        <w:ind w:left="426" w:right="12"/>
        <w:jc w:val="both"/>
        <w:rPr>
          <w:color w:val="000000" w:themeColor="text1"/>
          <w:lang w:eastAsia="en-US"/>
        </w:rPr>
      </w:pPr>
      <w:r w:rsidRPr="00FF0A9A">
        <w:rPr>
          <w:color w:val="000000" w:themeColor="text1"/>
          <w:lang w:eastAsia="en-US"/>
        </w:rPr>
        <w:t xml:space="preserve">                                                                                                                                          </w:t>
      </w:r>
    </w:p>
    <w:p w:rsidR="00374A0D" w:rsidRPr="00FF0A9A" w:rsidRDefault="00374A0D" w:rsidP="00A76F4A">
      <w:pPr>
        <w:widowControl w:val="0"/>
        <w:autoSpaceDE w:val="0"/>
        <w:autoSpaceDN w:val="0"/>
        <w:adjustRightInd w:val="0"/>
        <w:ind w:left="426" w:right="12"/>
        <w:jc w:val="both"/>
        <w:rPr>
          <w:color w:val="000000" w:themeColor="text1"/>
          <w:lang w:eastAsia="en-US"/>
        </w:rPr>
      </w:pPr>
      <w:r w:rsidRPr="00FF0A9A">
        <w:rPr>
          <w:b/>
          <w:color w:val="000000" w:themeColor="text1"/>
          <w:lang w:eastAsia="en-US"/>
        </w:rPr>
        <w:t xml:space="preserve"> L’expression « abus sexuel »</w:t>
      </w:r>
      <w:r w:rsidRPr="00FF0A9A">
        <w:rPr>
          <w:color w:val="000000" w:themeColor="text1"/>
          <w:lang w:eastAsia="en-US"/>
        </w:rPr>
        <w:t xml:space="preserve"> désigne toute atteinte sexuelle commise avec force, contrainte ou à la faveur d’un rapport inégal, la menace d’une telle atteinte constituant aussi l’abus sexuel.  </w:t>
      </w:r>
    </w:p>
    <w:p w:rsidR="00374A0D" w:rsidRPr="00FF0A9A" w:rsidRDefault="00374A0D" w:rsidP="00A76F4A">
      <w:pPr>
        <w:widowControl w:val="0"/>
        <w:autoSpaceDE w:val="0"/>
        <w:autoSpaceDN w:val="0"/>
        <w:adjustRightInd w:val="0"/>
        <w:ind w:left="426" w:right="12"/>
        <w:jc w:val="both"/>
        <w:rPr>
          <w:color w:val="000000" w:themeColor="text1"/>
          <w:lang w:eastAsia="en-US"/>
        </w:rPr>
      </w:pPr>
      <w:r w:rsidRPr="00FF0A9A">
        <w:rPr>
          <w:color w:val="000000" w:themeColor="text1"/>
          <w:lang w:eastAsia="en-US"/>
        </w:rPr>
        <w:t>                                                                                                                                                 </w:t>
      </w:r>
    </w:p>
    <w:p w:rsidR="00374A0D" w:rsidRPr="00FF0A9A" w:rsidRDefault="00374A0D" w:rsidP="00A76F4A">
      <w:pPr>
        <w:widowControl w:val="0"/>
        <w:autoSpaceDE w:val="0"/>
        <w:autoSpaceDN w:val="0"/>
        <w:adjustRightInd w:val="0"/>
        <w:ind w:left="426" w:right="12"/>
        <w:jc w:val="both"/>
        <w:rPr>
          <w:color w:val="000000" w:themeColor="text1"/>
          <w:lang w:eastAsia="en-US"/>
        </w:rPr>
      </w:pPr>
      <w:r w:rsidRPr="00FF0A9A">
        <w:rPr>
          <w:color w:val="000000" w:themeColor="text1"/>
          <w:lang w:eastAsia="en-US"/>
        </w:rPr>
        <w:t>L’</w:t>
      </w:r>
      <w:r w:rsidRPr="00FF0A9A">
        <w:rPr>
          <w:b/>
          <w:color w:val="000000" w:themeColor="text1"/>
          <w:lang w:eastAsia="en-US"/>
        </w:rPr>
        <w:t>EAS</w:t>
      </w:r>
      <w:r w:rsidRPr="00FF0A9A">
        <w:rPr>
          <w:color w:val="000000" w:themeColor="text1"/>
          <w:lang w:eastAsia="en-US"/>
        </w:rPr>
        <w:t xml:space="preserve"> inclut aussi les relations sexuelles avec un enfant, quel que soit le contexte, défini comme un être humain âgé de moins de dix-huit ans.                                                           </w:t>
      </w:r>
      <w:hyperlink r:id="rId58" w:history="1">
        <w:r w:rsidRPr="00FF0A9A">
          <w:rPr>
            <w:color w:val="000000" w:themeColor="text1"/>
            <w:lang w:eastAsia="en-US"/>
          </w:rPr>
          <w:t> </w:t>
        </w:r>
      </w:hyperlink>
    </w:p>
    <w:p w:rsidR="00374A0D" w:rsidRPr="00A05698" w:rsidRDefault="00374A0D" w:rsidP="00A76F4A">
      <w:pPr>
        <w:ind w:right="12"/>
        <w:jc w:val="both"/>
        <w:rPr>
          <w:rFonts w:eastAsia="Times New Roman"/>
        </w:rPr>
      </w:pPr>
    </w:p>
    <w:p w:rsidR="00374A0D" w:rsidRPr="00A05698" w:rsidRDefault="00374A0D" w:rsidP="00A76F4A">
      <w:pPr>
        <w:pStyle w:val="PargrafodaLista"/>
        <w:spacing w:after="120" w:line="240" w:lineRule="auto"/>
        <w:ind w:left="2420" w:right="12"/>
        <w:outlineLvl w:val="1"/>
        <w:rPr>
          <w:rFonts w:ascii="Times New Roman" w:hAnsi="Times New Roman"/>
          <w:b/>
          <w:bCs/>
          <w:sz w:val="24"/>
          <w:szCs w:val="24"/>
        </w:rPr>
      </w:pPr>
      <w:bookmarkStart w:id="492" w:name="_Toc73459802"/>
      <w:bookmarkStart w:id="493" w:name="_Toc75432358"/>
      <w:r w:rsidRPr="002B08BA">
        <w:rPr>
          <w:rFonts w:ascii="Times New Roman" w:hAnsi="Times New Roman"/>
          <w:b/>
          <w:bCs/>
          <w:sz w:val="24"/>
          <w:szCs w:val="24"/>
        </w:rPr>
        <w:t>TRAITEMENT DE PLAINTES D’EAS/HS</w:t>
      </w:r>
      <w:r w:rsidRPr="00A05698" w:rsidDel="00622329">
        <w:rPr>
          <w:rFonts w:ascii="Times New Roman" w:hAnsi="Times New Roman"/>
          <w:b/>
          <w:bCs/>
          <w:sz w:val="24"/>
          <w:szCs w:val="24"/>
        </w:rPr>
        <w:t xml:space="preserve"> </w:t>
      </w:r>
      <w:r w:rsidRPr="00A05698">
        <w:rPr>
          <w:rFonts w:ascii="Times New Roman" w:hAnsi="Times New Roman"/>
          <w:b/>
          <w:bCs/>
          <w:sz w:val="24"/>
          <w:szCs w:val="24"/>
        </w:rPr>
        <w:t>et VCE</w:t>
      </w:r>
      <w:bookmarkEnd w:id="492"/>
      <w:bookmarkEnd w:id="493"/>
      <w:r w:rsidRPr="00A05698">
        <w:rPr>
          <w:rFonts w:ascii="Times New Roman" w:hAnsi="Times New Roman"/>
          <w:b/>
          <w:bCs/>
          <w:sz w:val="24"/>
          <w:szCs w:val="24"/>
        </w:rPr>
        <w:t xml:space="preserve"> </w:t>
      </w:r>
    </w:p>
    <w:p w:rsidR="00374A0D" w:rsidRPr="00A05698" w:rsidRDefault="00374A0D" w:rsidP="00A76F4A">
      <w:pPr>
        <w:ind w:left="426" w:right="12"/>
        <w:jc w:val="both"/>
        <w:rPr>
          <w:rFonts w:eastAsia="Times New Roman"/>
          <w:b/>
          <w:u w:val="single"/>
        </w:rPr>
      </w:pPr>
      <w:r w:rsidRPr="00A05698">
        <w:rPr>
          <w:rFonts w:eastAsia="Times New Roman"/>
          <w:b/>
          <w:u w:val="single"/>
        </w:rPr>
        <w:t xml:space="preserve">L’Équipe de conformité (EC) </w:t>
      </w:r>
      <w:r>
        <w:rPr>
          <w:rFonts w:eastAsia="Times New Roman"/>
          <w:b/>
          <w:u w:val="single"/>
        </w:rPr>
        <w:t>EAS/HS</w:t>
      </w:r>
      <w:r w:rsidRPr="00A05698">
        <w:rPr>
          <w:rFonts w:eastAsia="Times New Roman"/>
          <w:b/>
          <w:u w:val="single"/>
        </w:rPr>
        <w:t xml:space="preserve"> et VCE </w:t>
      </w:r>
    </w:p>
    <w:p w:rsidR="00374A0D" w:rsidRPr="00A05698" w:rsidRDefault="00374A0D" w:rsidP="00A76F4A">
      <w:pPr>
        <w:ind w:left="426" w:right="12"/>
        <w:jc w:val="both"/>
        <w:rPr>
          <w:rFonts w:eastAsia="Times New Roman"/>
        </w:rPr>
      </w:pPr>
    </w:p>
    <w:p w:rsidR="00374A0D" w:rsidRPr="001D1D2D" w:rsidRDefault="00374A0D" w:rsidP="00A76F4A">
      <w:pPr>
        <w:autoSpaceDE w:val="0"/>
        <w:autoSpaceDN w:val="0"/>
        <w:adjustRightInd w:val="0"/>
        <w:ind w:right="12"/>
        <w:jc w:val="both"/>
      </w:pPr>
      <w:r w:rsidRPr="001D1D2D">
        <w:t xml:space="preserve">Le projet mettra en place une Équipe de conformité (EC) EAS/HS et VCE. Elle comprendra, selon les besoins du projet, au moins quatre représentants (« Points focaux »), répartis comme suit : </w:t>
      </w:r>
    </w:p>
    <w:p w:rsidR="00374A0D" w:rsidRPr="00FF0A9A" w:rsidRDefault="00374A0D" w:rsidP="00A76F4A">
      <w:pPr>
        <w:ind w:left="851" w:right="12"/>
        <w:jc w:val="both"/>
        <w:rPr>
          <w:rFonts w:eastAsia="Times New Roman"/>
        </w:rPr>
      </w:pPr>
      <w:r w:rsidRPr="00FF0A9A">
        <w:rPr>
          <w:rFonts w:eastAsia="Times New Roman"/>
        </w:rPr>
        <w:t xml:space="preserve">i. Un spécialiste des sauvegardes, nommé par le </w:t>
      </w:r>
      <w:r w:rsidR="00B26B18" w:rsidRPr="00FF0A9A">
        <w:rPr>
          <w:rFonts w:eastAsia="Times New Roman"/>
        </w:rPr>
        <w:t>UCP ;</w:t>
      </w:r>
    </w:p>
    <w:p w:rsidR="00374A0D" w:rsidRPr="00FF0A9A" w:rsidRDefault="00374A0D" w:rsidP="00A76F4A">
      <w:pPr>
        <w:ind w:left="851" w:right="12"/>
        <w:jc w:val="both"/>
        <w:rPr>
          <w:rFonts w:eastAsia="Times New Roman"/>
        </w:rPr>
      </w:pPr>
      <w:r w:rsidRPr="00FF0A9A">
        <w:rPr>
          <w:rFonts w:eastAsia="Times New Roman"/>
        </w:rPr>
        <w:t xml:space="preserve">ii. Le gestionnaire chargé de l’hygiène et de la sécurité du travail nommé par l’entrepreneur, ou toute autre personne chargée des questions de VBG et VCE, ayant le temps et l’expérience nécessaires pour assumer ce poste ; </w:t>
      </w:r>
    </w:p>
    <w:p w:rsidR="00374A0D" w:rsidRPr="00FF0A9A" w:rsidRDefault="00374A0D" w:rsidP="00A76F4A">
      <w:pPr>
        <w:ind w:left="851" w:right="12"/>
        <w:jc w:val="both"/>
        <w:rPr>
          <w:rFonts w:eastAsia="Times New Roman"/>
        </w:rPr>
      </w:pPr>
      <w:r w:rsidRPr="00FF0A9A">
        <w:rPr>
          <w:rFonts w:eastAsia="Times New Roman"/>
        </w:rPr>
        <w:t xml:space="preserve">iii. Le consultant chargé de la supervision ; et, </w:t>
      </w:r>
    </w:p>
    <w:p w:rsidR="00374A0D" w:rsidRPr="00FF0A9A" w:rsidRDefault="00374A0D" w:rsidP="00A76F4A">
      <w:pPr>
        <w:ind w:left="851" w:right="12"/>
        <w:jc w:val="both"/>
        <w:rPr>
          <w:rFonts w:eastAsia="Times New Roman"/>
        </w:rPr>
      </w:pPr>
      <w:r w:rsidRPr="00FF0A9A">
        <w:rPr>
          <w:rFonts w:eastAsia="Times New Roman"/>
        </w:rPr>
        <w:t xml:space="preserve">iv. Un représentant d’un prestataire de services local ayant de l’expérience en matière d’EAS/HS et VCE (le « Prestataire de services »). </w:t>
      </w:r>
    </w:p>
    <w:p w:rsidR="00374A0D" w:rsidRPr="00846B77" w:rsidRDefault="00374A0D" w:rsidP="00A76F4A">
      <w:pPr>
        <w:ind w:left="-284" w:right="12"/>
        <w:jc w:val="both"/>
        <w:rPr>
          <w:rFonts w:eastAsia="Times New Roman"/>
        </w:rPr>
      </w:pPr>
    </w:p>
    <w:p w:rsidR="00374A0D" w:rsidRPr="001D1D2D" w:rsidRDefault="00374A0D" w:rsidP="00A76F4A">
      <w:pPr>
        <w:autoSpaceDE w:val="0"/>
        <w:autoSpaceDN w:val="0"/>
        <w:adjustRightInd w:val="0"/>
        <w:ind w:right="12"/>
        <w:jc w:val="both"/>
      </w:pPr>
      <w:r w:rsidRPr="001D1D2D">
        <w:t>L’Équipe de conformité (</w:t>
      </w:r>
      <w:r w:rsidR="00064F08" w:rsidRPr="001D1D2D">
        <w:t>EC) sera</w:t>
      </w:r>
      <w:r w:rsidRPr="001D1D2D">
        <w:t xml:space="preserve"> tenue : </w:t>
      </w:r>
    </w:p>
    <w:p w:rsidR="00374A0D" w:rsidRPr="00FF0A9A" w:rsidRDefault="00374A0D" w:rsidP="00A76F4A">
      <w:pPr>
        <w:ind w:left="851" w:right="12"/>
        <w:jc w:val="both"/>
        <w:rPr>
          <w:rFonts w:eastAsia="Times New Roman"/>
        </w:rPr>
      </w:pPr>
      <w:r w:rsidRPr="00FF0A9A">
        <w:rPr>
          <w:rFonts w:eastAsia="Times New Roman"/>
        </w:rPr>
        <w:lastRenderedPageBreak/>
        <w:t xml:space="preserve">i. D’approuver tout changement apporté aux Codes de conduite en matière d’EAS/HS et VCE figurant dans le présent document, après approbation de la part de la Banque mondiale pour tout changement de ce type ;  </w:t>
      </w:r>
    </w:p>
    <w:p w:rsidR="00374A0D" w:rsidRPr="00FF0A9A" w:rsidRDefault="00374A0D" w:rsidP="00A76F4A">
      <w:pPr>
        <w:ind w:left="851" w:right="12"/>
        <w:jc w:val="both"/>
        <w:rPr>
          <w:rFonts w:eastAsia="Times New Roman"/>
        </w:rPr>
      </w:pPr>
      <w:r w:rsidRPr="00FF0A9A">
        <w:rPr>
          <w:rFonts w:eastAsia="Times New Roman"/>
        </w:rPr>
        <w:t>iii. L’entreprise pourra développer son propre Plan d’action sur l’EAS/HS et VCE et le partager pour approbation à l’UGP et de la Banque Mondiale,</w:t>
      </w:r>
    </w:p>
    <w:p w:rsidR="00374A0D" w:rsidRPr="00FF0A9A" w:rsidRDefault="00374A0D" w:rsidP="00A76F4A">
      <w:pPr>
        <w:ind w:left="851" w:right="12"/>
        <w:jc w:val="both"/>
        <w:rPr>
          <w:rFonts w:eastAsia="Times New Roman"/>
        </w:rPr>
      </w:pPr>
      <w:r w:rsidRPr="00FF0A9A">
        <w:rPr>
          <w:rFonts w:eastAsia="Times New Roman"/>
        </w:rPr>
        <w:t xml:space="preserve">iv. D’obtenir les autorisations de UCP et de la Banque mondiale pour le Plan d’action sur l’EAS/HS et VCE avant la pleine mobilisation ; </w:t>
      </w:r>
    </w:p>
    <w:p w:rsidR="00374A0D" w:rsidRPr="00FF0A9A" w:rsidRDefault="00374A0D" w:rsidP="00A76F4A">
      <w:pPr>
        <w:ind w:left="851" w:right="12"/>
        <w:jc w:val="both"/>
        <w:rPr>
          <w:rFonts w:eastAsia="Times New Roman"/>
        </w:rPr>
      </w:pPr>
      <w:r w:rsidRPr="00FF0A9A">
        <w:rPr>
          <w:rFonts w:eastAsia="Times New Roman"/>
        </w:rPr>
        <w:t xml:space="preserve">vi. De s’assurer que les statistiques des plaintes au sujet des VBG et VCE sont à jour et soit incluses dans les rapports réguliers du projet. </w:t>
      </w:r>
    </w:p>
    <w:p w:rsidR="00374A0D" w:rsidRPr="00846B77" w:rsidRDefault="00374A0D" w:rsidP="00A76F4A">
      <w:pPr>
        <w:ind w:right="12"/>
        <w:jc w:val="both"/>
        <w:rPr>
          <w:rFonts w:eastAsia="Times New Roman"/>
        </w:rPr>
      </w:pPr>
    </w:p>
    <w:p w:rsidR="00374A0D" w:rsidRPr="001D1D2D" w:rsidRDefault="00374A0D" w:rsidP="00A76F4A">
      <w:pPr>
        <w:autoSpaceDE w:val="0"/>
        <w:autoSpaceDN w:val="0"/>
        <w:adjustRightInd w:val="0"/>
        <w:ind w:right="12"/>
        <w:jc w:val="both"/>
      </w:pPr>
      <w:r w:rsidRPr="001D1D2D">
        <w:t xml:space="preserve">L’équipe de conformité (EC) tiendra des réunions trimestrielles de mise à jour pour discuter des moyens de renforcer les ressources et le soutien en matière de VBG et VCE pour les employés et les membres des communautés. </w:t>
      </w:r>
    </w:p>
    <w:p w:rsidR="00C8440D" w:rsidRPr="00846B77" w:rsidRDefault="00C8440D" w:rsidP="00A76F4A">
      <w:pPr>
        <w:ind w:left="426" w:right="12"/>
        <w:jc w:val="both"/>
        <w:rPr>
          <w:rFonts w:eastAsia="Times New Roman"/>
        </w:rPr>
      </w:pPr>
    </w:p>
    <w:p w:rsidR="00374A0D" w:rsidRDefault="00374A0D" w:rsidP="00A76F4A">
      <w:pPr>
        <w:ind w:left="426" w:right="12"/>
        <w:jc w:val="both"/>
        <w:rPr>
          <w:b/>
          <w:bCs/>
        </w:rPr>
      </w:pPr>
      <w:bookmarkStart w:id="494" w:name="_Toc73459803"/>
      <w:r w:rsidRPr="00B81702">
        <w:rPr>
          <w:b/>
          <w:bCs/>
        </w:rPr>
        <w:t>Dépôt de plaintes : Procédures relatives aux allégations d’EAS/HS et VCE</w:t>
      </w:r>
      <w:bookmarkEnd w:id="494"/>
      <w:r w:rsidRPr="00B81702">
        <w:rPr>
          <w:b/>
          <w:bCs/>
        </w:rPr>
        <w:t xml:space="preserve"> </w:t>
      </w:r>
    </w:p>
    <w:p w:rsidR="00C8440D" w:rsidRPr="00B81702" w:rsidRDefault="00C8440D" w:rsidP="00A76F4A">
      <w:pPr>
        <w:ind w:left="426" w:right="12"/>
        <w:jc w:val="both"/>
        <w:rPr>
          <w:b/>
          <w:bCs/>
        </w:rPr>
      </w:pPr>
    </w:p>
    <w:p w:rsidR="00374A0D" w:rsidRPr="001D1D2D" w:rsidRDefault="00374A0D" w:rsidP="00A76F4A">
      <w:pPr>
        <w:autoSpaceDE w:val="0"/>
        <w:autoSpaceDN w:val="0"/>
        <w:adjustRightInd w:val="0"/>
        <w:ind w:right="12"/>
        <w:jc w:val="both"/>
      </w:pPr>
      <w:r w:rsidRPr="001D1D2D">
        <w:t xml:space="preserve">L’ensemble du personnel, des bénévoles, des consultants et des sous-traitants sont encouragés à signaler les cas présumés ou avérés d’EAS/HS et VCE. Les gestionnaires sont tenus de signaler les cas présumés ou avérés d’EAS/HS et VCE, car ils ont la responsabilité de faire respecter les engagements de l’entreprise et de tenir leurs subordonnés directs responsables du respect du Code individuel de conduite. </w:t>
      </w:r>
    </w:p>
    <w:p w:rsidR="00374A0D" w:rsidRPr="001D1D2D" w:rsidRDefault="00374A0D" w:rsidP="00A76F4A">
      <w:pPr>
        <w:autoSpaceDE w:val="0"/>
        <w:autoSpaceDN w:val="0"/>
        <w:adjustRightInd w:val="0"/>
        <w:ind w:right="12"/>
        <w:jc w:val="both"/>
      </w:pPr>
    </w:p>
    <w:p w:rsidR="00374A0D" w:rsidRPr="001D1D2D" w:rsidRDefault="00374A0D" w:rsidP="00A76F4A">
      <w:pPr>
        <w:autoSpaceDE w:val="0"/>
        <w:autoSpaceDN w:val="0"/>
        <w:adjustRightInd w:val="0"/>
        <w:ind w:right="12"/>
        <w:jc w:val="both"/>
      </w:pPr>
      <w:r w:rsidRPr="001D1D2D">
        <w:t>Le projet fournira des informations aux employés et à la communauté sur la façon de signaler les cas de violation du Code de conduite en matière d’EAS/HS et VCE par le biais du Mécanisme de plaintes et des doléances. L’équipe de conformité (EC) assurera le suivi des cas de violation du Code de conduite en matière d’EAS/HS et VCE signalés par l’intermédiaire du mécanisme des plaintes.</w:t>
      </w:r>
    </w:p>
    <w:p w:rsidR="00374A0D" w:rsidRPr="001D1D2D" w:rsidRDefault="00374A0D" w:rsidP="00A76F4A">
      <w:pPr>
        <w:autoSpaceDE w:val="0"/>
        <w:autoSpaceDN w:val="0"/>
        <w:adjustRightInd w:val="0"/>
        <w:ind w:right="12"/>
        <w:jc w:val="both"/>
      </w:pPr>
    </w:p>
    <w:p w:rsidR="00374A0D" w:rsidRPr="001D1D2D" w:rsidRDefault="00374A0D" w:rsidP="00A76F4A">
      <w:pPr>
        <w:autoSpaceDE w:val="0"/>
        <w:autoSpaceDN w:val="0"/>
        <w:adjustRightInd w:val="0"/>
        <w:ind w:right="12"/>
        <w:jc w:val="both"/>
      </w:pPr>
      <w:r w:rsidRPr="001D1D2D">
        <w:t xml:space="preserve">En ce qui concerne les plaintes d’EAS/HS, le traitement confidentiel des données est essentiel, et l’enregistrement de la plainte doit être mis en connaissance de la Banque Mondiale dans </w:t>
      </w:r>
      <w:r w:rsidR="00064F08" w:rsidRPr="001D1D2D">
        <w:t>un délai</w:t>
      </w:r>
      <w:r w:rsidRPr="001D1D2D">
        <w:t xml:space="preserve"> de 24 heures dès l’enregistrement.</w:t>
      </w:r>
    </w:p>
    <w:p w:rsidR="00374A0D" w:rsidRPr="001D1D2D" w:rsidRDefault="00374A0D" w:rsidP="00A76F4A">
      <w:pPr>
        <w:autoSpaceDE w:val="0"/>
        <w:autoSpaceDN w:val="0"/>
        <w:adjustRightInd w:val="0"/>
        <w:ind w:right="12"/>
        <w:jc w:val="both"/>
      </w:pPr>
      <w:r w:rsidRPr="001D1D2D">
        <w:t>Si le projet recruté une ONG spécialisé pour l’appui dans la mise en œuvre des actions contre l’EAS/HS, y compris le MGP, cette organisation pourra réaliser l’enregistrement de la plainte et aussi assurera la représentation de la survivante auprès du MGP avec son consentement éclairé</w:t>
      </w:r>
    </w:p>
    <w:p w:rsidR="00374A0D" w:rsidRPr="001D1D2D" w:rsidRDefault="00374A0D" w:rsidP="00A76F4A">
      <w:pPr>
        <w:autoSpaceDE w:val="0"/>
        <w:autoSpaceDN w:val="0"/>
        <w:adjustRightInd w:val="0"/>
        <w:ind w:right="12"/>
        <w:jc w:val="both"/>
      </w:pPr>
    </w:p>
    <w:p w:rsidR="00374A0D" w:rsidRPr="001D1D2D" w:rsidRDefault="00374A0D" w:rsidP="00A76F4A">
      <w:pPr>
        <w:autoSpaceDE w:val="0"/>
        <w:autoSpaceDN w:val="0"/>
        <w:adjustRightInd w:val="0"/>
        <w:ind w:right="12"/>
        <w:jc w:val="both"/>
      </w:pPr>
      <w:r w:rsidRPr="001D1D2D">
        <w:t xml:space="preserve">Une fois que le processus de vérification a terminé et conclu que la plainte est liée au projet, le présumé auteur devra être informé de la sanction établie, ainsi que la survivante </w:t>
      </w:r>
    </w:p>
    <w:p w:rsidR="00374A0D" w:rsidRPr="001D1D2D" w:rsidRDefault="00374A0D" w:rsidP="00A76F4A">
      <w:pPr>
        <w:autoSpaceDE w:val="0"/>
        <w:autoSpaceDN w:val="0"/>
        <w:adjustRightInd w:val="0"/>
        <w:ind w:right="12"/>
        <w:jc w:val="both"/>
      </w:pPr>
    </w:p>
    <w:p w:rsidR="00374A0D" w:rsidRPr="001D1D2D" w:rsidRDefault="00374A0D" w:rsidP="00A76F4A">
      <w:pPr>
        <w:autoSpaceDE w:val="0"/>
        <w:autoSpaceDN w:val="0"/>
        <w:adjustRightInd w:val="0"/>
        <w:ind w:right="12"/>
        <w:jc w:val="both"/>
      </w:pPr>
      <w:r w:rsidRPr="001D1D2D">
        <w:t xml:space="preserve">Le processus de vérification est un processus administratif qui ne donnera pas aucune compensation économique à la survivante, et conclura avec une sanction, dans le cas échéant, au présumé auteur. Cette résolution ne détermine pas la responsabilité et/ou culpabilité, sinon la probabilité que cet acte soit lié ou pas au projet  </w:t>
      </w:r>
    </w:p>
    <w:p w:rsidR="00374A0D" w:rsidRPr="00A05698" w:rsidRDefault="00374A0D" w:rsidP="00A76F4A">
      <w:pPr>
        <w:ind w:right="12"/>
        <w:jc w:val="both"/>
        <w:rPr>
          <w:rFonts w:eastAsia="Times New Roman"/>
        </w:rPr>
      </w:pPr>
    </w:p>
    <w:p w:rsidR="00374A0D" w:rsidRPr="00FB5ACF" w:rsidRDefault="00374A0D" w:rsidP="00A76F4A">
      <w:pPr>
        <w:ind w:left="426" w:right="12"/>
        <w:jc w:val="both"/>
        <w:rPr>
          <w:rFonts w:eastAsia="Times New Roman"/>
          <w:b/>
          <w:u w:val="single"/>
        </w:rPr>
      </w:pPr>
      <w:r w:rsidRPr="00FB5ACF">
        <w:rPr>
          <w:rFonts w:eastAsia="Times New Roman"/>
          <w:b/>
          <w:u w:val="single"/>
        </w:rPr>
        <w:t xml:space="preserve">Mesures de responsabilisation et confidentialité </w:t>
      </w:r>
    </w:p>
    <w:p w:rsidR="00374A0D" w:rsidRPr="00A05698" w:rsidRDefault="00374A0D" w:rsidP="00A76F4A">
      <w:pPr>
        <w:ind w:left="426" w:right="12"/>
        <w:jc w:val="both"/>
        <w:rPr>
          <w:rFonts w:eastAsia="Times New Roman"/>
        </w:rPr>
      </w:pPr>
    </w:p>
    <w:p w:rsidR="00374A0D" w:rsidRPr="001D1D2D" w:rsidRDefault="00374A0D" w:rsidP="00A76F4A">
      <w:pPr>
        <w:autoSpaceDE w:val="0"/>
        <w:autoSpaceDN w:val="0"/>
        <w:adjustRightInd w:val="0"/>
        <w:ind w:right="12"/>
        <w:jc w:val="both"/>
      </w:pPr>
      <w:r w:rsidRPr="001D1D2D">
        <w:t xml:space="preserve">Toutes les dénonciations d’EAS/HS et de VCE doivent être traitées en toute confidentialité afin de protéger les droits de toutes les personnes concernées. L’UCP, l’entrepreneur et le consultant doivent préserver la confidentialité des employés qui dénoncent des actes de violence ou des menaces de violence ainsi bien que la confidentialité de tout employé accusé </w:t>
      </w:r>
      <w:r w:rsidRPr="001D1D2D">
        <w:lastRenderedPageBreak/>
        <w:t xml:space="preserve">d’avoir commis des actes de violence ou proféré des menaces de violence (sauf si une violation de la confidentialité est nécessaire pour protéger des personnes ou des biens contre des dommages graves ou lorsque la loi l’exige). </w:t>
      </w:r>
    </w:p>
    <w:p w:rsidR="00374A0D" w:rsidRPr="001D1D2D" w:rsidRDefault="00374A0D" w:rsidP="00A76F4A">
      <w:pPr>
        <w:autoSpaceDE w:val="0"/>
        <w:autoSpaceDN w:val="0"/>
        <w:adjustRightInd w:val="0"/>
        <w:ind w:right="12"/>
        <w:jc w:val="both"/>
      </w:pPr>
    </w:p>
    <w:p w:rsidR="00374A0D" w:rsidRPr="001D1D2D" w:rsidRDefault="00374A0D" w:rsidP="00A76F4A">
      <w:pPr>
        <w:autoSpaceDE w:val="0"/>
        <w:autoSpaceDN w:val="0"/>
        <w:adjustRightInd w:val="0"/>
        <w:ind w:right="12"/>
        <w:jc w:val="both"/>
      </w:pPr>
      <w:r w:rsidRPr="001D1D2D">
        <w:t>Pour s’assurer que les survivant(e)s se sentent à l’aise pour partager leur expérience d’EAS/HS et de VCE, elles peuvent dénoncer les cas de VBG et de VCE par divers moyens, à savoir :</w:t>
      </w:r>
    </w:p>
    <w:p w:rsidR="00374A0D" w:rsidRPr="00FB5ACF" w:rsidRDefault="00374A0D" w:rsidP="00A76F4A">
      <w:pPr>
        <w:ind w:left="1134" w:right="12"/>
        <w:rPr>
          <w:rFonts w:eastAsia="Times New Roman"/>
          <w:sz w:val="22"/>
          <w:szCs w:val="22"/>
        </w:rPr>
      </w:pPr>
      <w:r w:rsidRPr="00A05698">
        <w:rPr>
          <w:rFonts w:eastAsia="Times New Roman"/>
        </w:rPr>
        <w:t xml:space="preserve">i) </w:t>
      </w:r>
      <w:r w:rsidRPr="00FB5ACF">
        <w:rPr>
          <w:rFonts w:eastAsia="Times New Roman"/>
          <w:sz w:val="22"/>
          <w:szCs w:val="22"/>
        </w:rPr>
        <w:t xml:space="preserve">en ligne ; </w:t>
      </w:r>
    </w:p>
    <w:p w:rsidR="00374A0D" w:rsidRPr="00FB5ACF" w:rsidRDefault="00374A0D" w:rsidP="00A76F4A">
      <w:pPr>
        <w:ind w:left="1134" w:right="12"/>
        <w:rPr>
          <w:rFonts w:eastAsia="Times New Roman"/>
          <w:sz w:val="22"/>
          <w:szCs w:val="22"/>
        </w:rPr>
      </w:pPr>
      <w:r w:rsidRPr="00FB5ACF">
        <w:rPr>
          <w:rFonts w:eastAsia="Times New Roman"/>
          <w:sz w:val="22"/>
          <w:szCs w:val="22"/>
        </w:rPr>
        <w:t xml:space="preserve">ii) par téléphone ; </w:t>
      </w:r>
    </w:p>
    <w:p w:rsidR="00374A0D" w:rsidRPr="00FB5ACF" w:rsidRDefault="00374A0D" w:rsidP="00A76F4A">
      <w:pPr>
        <w:ind w:left="1134" w:right="12"/>
        <w:rPr>
          <w:rFonts w:eastAsia="Times New Roman"/>
          <w:sz w:val="22"/>
          <w:szCs w:val="22"/>
        </w:rPr>
      </w:pPr>
      <w:r w:rsidRPr="00FB5ACF">
        <w:rPr>
          <w:rFonts w:eastAsia="Times New Roman"/>
          <w:sz w:val="22"/>
          <w:szCs w:val="22"/>
        </w:rPr>
        <w:t>iii) en personne ;</w:t>
      </w:r>
    </w:p>
    <w:p w:rsidR="00374A0D" w:rsidRPr="00FB5ACF" w:rsidRDefault="00374A0D" w:rsidP="00A76F4A">
      <w:pPr>
        <w:ind w:left="1134" w:right="12"/>
        <w:rPr>
          <w:rFonts w:eastAsia="Times New Roman"/>
          <w:sz w:val="22"/>
          <w:szCs w:val="22"/>
        </w:rPr>
      </w:pPr>
      <w:r w:rsidRPr="00FB5ACF">
        <w:rPr>
          <w:rFonts w:eastAsia="Times New Roman"/>
          <w:sz w:val="22"/>
          <w:szCs w:val="22"/>
        </w:rPr>
        <w:t xml:space="preserve">iv) auprès du Prestataire de services local ; </w:t>
      </w:r>
    </w:p>
    <w:p w:rsidR="00374A0D" w:rsidRPr="00FB5ACF" w:rsidRDefault="00374A0D" w:rsidP="00A76F4A">
      <w:pPr>
        <w:ind w:left="1134" w:right="12"/>
        <w:rPr>
          <w:rFonts w:eastAsia="Times New Roman"/>
          <w:sz w:val="22"/>
          <w:szCs w:val="22"/>
        </w:rPr>
      </w:pPr>
      <w:r w:rsidRPr="00FB5ACF">
        <w:rPr>
          <w:rFonts w:eastAsia="Times New Roman"/>
          <w:sz w:val="22"/>
          <w:szCs w:val="22"/>
        </w:rPr>
        <w:t>v) auprès du/des gestionnaire(s) ;</w:t>
      </w:r>
    </w:p>
    <w:p w:rsidR="00374A0D" w:rsidRPr="00FB5ACF" w:rsidRDefault="00374A0D" w:rsidP="00A76F4A">
      <w:pPr>
        <w:ind w:left="1134" w:right="12"/>
        <w:rPr>
          <w:rFonts w:eastAsia="Times New Roman"/>
          <w:sz w:val="22"/>
          <w:szCs w:val="22"/>
        </w:rPr>
      </w:pPr>
      <w:r w:rsidRPr="00FB5ACF">
        <w:rPr>
          <w:rFonts w:eastAsia="Times New Roman"/>
          <w:sz w:val="22"/>
          <w:szCs w:val="22"/>
        </w:rPr>
        <w:t xml:space="preserve">vi) auprès des conseils villageois ; ou </w:t>
      </w:r>
    </w:p>
    <w:p w:rsidR="00374A0D" w:rsidRPr="00FB5ACF" w:rsidRDefault="00374A0D" w:rsidP="00A76F4A">
      <w:pPr>
        <w:ind w:left="1134" w:right="12"/>
        <w:rPr>
          <w:rFonts w:eastAsia="Times New Roman"/>
          <w:sz w:val="22"/>
          <w:szCs w:val="22"/>
        </w:rPr>
      </w:pPr>
      <w:r w:rsidRPr="00FB5ACF">
        <w:rPr>
          <w:rFonts w:eastAsia="Times New Roman"/>
          <w:sz w:val="22"/>
          <w:szCs w:val="22"/>
        </w:rPr>
        <w:t xml:space="preserve">vii) à la police. </w:t>
      </w:r>
    </w:p>
    <w:p w:rsidR="00374A0D" w:rsidRPr="00A05698" w:rsidRDefault="00374A0D" w:rsidP="00A76F4A">
      <w:pPr>
        <w:ind w:right="12"/>
        <w:rPr>
          <w:rFonts w:eastAsia="Times New Roman"/>
        </w:rPr>
      </w:pPr>
    </w:p>
    <w:p w:rsidR="00374A0D" w:rsidRPr="001D1D2D" w:rsidRDefault="00374A0D" w:rsidP="00A76F4A">
      <w:pPr>
        <w:autoSpaceDE w:val="0"/>
        <w:autoSpaceDN w:val="0"/>
        <w:adjustRightInd w:val="0"/>
        <w:ind w:right="12"/>
        <w:jc w:val="both"/>
      </w:pPr>
      <w:r w:rsidRPr="001D1D2D">
        <w:t xml:space="preserve">Afin de préserver la confidentialité, seul le Prestataire de services aura accès aux informations concernant le/a survivant(e). L’équipe de conformité (EC) sera le principal Point focal en ce qui concerne les informations et le suivi de l’auteur des violences. </w:t>
      </w:r>
    </w:p>
    <w:p w:rsidR="00374A0D" w:rsidRPr="00A05698" w:rsidRDefault="00374A0D" w:rsidP="00A76F4A">
      <w:pPr>
        <w:ind w:right="12"/>
        <w:rPr>
          <w:rFonts w:eastAsia="Times New Roman"/>
        </w:rPr>
      </w:pPr>
    </w:p>
    <w:p w:rsidR="00374A0D" w:rsidRPr="00A05698" w:rsidRDefault="00374A0D" w:rsidP="00A76F4A">
      <w:pPr>
        <w:pStyle w:val="PargrafodaLista"/>
        <w:spacing w:after="120" w:line="240" w:lineRule="auto"/>
        <w:ind w:left="2989" w:right="12"/>
        <w:outlineLvl w:val="1"/>
        <w:rPr>
          <w:rFonts w:ascii="Times New Roman" w:hAnsi="Times New Roman"/>
          <w:b/>
          <w:bCs/>
          <w:sz w:val="24"/>
          <w:szCs w:val="24"/>
        </w:rPr>
      </w:pPr>
      <w:bookmarkStart w:id="495" w:name="_Toc73459804"/>
      <w:bookmarkStart w:id="496" w:name="_Toc75432359"/>
      <w:r w:rsidRPr="00A05698">
        <w:rPr>
          <w:rFonts w:ascii="Times New Roman" w:hAnsi="Times New Roman"/>
          <w:b/>
          <w:bCs/>
          <w:sz w:val="24"/>
          <w:szCs w:val="24"/>
        </w:rPr>
        <w:t>Suivi et évaluation</w:t>
      </w:r>
      <w:bookmarkEnd w:id="495"/>
      <w:bookmarkEnd w:id="496"/>
      <w:r w:rsidRPr="00A05698">
        <w:rPr>
          <w:rFonts w:ascii="Times New Roman" w:hAnsi="Times New Roman"/>
          <w:b/>
          <w:bCs/>
          <w:sz w:val="24"/>
          <w:szCs w:val="24"/>
        </w:rPr>
        <w:t xml:space="preserve"> </w:t>
      </w:r>
    </w:p>
    <w:p w:rsidR="00374A0D" w:rsidRPr="001D1D2D" w:rsidRDefault="00374A0D" w:rsidP="00A76F4A">
      <w:pPr>
        <w:autoSpaceDE w:val="0"/>
        <w:autoSpaceDN w:val="0"/>
        <w:adjustRightInd w:val="0"/>
        <w:ind w:right="12"/>
        <w:jc w:val="both"/>
      </w:pPr>
      <w:r w:rsidRPr="001D1D2D">
        <w:t xml:space="preserve">L’équipe de conformité (EC) doit assurer le suivi des cas qui ont été signalés et conserver tous les cas signalés dans un endroit préservé et sécurisé. Le suivi doit permettre de recenser le nombre de cas qui ont été signalés et la proportion de cas qui sont gérés par l’UCP, les ONG, la police (le renvoi à la police ne peut se faire qu'avec le consentement éclairé et explicite de la victime.), etc. Ces statistiques doivent être communiquées au MGP et à l’ingénieur chargé de la surveillance pour être incluses dans leurs rapports. </w:t>
      </w:r>
    </w:p>
    <w:p w:rsidR="00374A0D" w:rsidRPr="001D1D2D" w:rsidRDefault="00374A0D" w:rsidP="00A76F4A">
      <w:pPr>
        <w:autoSpaceDE w:val="0"/>
        <w:autoSpaceDN w:val="0"/>
        <w:adjustRightInd w:val="0"/>
        <w:ind w:right="12"/>
        <w:jc w:val="both"/>
      </w:pPr>
    </w:p>
    <w:p w:rsidR="00374A0D" w:rsidRPr="001D1D2D" w:rsidRDefault="00374A0D" w:rsidP="00A76F4A">
      <w:pPr>
        <w:autoSpaceDE w:val="0"/>
        <w:autoSpaceDN w:val="0"/>
        <w:adjustRightInd w:val="0"/>
        <w:ind w:right="12"/>
        <w:jc w:val="both"/>
      </w:pPr>
      <w:r w:rsidRPr="001D1D2D">
        <w:t>Pour tous les cas d’EAS/HS et de VCE justifiant une action de la police (le renvoi à la police ne peut se faire qu'avec le consentement éclairé et explicite de la victime.), l’UCP et la Banque mondiale doivent en être immédiatement informés.</w:t>
      </w:r>
    </w:p>
    <w:p w:rsidR="00374A0D" w:rsidRPr="00A05698" w:rsidRDefault="00374A0D" w:rsidP="00A76F4A">
      <w:pPr>
        <w:ind w:left="-284" w:right="12"/>
        <w:jc w:val="both"/>
        <w:rPr>
          <w:rFonts w:eastAsia="Times New Roman"/>
        </w:rPr>
      </w:pPr>
    </w:p>
    <w:p w:rsidR="00374A0D" w:rsidRPr="00A05698" w:rsidRDefault="00374A0D" w:rsidP="00A76F4A">
      <w:pPr>
        <w:pStyle w:val="PargrafodaLista"/>
        <w:spacing w:after="120" w:line="240" w:lineRule="auto"/>
        <w:ind w:left="2989" w:right="12"/>
        <w:outlineLvl w:val="1"/>
        <w:rPr>
          <w:rFonts w:ascii="Times New Roman" w:hAnsi="Times New Roman"/>
          <w:b/>
          <w:bCs/>
          <w:sz w:val="24"/>
          <w:szCs w:val="24"/>
        </w:rPr>
      </w:pPr>
      <w:bookmarkStart w:id="497" w:name="_Toc73459805"/>
      <w:bookmarkStart w:id="498" w:name="_Toc75432360"/>
      <w:r w:rsidRPr="00A05698">
        <w:rPr>
          <w:rFonts w:ascii="Times New Roman" w:hAnsi="Times New Roman"/>
          <w:b/>
          <w:bCs/>
          <w:sz w:val="24"/>
          <w:szCs w:val="24"/>
        </w:rPr>
        <w:t>Stratégie de sensibilisation</w:t>
      </w:r>
      <w:bookmarkEnd w:id="497"/>
      <w:bookmarkEnd w:id="498"/>
      <w:r w:rsidRPr="00A05698">
        <w:rPr>
          <w:rFonts w:ascii="Times New Roman" w:hAnsi="Times New Roman"/>
          <w:b/>
          <w:bCs/>
          <w:sz w:val="24"/>
          <w:szCs w:val="24"/>
        </w:rPr>
        <w:t xml:space="preserve"> </w:t>
      </w:r>
    </w:p>
    <w:p w:rsidR="00374A0D" w:rsidRPr="001D1D2D" w:rsidRDefault="00374A0D" w:rsidP="00A76F4A">
      <w:pPr>
        <w:autoSpaceDE w:val="0"/>
        <w:autoSpaceDN w:val="0"/>
        <w:adjustRightInd w:val="0"/>
        <w:ind w:right="12"/>
        <w:jc w:val="both"/>
      </w:pPr>
      <w:r w:rsidRPr="001D1D2D">
        <w:t xml:space="preserve">Il est important de mettre en place une Stratégie de sensibilisation comprenant des activités visant à sensibiliser les employés sur les VBG et les VCE sur le lieu de travail et leurs risques connexes, les dispositions des Codes de conduite en matière de VBG et VCE, les Procédures relatives aux allégations, les mesures de Responsabilisation et Confidentialité et le Protocole d’intervention. Cette Stratégie sera assortie d’un calendrier indiquant les diverses activités de sensibilisation à travers lesquelles elle sera mise en œuvre et les dates d’exécution (prévues) correspondantes. Les activités de sensibilisation devraient être liées aux formations dispensées par le Prestataire de services. </w:t>
      </w:r>
    </w:p>
    <w:p w:rsidR="00374A0D" w:rsidRPr="00A05698" w:rsidRDefault="00374A0D" w:rsidP="00A76F4A">
      <w:pPr>
        <w:ind w:left="426" w:right="12"/>
        <w:jc w:val="both"/>
        <w:rPr>
          <w:rFonts w:eastAsia="Times New Roman"/>
        </w:rPr>
      </w:pPr>
    </w:p>
    <w:p w:rsidR="00374A0D" w:rsidRPr="00A05698" w:rsidRDefault="00374A0D" w:rsidP="00A76F4A">
      <w:pPr>
        <w:pStyle w:val="PargrafodaLista"/>
        <w:spacing w:after="120" w:line="240" w:lineRule="auto"/>
        <w:ind w:left="2989" w:right="12"/>
        <w:outlineLvl w:val="1"/>
        <w:rPr>
          <w:rFonts w:ascii="Times New Roman" w:hAnsi="Times New Roman"/>
          <w:b/>
          <w:bCs/>
          <w:sz w:val="24"/>
          <w:szCs w:val="24"/>
        </w:rPr>
      </w:pPr>
      <w:bookmarkStart w:id="499" w:name="_Toc73459806"/>
      <w:bookmarkStart w:id="500" w:name="_Toc75432361"/>
      <w:r w:rsidRPr="00A05698">
        <w:rPr>
          <w:rFonts w:ascii="Times New Roman" w:hAnsi="Times New Roman"/>
          <w:b/>
          <w:bCs/>
          <w:sz w:val="24"/>
          <w:szCs w:val="24"/>
        </w:rPr>
        <w:t>Protocole d’intervention</w:t>
      </w:r>
      <w:bookmarkEnd w:id="499"/>
      <w:bookmarkEnd w:id="500"/>
      <w:r w:rsidRPr="00A05698">
        <w:rPr>
          <w:rFonts w:ascii="Times New Roman" w:hAnsi="Times New Roman"/>
          <w:b/>
          <w:bCs/>
          <w:sz w:val="24"/>
          <w:szCs w:val="24"/>
        </w:rPr>
        <w:t xml:space="preserve"> </w:t>
      </w:r>
    </w:p>
    <w:p w:rsidR="00374A0D" w:rsidRDefault="00374A0D" w:rsidP="00A76F4A">
      <w:pPr>
        <w:autoSpaceDE w:val="0"/>
        <w:autoSpaceDN w:val="0"/>
        <w:adjustRightInd w:val="0"/>
        <w:ind w:right="12"/>
        <w:jc w:val="both"/>
      </w:pPr>
      <w:r w:rsidRPr="001D1D2D">
        <w:t xml:space="preserve">L’équipe de conformité (EC) sera chargée d’élaborer un Protocole d’intervention écrit pour satisfaire aux exigences du projet, conformément aux lois et protocoles nationaux. En effet, Le Protocole d’intervention doit comprendre des mécanismes pour dénoncer les auteurs de violence sur le lieu de travail et intervenir auprès d’eux. Le présent Protocole comprendra le processus du MGP, afin de garantir une intervention efficace et confidentielle en ce qui concerne les divulgations de cas d’EAS/HS et VCE. L’employé qui divulgue un cas de VBG </w:t>
      </w:r>
      <w:r w:rsidRPr="001D1D2D">
        <w:lastRenderedPageBreak/>
        <w:t xml:space="preserve">et de VCE sur le lieu de travail doit être référé au MGP aux fins de dénonciation. </w:t>
      </w:r>
      <w:r w:rsidR="006162B1">
        <w:br/>
      </w:r>
    </w:p>
    <w:p w:rsidR="006162B1" w:rsidRDefault="006162B1" w:rsidP="00A76F4A">
      <w:pPr>
        <w:autoSpaceDE w:val="0"/>
        <w:autoSpaceDN w:val="0"/>
        <w:adjustRightInd w:val="0"/>
        <w:ind w:right="12"/>
        <w:jc w:val="both"/>
      </w:pPr>
    </w:p>
    <w:p w:rsidR="006162B1" w:rsidRPr="001D1D2D" w:rsidRDefault="006162B1" w:rsidP="00A76F4A">
      <w:pPr>
        <w:autoSpaceDE w:val="0"/>
        <w:autoSpaceDN w:val="0"/>
        <w:adjustRightInd w:val="0"/>
        <w:ind w:right="12"/>
        <w:jc w:val="both"/>
      </w:pPr>
    </w:p>
    <w:p w:rsidR="00374A0D" w:rsidRPr="00A05698" w:rsidRDefault="00374A0D" w:rsidP="00A76F4A">
      <w:pPr>
        <w:ind w:right="12"/>
        <w:rPr>
          <w:rFonts w:eastAsia="Times New Roman"/>
        </w:rPr>
      </w:pPr>
    </w:p>
    <w:p w:rsidR="00374A0D" w:rsidRPr="00A05698" w:rsidRDefault="00374A0D" w:rsidP="00A76F4A">
      <w:pPr>
        <w:pStyle w:val="PargrafodaLista"/>
        <w:spacing w:after="120" w:line="240" w:lineRule="auto"/>
        <w:ind w:left="2989" w:right="12"/>
        <w:outlineLvl w:val="1"/>
        <w:rPr>
          <w:rFonts w:ascii="Times New Roman" w:hAnsi="Times New Roman"/>
          <w:b/>
          <w:bCs/>
          <w:sz w:val="24"/>
          <w:szCs w:val="24"/>
        </w:rPr>
      </w:pPr>
      <w:bookmarkStart w:id="501" w:name="_Toc73459807"/>
      <w:bookmarkStart w:id="502" w:name="_Toc75432362"/>
      <w:r w:rsidRPr="00A05698">
        <w:rPr>
          <w:rFonts w:ascii="Times New Roman" w:hAnsi="Times New Roman"/>
          <w:b/>
          <w:bCs/>
          <w:sz w:val="24"/>
          <w:szCs w:val="24"/>
        </w:rPr>
        <w:t>Mesures de soutien aux survivant(e)s</w:t>
      </w:r>
      <w:bookmarkEnd w:id="501"/>
      <w:bookmarkEnd w:id="502"/>
      <w:r w:rsidRPr="00A05698">
        <w:rPr>
          <w:rFonts w:ascii="Times New Roman" w:hAnsi="Times New Roman"/>
          <w:b/>
          <w:bCs/>
          <w:sz w:val="24"/>
          <w:szCs w:val="24"/>
        </w:rPr>
        <w:t xml:space="preserve"> </w:t>
      </w:r>
    </w:p>
    <w:p w:rsidR="00374A0D" w:rsidRPr="001D1D2D" w:rsidRDefault="00374A0D" w:rsidP="00A76F4A">
      <w:pPr>
        <w:autoSpaceDE w:val="0"/>
        <w:autoSpaceDN w:val="0"/>
        <w:adjustRightInd w:val="0"/>
        <w:ind w:right="12"/>
        <w:jc w:val="both"/>
      </w:pPr>
      <w:r w:rsidRPr="001D1D2D">
        <w:t>Il est essentiel d’apporter une réponse appropriée aux plaintes des survivant(e)s de violence dans le respect de leurs choix, afin de réduire au minimum les risques de nouveaux traumatismes et de nouvelles violences à l’endroit des survivant(e)s. Ces dernières doivent être orientées vers le prestataire de services</w:t>
      </w:r>
      <w:r w:rsidRPr="00FC025D">
        <w:footnoteReference w:id="4"/>
      </w:r>
      <w:r w:rsidRPr="001D1D2D">
        <w:t xml:space="preserve"> pour obtenir des services de soutien appropriés dans la communauté y compris un soutien médical et psychosocial, un hébergement d’urgence, la sécurité, notamment la protection policière et le soutien aux moyens de subsistance en facilitant le contact et la coordination avec ces services. Le projet devrait garantir que les fournisseurs de services VBG qui seront identifiés ont la capacité d'offrir un service gratuit aux survivants du EAS / HS qui leur sont référés.</w:t>
      </w:r>
    </w:p>
    <w:p w:rsidR="00374A0D" w:rsidRPr="00A05698" w:rsidRDefault="00374A0D" w:rsidP="00A76F4A">
      <w:pPr>
        <w:ind w:right="12"/>
        <w:rPr>
          <w:rFonts w:eastAsia="Times New Roman"/>
        </w:rPr>
      </w:pPr>
    </w:p>
    <w:p w:rsidR="00374A0D" w:rsidRPr="00A05698" w:rsidRDefault="00374A0D" w:rsidP="00A76F4A">
      <w:pPr>
        <w:pStyle w:val="PargrafodaLista"/>
        <w:spacing w:after="120" w:line="240" w:lineRule="auto"/>
        <w:ind w:left="2989" w:right="12"/>
        <w:outlineLvl w:val="1"/>
        <w:rPr>
          <w:rFonts w:ascii="Times New Roman" w:hAnsi="Times New Roman"/>
          <w:b/>
          <w:bCs/>
          <w:sz w:val="24"/>
          <w:szCs w:val="24"/>
        </w:rPr>
      </w:pPr>
      <w:bookmarkStart w:id="503" w:name="_Toc73459808"/>
      <w:bookmarkStart w:id="504" w:name="_Toc75432363"/>
      <w:r w:rsidRPr="00A05698">
        <w:rPr>
          <w:rFonts w:ascii="Times New Roman" w:hAnsi="Times New Roman"/>
          <w:b/>
          <w:bCs/>
          <w:sz w:val="24"/>
          <w:szCs w:val="24"/>
        </w:rPr>
        <w:t>Politique et intervention relative aux auteurs de violence</w:t>
      </w:r>
      <w:bookmarkEnd w:id="503"/>
      <w:bookmarkEnd w:id="504"/>
      <w:r w:rsidRPr="00A05698">
        <w:rPr>
          <w:rFonts w:ascii="Times New Roman" w:hAnsi="Times New Roman"/>
          <w:b/>
          <w:bCs/>
          <w:sz w:val="24"/>
          <w:szCs w:val="24"/>
        </w:rPr>
        <w:t xml:space="preserve"> </w:t>
      </w:r>
    </w:p>
    <w:p w:rsidR="00374A0D" w:rsidRPr="001D1D2D" w:rsidRDefault="00374A0D" w:rsidP="00A76F4A">
      <w:pPr>
        <w:autoSpaceDE w:val="0"/>
        <w:autoSpaceDN w:val="0"/>
        <w:adjustRightInd w:val="0"/>
        <w:ind w:right="12"/>
        <w:jc w:val="both"/>
      </w:pPr>
      <w:r w:rsidRPr="001D1D2D">
        <w:t xml:space="preserve">Encourager et accepter la dénonciation par le biais du MGP faite par les employés et les membres des communautés au sujet des auteurs de violence sur le lieu de travail. Par l’équipe de conformité (EC) et/ou du Prestataire de services, superviser l’enquête sur ces plaintes, en veillant à l’équité procédurale pour l’accusé, et ce, dans le respect des lois locales. Si un employé enfreint le Code de conduite, l’employeur prendra des mesures qui pourraient consister à : </w:t>
      </w:r>
    </w:p>
    <w:p w:rsidR="00374A0D" w:rsidRPr="00FB5ACF" w:rsidRDefault="00374A0D" w:rsidP="00A76F4A">
      <w:pPr>
        <w:ind w:left="1134" w:right="12"/>
        <w:rPr>
          <w:rFonts w:eastAsia="Times New Roman"/>
          <w:sz w:val="22"/>
          <w:szCs w:val="22"/>
        </w:rPr>
      </w:pPr>
      <w:r w:rsidRPr="00FB5ACF">
        <w:rPr>
          <w:rFonts w:eastAsia="Times New Roman"/>
          <w:sz w:val="22"/>
          <w:szCs w:val="22"/>
        </w:rPr>
        <w:t xml:space="preserve">i. Prendre des mesures disciplinaires conformément aux sanctions prévues dans les Codes de conduite en matière d’EAS/HS et de VCE ; </w:t>
      </w:r>
    </w:p>
    <w:p w:rsidR="00374A0D" w:rsidRPr="00FB5ACF" w:rsidRDefault="00374A0D" w:rsidP="00A76F4A">
      <w:pPr>
        <w:ind w:left="1134" w:right="12"/>
        <w:rPr>
          <w:rFonts w:eastAsia="Times New Roman"/>
          <w:sz w:val="22"/>
          <w:szCs w:val="22"/>
        </w:rPr>
      </w:pPr>
      <w:r w:rsidRPr="00FB5ACF">
        <w:rPr>
          <w:rFonts w:eastAsia="Times New Roman"/>
          <w:sz w:val="22"/>
          <w:szCs w:val="22"/>
        </w:rPr>
        <w:t xml:space="preserve">ii. Dénoncer l’auteur de la violence à la police conformément aux paradigmes juridiques locaux ; et/ou </w:t>
      </w:r>
    </w:p>
    <w:p w:rsidR="00374A0D" w:rsidRPr="00FB5ACF" w:rsidRDefault="00374A0D" w:rsidP="00A76F4A">
      <w:pPr>
        <w:ind w:left="1134" w:right="12"/>
        <w:rPr>
          <w:rFonts w:eastAsia="Times New Roman"/>
          <w:sz w:val="22"/>
          <w:szCs w:val="22"/>
        </w:rPr>
      </w:pPr>
      <w:r w:rsidRPr="00FB5ACF">
        <w:rPr>
          <w:rFonts w:eastAsia="Times New Roman"/>
          <w:sz w:val="22"/>
          <w:szCs w:val="22"/>
        </w:rPr>
        <w:t xml:space="preserve">iii. Si possible, fournir ou faciliter la mise en place de services de conseil à l’auteur de la violence. </w:t>
      </w:r>
    </w:p>
    <w:p w:rsidR="00374A0D" w:rsidRPr="00A05698" w:rsidRDefault="00374A0D" w:rsidP="00A76F4A">
      <w:pPr>
        <w:ind w:right="12"/>
        <w:rPr>
          <w:rFonts w:eastAsia="Times New Roman"/>
        </w:rPr>
      </w:pPr>
    </w:p>
    <w:p w:rsidR="00374A0D" w:rsidRPr="00A05698" w:rsidRDefault="00374A0D" w:rsidP="00A76F4A">
      <w:pPr>
        <w:pStyle w:val="PargrafodaLista"/>
        <w:spacing w:after="120" w:line="240" w:lineRule="auto"/>
        <w:ind w:left="2989" w:right="12"/>
        <w:outlineLvl w:val="1"/>
        <w:rPr>
          <w:rFonts w:ascii="Times New Roman" w:hAnsi="Times New Roman"/>
          <w:b/>
          <w:bCs/>
          <w:sz w:val="24"/>
          <w:szCs w:val="24"/>
        </w:rPr>
      </w:pPr>
      <w:bookmarkStart w:id="505" w:name="_Toc73459809"/>
      <w:bookmarkStart w:id="506" w:name="_Toc75432364"/>
      <w:r w:rsidRPr="00A05698">
        <w:rPr>
          <w:rFonts w:ascii="Times New Roman" w:hAnsi="Times New Roman"/>
          <w:b/>
          <w:bCs/>
          <w:sz w:val="24"/>
          <w:szCs w:val="24"/>
        </w:rPr>
        <w:t>Sanctions</w:t>
      </w:r>
      <w:bookmarkEnd w:id="505"/>
      <w:bookmarkEnd w:id="506"/>
      <w:r w:rsidRPr="00A05698">
        <w:rPr>
          <w:rFonts w:ascii="Times New Roman" w:hAnsi="Times New Roman"/>
          <w:b/>
          <w:bCs/>
          <w:sz w:val="24"/>
          <w:szCs w:val="24"/>
        </w:rPr>
        <w:t xml:space="preserve"> </w:t>
      </w:r>
    </w:p>
    <w:p w:rsidR="00374A0D" w:rsidRPr="001D1D2D" w:rsidRDefault="00374A0D" w:rsidP="00A76F4A">
      <w:pPr>
        <w:autoSpaceDE w:val="0"/>
        <w:autoSpaceDN w:val="0"/>
        <w:adjustRightInd w:val="0"/>
        <w:ind w:right="12"/>
        <w:jc w:val="both"/>
      </w:pPr>
      <w:r w:rsidRPr="001D1D2D">
        <w:t xml:space="preserve">Conformément au Code de conduite, tout employé comme auteur d’EAS/HS ou de VCE confirmé sera passible de mesures disciplinaires correspondant aux sanctions et pratiques convenues dans le Code de conduite individuel. Il est important de noter que, pour chaque cas, les sanctions disciplinaires sont censées faire partie d’un processus qui est entièrement interne à l’employeur, qui est placé sous le plein contrôle et la pleine responsabilité de ses gestionnaires et qui est mené conformément à la législation nationale du travail en vigueur. </w:t>
      </w:r>
    </w:p>
    <w:p w:rsidR="00374A0D" w:rsidRPr="001D1D2D" w:rsidRDefault="00374A0D" w:rsidP="00A76F4A">
      <w:pPr>
        <w:autoSpaceDE w:val="0"/>
        <w:autoSpaceDN w:val="0"/>
        <w:adjustRightInd w:val="0"/>
        <w:ind w:right="12"/>
        <w:jc w:val="both"/>
      </w:pPr>
    </w:p>
    <w:p w:rsidR="00374A0D" w:rsidRPr="001D1D2D" w:rsidRDefault="00374A0D" w:rsidP="00A76F4A">
      <w:pPr>
        <w:autoSpaceDE w:val="0"/>
        <w:autoSpaceDN w:val="0"/>
        <w:adjustRightInd w:val="0"/>
        <w:ind w:right="12"/>
        <w:jc w:val="both"/>
      </w:pPr>
      <w:r w:rsidRPr="001D1D2D">
        <w:t>Ce processus devrait être totalement indépendant de toute enquête officielle que les autorités compétentes (par exemple la police) pourraient décider de mener dans le cadre de la même affaire, et conformément à la législation nationale en vigueur. En outre, les mesures disciplinaires internes que les gestionnaires de l’employeur pourraient décider d’adopter sont censées être distinctes de toute accusation ou sanction que l’enquête officielle pourrait occasionner (par exemple, les amendes monétaires, la détention, etc.).</w:t>
      </w:r>
    </w:p>
    <w:p w:rsidR="00C8440D" w:rsidRDefault="00C8440D" w:rsidP="00A76F4A">
      <w:pPr>
        <w:spacing w:after="160" w:line="259" w:lineRule="auto"/>
        <w:ind w:right="12"/>
        <w:rPr>
          <w:b/>
          <w:bCs/>
          <w:kern w:val="32"/>
          <w:sz w:val="28"/>
          <w:szCs w:val="28"/>
        </w:rPr>
      </w:pPr>
      <w:r>
        <w:rPr>
          <w:sz w:val="28"/>
          <w:szCs w:val="28"/>
        </w:rPr>
        <w:lastRenderedPageBreak/>
        <w:br w:type="page"/>
      </w:r>
    </w:p>
    <w:p w:rsidR="00D57B04" w:rsidRPr="00D47C37" w:rsidRDefault="00250DA0" w:rsidP="00A76F4A">
      <w:pPr>
        <w:pStyle w:val="Cabealho1"/>
        <w:numPr>
          <w:ilvl w:val="0"/>
          <w:numId w:val="0"/>
        </w:numPr>
        <w:pBdr>
          <w:bottom w:val="thickThinSmallGap" w:sz="24" w:space="1" w:color="auto"/>
        </w:pBdr>
        <w:spacing w:after="120"/>
        <w:ind w:right="12"/>
        <w:rPr>
          <w:rFonts w:ascii="Times New Roman" w:hAnsi="Times New Roman"/>
          <w:sz w:val="24"/>
          <w:szCs w:val="24"/>
        </w:rPr>
      </w:pPr>
      <w:bookmarkStart w:id="507" w:name="_Toc75432365"/>
      <w:r w:rsidRPr="00D47C37">
        <w:rPr>
          <w:rFonts w:ascii="Times New Roman" w:hAnsi="Times New Roman"/>
          <w:sz w:val="24"/>
          <w:szCs w:val="24"/>
        </w:rPr>
        <w:lastRenderedPageBreak/>
        <w:t xml:space="preserve">ANNEXE </w:t>
      </w:r>
      <w:r w:rsidR="00F6724C" w:rsidRPr="00D47C37">
        <w:rPr>
          <w:rFonts w:ascii="Times New Roman" w:hAnsi="Times New Roman"/>
          <w:sz w:val="24"/>
          <w:szCs w:val="24"/>
        </w:rPr>
        <w:t>4</w:t>
      </w:r>
      <w:r w:rsidRPr="00D47C37">
        <w:rPr>
          <w:rFonts w:ascii="Times New Roman" w:hAnsi="Times New Roman"/>
          <w:sz w:val="24"/>
          <w:szCs w:val="24"/>
        </w:rPr>
        <w:t xml:space="preserve">. </w:t>
      </w:r>
      <w:r w:rsidR="00D57B04" w:rsidRPr="00D47C37">
        <w:rPr>
          <w:rFonts w:ascii="Times New Roman" w:hAnsi="Times New Roman"/>
          <w:sz w:val="24"/>
          <w:szCs w:val="24"/>
        </w:rPr>
        <w:t>PROCÉDURES DE GESTION DE LA MAIN-D’ŒUVRE</w:t>
      </w:r>
      <w:bookmarkEnd w:id="507"/>
    </w:p>
    <w:p w:rsidR="00681EC7" w:rsidRPr="00681EC7" w:rsidRDefault="00681EC7" w:rsidP="00A76F4A">
      <w:pPr>
        <w:tabs>
          <w:tab w:val="left" w:pos="547"/>
          <w:tab w:val="left" w:pos="720"/>
        </w:tabs>
        <w:ind w:left="720" w:right="12"/>
        <w:jc w:val="both"/>
        <w:rPr>
          <w:rFonts w:eastAsia="Calibri"/>
          <w:b/>
          <w:color w:val="172D5F"/>
          <w:sz w:val="21"/>
          <w:szCs w:val="21"/>
          <w:u w:val="single"/>
        </w:rPr>
      </w:pPr>
    </w:p>
    <w:p w:rsidR="00681EC7" w:rsidRPr="001F2701" w:rsidRDefault="00064F08" w:rsidP="00A76F4A">
      <w:pPr>
        <w:numPr>
          <w:ilvl w:val="0"/>
          <w:numId w:val="40"/>
        </w:numPr>
        <w:ind w:left="851" w:right="12"/>
        <w:contextualSpacing/>
        <w:outlineLvl w:val="1"/>
        <w:rPr>
          <w:rFonts w:eastAsia="Times New Roman"/>
          <w:b/>
          <w:bCs/>
          <w:sz w:val="22"/>
          <w:szCs w:val="22"/>
          <w:lang w:eastAsia="es-ES"/>
        </w:rPr>
      </w:pPr>
      <w:bookmarkStart w:id="508" w:name="_Toc67508576"/>
      <w:bookmarkStart w:id="509" w:name="_Toc69918764"/>
      <w:bookmarkStart w:id="510" w:name="_Toc73459811"/>
      <w:bookmarkStart w:id="511" w:name="_Toc75432366"/>
      <w:r w:rsidRPr="001F2701">
        <w:rPr>
          <w:rFonts w:eastAsia="Times New Roman"/>
          <w:b/>
          <w:bCs/>
          <w:sz w:val="22"/>
          <w:szCs w:val="22"/>
          <w:lang w:eastAsia="es-ES"/>
        </w:rPr>
        <w:t>Procédures</w:t>
      </w:r>
      <w:r w:rsidR="00681EC7" w:rsidRPr="001F2701">
        <w:rPr>
          <w:rFonts w:eastAsia="Times New Roman"/>
          <w:b/>
          <w:bCs/>
          <w:sz w:val="22"/>
          <w:szCs w:val="22"/>
          <w:lang w:eastAsia="es-ES"/>
        </w:rPr>
        <w:t xml:space="preserve"> de Gestion de la Main-d’œuvre (PGMO)</w:t>
      </w:r>
      <w:bookmarkEnd w:id="508"/>
      <w:bookmarkEnd w:id="509"/>
      <w:bookmarkEnd w:id="510"/>
      <w:bookmarkEnd w:id="511"/>
      <w:r w:rsidR="00681EC7" w:rsidRPr="001F2701">
        <w:rPr>
          <w:rFonts w:eastAsia="Times New Roman"/>
          <w:b/>
          <w:bCs/>
          <w:sz w:val="22"/>
          <w:szCs w:val="22"/>
          <w:lang w:eastAsia="es-ES"/>
        </w:rPr>
        <w:t xml:space="preserve"> </w:t>
      </w:r>
    </w:p>
    <w:p w:rsidR="00681EC7" w:rsidRPr="001D1D2D" w:rsidRDefault="00681EC7" w:rsidP="00A76F4A">
      <w:pPr>
        <w:autoSpaceDE w:val="0"/>
        <w:autoSpaceDN w:val="0"/>
        <w:adjustRightInd w:val="0"/>
        <w:ind w:right="12"/>
        <w:jc w:val="both"/>
      </w:pPr>
      <w:r w:rsidRPr="001D1D2D">
        <w:t xml:space="preserve">La deuxième Norme Environnementale et Sociale (NES no 2) du nouveau cadre environnemental et social (CES) de la Banque mondiale, « Emploi et conditions de travail », fait obligation à l’Unité de Gestion du Projet (UGP) d’élaborer et de mettre en œuvre des procédures écrites et applicables de Gestion de la Main-d’œuvre (PGMO) qui s’appliquent au projet PUSA. Ces procédures, présentées ci-dessous, décrivent la manière dont les travailleurs du projet seront gérés, conformément aux prescriptions du droit national et de la NES no 2 de la Banque mondiale. Les principaux objectifs visés par ces procédures sont : </w:t>
      </w:r>
    </w:p>
    <w:p w:rsidR="00681EC7" w:rsidRPr="00681EC7" w:rsidRDefault="00681EC7" w:rsidP="00A76F4A">
      <w:pPr>
        <w:widowControl w:val="0"/>
        <w:numPr>
          <w:ilvl w:val="0"/>
          <w:numId w:val="154"/>
        </w:numPr>
        <w:tabs>
          <w:tab w:val="left" w:pos="220"/>
          <w:tab w:val="left" w:pos="720"/>
        </w:tabs>
        <w:autoSpaceDE w:val="0"/>
        <w:autoSpaceDN w:val="0"/>
        <w:adjustRightInd w:val="0"/>
        <w:ind w:left="1560" w:right="12" w:hanging="425"/>
        <w:jc w:val="both"/>
        <w:rPr>
          <w:rFonts w:eastAsia="Calibri"/>
          <w:color w:val="000000"/>
          <w:sz w:val="21"/>
          <w:szCs w:val="21"/>
          <w:lang w:eastAsia="en-US"/>
        </w:rPr>
      </w:pPr>
      <w:r w:rsidRPr="00681EC7">
        <w:rPr>
          <w:rFonts w:eastAsia="Calibri"/>
          <w:color w:val="000000"/>
          <w:sz w:val="21"/>
          <w:szCs w:val="21"/>
          <w:lang w:eastAsia="en-US"/>
        </w:rPr>
        <w:t xml:space="preserve">promouvoir la sécurité et la santé au travail. </w:t>
      </w:r>
    </w:p>
    <w:p w:rsidR="00681EC7" w:rsidRPr="00681EC7" w:rsidRDefault="00681EC7" w:rsidP="00A76F4A">
      <w:pPr>
        <w:widowControl w:val="0"/>
        <w:numPr>
          <w:ilvl w:val="0"/>
          <w:numId w:val="154"/>
        </w:numPr>
        <w:tabs>
          <w:tab w:val="left" w:pos="220"/>
          <w:tab w:val="left" w:pos="720"/>
        </w:tabs>
        <w:autoSpaceDE w:val="0"/>
        <w:autoSpaceDN w:val="0"/>
        <w:adjustRightInd w:val="0"/>
        <w:ind w:left="1560" w:right="12" w:hanging="425"/>
        <w:jc w:val="both"/>
        <w:rPr>
          <w:rFonts w:eastAsia="Calibri"/>
          <w:color w:val="000000"/>
          <w:sz w:val="21"/>
          <w:szCs w:val="21"/>
          <w:lang w:eastAsia="en-US"/>
        </w:rPr>
      </w:pPr>
      <w:r w:rsidRPr="00681EC7">
        <w:rPr>
          <w:rFonts w:eastAsia="Calibri"/>
          <w:color w:val="000000"/>
          <w:sz w:val="21"/>
          <w:szCs w:val="21"/>
          <w:lang w:eastAsia="en-US"/>
        </w:rPr>
        <w:t xml:space="preserve">identifier les problèmes spécifiques et potentiels liés au travail dans le contexte du Projet. </w:t>
      </w:r>
    </w:p>
    <w:p w:rsidR="00681EC7" w:rsidRPr="00681EC7" w:rsidRDefault="00681EC7" w:rsidP="00A76F4A">
      <w:pPr>
        <w:widowControl w:val="0"/>
        <w:numPr>
          <w:ilvl w:val="0"/>
          <w:numId w:val="154"/>
        </w:numPr>
        <w:tabs>
          <w:tab w:val="left" w:pos="220"/>
          <w:tab w:val="left" w:pos="720"/>
        </w:tabs>
        <w:autoSpaceDE w:val="0"/>
        <w:autoSpaceDN w:val="0"/>
        <w:adjustRightInd w:val="0"/>
        <w:ind w:left="1560" w:right="12" w:hanging="425"/>
        <w:jc w:val="both"/>
        <w:rPr>
          <w:rFonts w:eastAsia="Calibri"/>
          <w:color w:val="000000"/>
          <w:sz w:val="21"/>
          <w:szCs w:val="21"/>
          <w:lang w:eastAsia="en-US"/>
        </w:rPr>
      </w:pPr>
      <w:r w:rsidRPr="00681EC7">
        <w:rPr>
          <w:rFonts w:eastAsia="Calibri"/>
          <w:color w:val="000000"/>
          <w:sz w:val="21"/>
          <w:szCs w:val="21"/>
          <w:lang w:eastAsia="en-US"/>
        </w:rPr>
        <w:t xml:space="preserve">encourager le traitement équitable, la non-discrimination et l’égalité des chances pour les travailleurs du projet. </w:t>
      </w:r>
    </w:p>
    <w:p w:rsidR="00681EC7" w:rsidRPr="00681EC7" w:rsidRDefault="00681EC7" w:rsidP="00A76F4A">
      <w:pPr>
        <w:widowControl w:val="0"/>
        <w:numPr>
          <w:ilvl w:val="0"/>
          <w:numId w:val="154"/>
        </w:numPr>
        <w:tabs>
          <w:tab w:val="left" w:pos="220"/>
          <w:tab w:val="left" w:pos="720"/>
        </w:tabs>
        <w:autoSpaceDE w:val="0"/>
        <w:autoSpaceDN w:val="0"/>
        <w:adjustRightInd w:val="0"/>
        <w:ind w:left="1560" w:right="12" w:hanging="425"/>
        <w:jc w:val="both"/>
        <w:rPr>
          <w:rFonts w:eastAsia="Calibri"/>
          <w:color w:val="000000"/>
          <w:sz w:val="21"/>
          <w:szCs w:val="21"/>
          <w:lang w:eastAsia="en-US"/>
        </w:rPr>
      </w:pPr>
      <w:r w:rsidRPr="00681EC7">
        <w:rPr>
          <w:rFonts w:eastAsia="Calibri"/>
          <w:color w:val="000000"/>
          <w:sz w:val="21"/>
          <w:szCs w:val="21"/>
          <w:lang w:eastAsia="en-US"/>
        </w:rPr>
        <w:t xml:space="preserve">protéger les travailleurs du projet, notamment ceux qui sont vulnérables tels que les femmes, les personnes handicapées, les enfants (en âge de travailler, conformément à la NES no2 de la Banque) et les travailleurs migrants, ainsi que les travailleurs contractuels, communautaires et les employés des fournisseurs principaux, le cas échéant. </w:t>
      </w:r>
    </w:p>
    <w:p w:rsidR="00681EC7" w:rsidRPr="00681EC7" w:rsidRDefault="00681EC7" w:rsidP="00A76F4A">
      <w:pPr>
        <w:widowControl w:val="0"/>
        <w:numPr>
          <w:ilvl w:val="0"/>
          <w:numId w:val="154"/>
        </w:numPr>
        <w:tabs>
          <w:tab w:val="left" w:pos="220"/>
          <w:tab w:val="left" w:pos="720"/>
        </w:tabs>
        <w:autoSpaceDE w:val="0"/>
        <w:autoSpaceDN w:val="0"/>
        <w:adjustRightInd w:val="0"/>
        <w:ind w:left="1560" w:right="12" w:hanging="425"/>
        <w:jc w:val="both"/>
        <w:rPr>
          <w:rFonts w:eastAsia="Calibri"/>
          <w:color w:val="000000"/>
          <w:sz w:val="21"/>
          <w:szCs w:val="21"/>
          <w:lang w:eastAsia="en-US"/>
        </w:rPr>
      </w:pPr>
      <w:r w:rsidRPr="00681EC7">
        <w:rPr>
          <w:rFonts w:eastAsia="Calibri"/>
          <w:color w:val="000000"/>
          <w:sz w:val="21"/>
          <w:szCs w:val="21"/>
          <w:lang w:eastAsia="en-US"/>
        </w:rPr>
        <w:t xml:space="preserve">empêcher le recours à toute forme de travail forcé et au travail des enfants. </w:t>
      </w:r>
    </w:p>
    <w:p w:rsidR="00681EC7" w:rsidRPr="00681EC7" w:rsidRDefault="00681EC7" w:rsidP="00A76F4A">
      <w:pPr>
        <w:widowControl w:val="0"/>
        <w:numPr>
          <w:ilvl w:val="0"/>
          <w:numId w:val="154"/>
        </w:numPr>
        <w:tabs>
          <w:tab w:val="left" w:pos="220"/>
          <w:tab w:val="left" w:pos="720"/>
        </w:tabs>
        <w:autoSpaceDE w:val="0"/>
        <w:autoSpaceDN w:val="0"/>
        <w:adjustRightInd w:val="0"/>
        <w:ind w:left="1560" w:right="12" w:hanging="425"/>
        <w:jc w:val="both"/>
        <w:rPr>
          <w:rFonts w:eastAsia="Calibri"/>
          <w:color w:val="000000"/>
          <w:sz w:val="21"/>
          <w:szCs w:val="21"/>
          <w:lang w:eastAsia="en-US"/>
        </w:rPr>
      </w:pPr>
      <w:r w:rsidRPr="00681EC7">
        <w:rPr>
          <w:rFonts w:eastAsia="Calibri"/>
          <w:color w:val="000000"/>
          <w:sz w:val="21"/>
          <w:szCs w:val="21"/>
          <w:lang w:eastAsia="en-US"/>
        </w:rPr>
        <w:t xml:space="preserve">soutenir les principes de liberté d’association et de conventions collectives des travailleurs du projet en accord avec le droit national. </w:t>
      </w:r>
    </w:p>
    <w:p w:rsidR="00681EC7" w:rsidRPr="00681EC7" w:rsidRDefault="00681EC7" w:rsidP="00A76F4A">
      <w:pPr>
        <w:widowControl w:val="0"/>
        <w:numPr>
          <w:ilvl w:val="0"/>
          <w:numId w:val="154"/>
        </w:numPr>
        <w:tabs>
          <w:tab w:val="left" w:pos="220"/>
          <w:tab w:val="left" w:pos="720"/>
        </w:tabs>
        <w:autoSpaceDE w:val="0"/>
        <w:autoSpaceDN w:val="0"/>
        <w:adjustRightInd w:val="0"/>
        <w:ind w:left="1560" w:right="12" w:hanging="425"/>
        <w:jc w:val="both"/>
        <w:rPr>
          <w:rFonts w:eastAsia="Calibri"/>
          <w:color w:val="000000"/>
          <w:sz w:val="21"/>
          <w:szCs w:val="21"/>
          <w:lang w:eastAsia="en-US"/>
        </w:rPr>
      </w:pPr>
      <w:r w:rsidRPr="00681EC7">
        <w:rPr>
          <w:rFonts w:eastAsia="Calibri"/>
          <w:color w:val="000000"/>
          <w:sz w:val="21"/>
          <w:szCs w:val="21"/>
          <w:lang w:eastAsia="en-US"/>
        </w:rPr>
        <w:t>fournir aux travailleurs du projet les moyens d’évoquer les problèmes qui se posent sur leur lieu de travail. Ce PGMO est un document vivant qui sera réévalué, révisé et mis à jour au besoin tout au long de la mise en œuvre du Projet et de l’évolution des activités du Projet. `</w:t>
      </w:r>
    </w:p>
    <w:p w:rsidR="00681EC7" w:rsidRPr="00681EC7" w:rsidRDefault="00681EC7" w:rsidP="00A76F4A">
      <w:pPr>
        <w:widowControl w:val="0"/>
        <w:tabs>
          <w:tab w:val="left" w:pos="220"/>
          <w:tab w:val="left" w:pos="720"/>
        </w:tabs>
        <w:autoSpaceDE w:val="0"/>
        <w:autoSpaceDN w:val="0"/>
        <w:adjustRightInd w:val="0"/>
        <w:ind w:left="567" w:right="12"/>
        <w:jc w:val="both"/>
        <w:rPr>
          <w:rFonts w:eastAsia="Calibri"/>
          <w:color w:val="000000"/>
          <w:sz w:val="21"/>
          <w:szCs w:val="21"/>
          <w:lang w:eastAsia="en-US"/>
        </w:rPr>
      </w:pPr>
    </w:p>
    <w:p w:rsidR="00681EC7" w:rsidRPr="001F2701" w:rsidRDefault="00681EC7" w:rsidP="00A76F4A">
      <w:pPr>
        <w:ind w:left="709" w:right="12"/>
        <w:contextualSpacing/>
        <w:outlineLvl w:val="1"/>
        <w:rPr>
          <w:rFonts w:eastAsia="Times New Roman"/>
          <w:b/>
          <w:bCs/>
          <w:sz w:val="22"/>
          <w:szCs w:val="22"/>
          <w:lang w:eastAsia="es-ES"/>
        </w:rPr>
      </w:pPr>
      <w:bookmarkStart w:id="512" w:name="_Toc67508577"/>
      <w:bookmarkStart w:id="513" w:name="_Toc69918765"/>
      <w:bookmarkStart w:id="514" w:name="_Toc73459812"/>
      <w:bookmarkStart w:id="515" w:name="_Toc75432367"/>
      <w:r w:rsidRPr="001F2701">
        <w:rPr>
          <w:rFonts w:eastAsia="Times New Roman"/>
          <w:b/>
          <w:bCs/>
          <w:sz w:val="22"/>
          <w:szCs w:val="22"/>
          <w:lang w:eastAsia="es-ES"/>
        </w:rPr>
        <w:t>GÉNÉRALITÉS SUR L’UTILISATION DE LA MAIN-D’ŒUVRE DANS LE CADRE DU PROJET</w:t>
      </w:r>
      <w:bookmarkEnd w:id="512"/>
      <w:bookmarkEnd w:id="513"/>
      <w:bookmarkEnd w:id="514"/>
      <w:bookmarkEnd w:id="515"/>
    </w:p>
    <w:p w:rsidR="00681EC7" w:rsidRPr="001D1D2D" w:rsidRDefault="00681EC7" w:rsidP="00A76F4A">
      <w:pPr>
        <w:autoSpaceDE w:val="0"/>
        <w:autoSpaceDN w:val="0"/>
        <w:adjustRightInd w:val="0"/>
        <w:ind w:right="12"/>
        <w:jc w:val="both"/>
      </w:pPr>
      <w:r w:rsidRPr="001D1D2D">
        <w:t xml:space="preserve">Dans le cadre de la mise en œuvre du Projet PUSA, toute personne physique, de sexe masculin ou féminin, de bonne moralité et ayant atteint ou dépassé l’âge minimum (18 ans) requis, ou personne morale répondant aux critères et conditions des offres, peut être employée. Quant aux cadres du projet, ils seront recrutés sur la base des exigences du poste tout en écartant tout traitement discriminatoire lié au sexe, à la religion, aux handicaps et autres. </w:t>
      </w:r>
    </w:p>
    <w:p w:rsidR="00681EC7" w:rsidRPr="001D1D2D" w:rsidRDefault="00681EC7" w:rsidP="00A76F4A">
      <w:pPr>
        <w:autoSpaceDE w:val="0"/>
        <w:autoSpaceDN w:val="0"/>
        <w:adjustRightInd w:val="0"/>
        <w:ind w:right="12"/>
        <w:jc w:val="both"/>
      </w:pPr>
      <w:r w:rsidRPr="001D1D2D">
        <w:t xml:space="preserve">Les investissements susceptibles de mobiliser le plus de main-d’œuvre se regroupent particulièrement au niveau des Composante 1, 2, et 3 du projet ; il s’agit plus spécifiquement des activités suivantes : cibler et enregistrer les bénéficiaires du projet l’achat et la distribution de semences et de matériel de plantation améliorés, l’accès au matériel et à la main-d’œuvre agricoles nécessaires, la fourniture des services de conseil requis pour soutenir l’amélioration de la production, la réhabilitation des structures de stockage, l’ouverture de routes d’accès aux zones de production agricole, la construction de marchés locaux, etc. </w:t>
      </w:r>
    </w:p>
    <w:p w:rsidR="00681EC7" w:rsidRPr="00681EC7" w:rsidRDefault="00681EC7" w:rsidP="00A76F4A">
      <w:pPr>
        <w:ind w:left="284" w:right="12"/>
        <w:jc w:val="both"/>
        <w:rPr>
          <w:rFonts w:eastAsia="Times New Roman"/>
          <w:color w:val="040404"/>
          <w:shd w:val="clear" w:color="auto" w:fill="FFFFFF"/>
          <w:lang w:eastAsia="es-ES"/>
        </w:rPr>
      </w:pPr>
    </w:p>
    <w:p w:rsidR="00681EC7" w:rsidRPr="006162B1" w:rsidRDefault="00681EC7" w:rsidP="00A76F4A">
      <w:pPr>
        <w:ind w:left="284" w:right="12"/>
        <w:jc w:val="both"/>
        <w:rPr>
          <w:rFonts w:eastAsia="Times New Roman"/>
          <w:b/>
          <w:color w:val="040404"/>
          <w:shd w:val="clear" w:color="auto" w:fill="FFFFFF"/>
          <w:lang w:eastAsia="es-ES"/>
        </w:rPr>
      </w:pPr>
      <w:r w:rsidRPr="006162B1">
        <w:rPr>
          <w:rFonts w:eastAsia="Times New Roman"/>
          <w:b/>
          <w:color w:val="040404"/>
          <w:shd w:val="clear" w:color="auto" w:fill="FFFFFF"/>
          <w:lang w:eastAsia="es-ES"/>
        </w:rPr>
        <w:t xml:space="preserve">Répartition et type de main-d’œuvre du projet </w:t>
      </w:r>
    </w:p>
    <w:p w:rsidR="008654A9" w:rsidRDefault="008654A9" w:rsidP="00A76F4A">
      <w:pPr>
        <w:ind w:left="284" w:right="12"/>
        <w:jc w:val="both"/>
        <w:rPr>
          <w:rFonts w:eastAsia="Times New Roman"/>
          <w:color w:val="040404"/>
          <w:sz w:val="21"/>
          <w:szCs w:val="21"/>
          <w:shd w:val="clear" w:color="auto" w:fill="FFFFFF"/>
          <w:lang w:eastAsia="es-ES"/>
        </w:rPr>
      </w:pPr>
    </w:p>
    <w:p w:rsidR="008654A9" w:rsidRPr="008C63D8" w:rsidRDefault="008654A9" w:rsidP="00A76F4A">
      <w:pPr>
        <w:autoSpaceDE w:val="0"/>
        <w:autoSpaceDN w:val="0"/>
        <w:adjustRightInd w:val="0"/>
        <w:ind w:right="12"/>
        <w:jc w:val="both"/>
      </w:pPr>
      <w:r w:rsidRPr="008C63D8">
        <w:t>Cette étude qui est menée ici est un cadre de gestion et à ce niveau il n’est possible de faire que des estimations peu précises sur le nombre de travailleurs qui seront en activité lorsque le projet démarrera sa mise en œuvre.</w:t>
      </w:r>
    </w:p>
    <w:p w:rsidR="008654A9" w:rsidRPr="008C63D8" w:rsidRDefault="008654A9" w:rsidP="00A76F4A">
      <w:pPr>
        <w:autoSpaceDE w:val="0"/>
        <w:autoSpaceDN w:val="0"/>
        <w:adjustRightInd w:val="0"/>
        <w:ind w:right="12"/>
        <w:jc w:val="both"/>
      </w:pPr>
      <w:r w:rsidRPr="008C63D8">
        <w:t>Cette estimation peut être faite sur la base du travail que certains membres de la FAO effectueront sur le projet et sur un certain nombre de travailleurs avec qui l’UCP contractera (environ 17) et d’autres qui seront contractés par la FAO (environ 8).</w:t>
      </w:r>
    </w:p>
    <w:p w:rsidR="008654A9" w:rsidRPr="008C63D8" w:rsidRDefault="008654A9" w:rsidP="00A76F4A">
      <w:pPr>
        <w:autoSpaceDE w:val="0"/>
        <w:autoSpaceDN w:val="0"/>
        <w:adjustRightInd w:val="0"/>
        <w:ind w:right="12"/>
        <w:jc w:val="both"/>
      </w:pPr>
      <w:r w:rsidRPr="008C63D8">
        <w:lastRenderedPageBreak/>
        <w:t xml:space="preserve">Il est prévu au total, dans le cadre de la composante 2 et spécifiquement dans son volet « argent contre travail » environ 8 000 bénéficiaires dans différentes communautés. </w:t>
      </w:r>
    </w:p>
    <w:p w:rsidR="008654A9" w:rsidRPr="001D1D2D" w:rsidRDefault="008654A9" w:rsidP="00A76F4A">
      <w:pPr>
        <w:autoSpaceDE w:val="0"/>
        <w:autoSpaceDN w:val="0"/>
        <w:adjustRightInd w:val="0"/>
        <w:ind w:right="12"/>
        <w:jc w:val="both"/>
      </w:pPr>
      <w:r w:rsidRPr="008C63D8">
        <w:t>Ainsi, le nombre réel de travailleurs qui interviendront dans un cadre contractuel ou communautaire ne sera connu avec précision que lorsque les activités auront concrètement démarré sur le terrain.</w:t>
      </w:r>
    </w:p>
    <w:p w:rsidR="008654A9" w:rsidRDefault="008654A9" w:rsidP="00A76F4A">
      <w:pPr>
        <w:ind w:right="12"/>
      </w:pPr>
    </w:p>
    <w:p w:rsidR="00681EC7" w:rsidRPr="0000752D" w:rsidRDefault="00681EC7" w:rsidP="00A76F4A">
      <w:pPr>
        <w:ind w:left="709" w:right="12"/>
        <w:contextualSpacing/>
        <w:outlineLvl w:val="1"/>
        <w:rPr>
          <w:rFonts w:eastAsia="Times New Roman"/>
          <w:b/>
          <w:bCs/>
          <w:lang w:eastAsia="es-ES"/>
        </w:rPr>
      </w:pPr>
      <w:bookmarkStart w:id="516" w:name="_Toc67508578"/>
      <w:bookmarkStart w:id="517" w:name="_Toc69918766"/>
      <w:bookmarkStart w:id="518" w:name="_Toc73459813"/>
      <w:bookmarkStart w:id="519" w:name="_Toc75432368"/>
      <w:r w:rsidRPr="0000752D">
        <w:rPr>
          <w:rFonts w:eastAsia="Times New Roman"/>
          <w:b/>
          <w:bCs/>
          <w:lang w:eastAsia="es-ES"/>
        </w:rPr>
        <w:t>ÉVALUATION DES PRINCIPAUX RISQUES QUI POURRAIENT PESER SUR LA MAIN-D’ŒUVRE</w:t>
      </w:r>
      <w:bookmarkEnd w:id="516"/>
      <w:bookmarkEnd w:id="517"/>
      <w:bookmarkEnd w:id="518"/>
      <w:bookmarkEnd w:id="519"/>
    </w:p>
    <w:p w:rsidR="00681EC7" w:rsidRPr="0000752D" w:rsidRDefault="00681EC7" w:rsidP="00A76F4A">
      <w:pPr>
        <w:numPr>
          <w:ilvl w:val="0"/>
          <w:numId w:val="161"/>
        </w:numPr>
        <w:ind w:left="1134" w:right="12"/>
        <w:contextualSpacing/>
        <w:jc w:val="both"/>
        <w:rPr>
          <w:rFonts w:eastAsia="Times New Roman"/>
          <w:b/>
          <w:color w:val="040404"/>
          <w:shd w:val="clear" w:color="auto" w:fill="FFFFFF"/>
          <w:lang w:eastAsia="es-ES"/>
        </w:rPr>
      </w:pPr>
      <w:r w:rsidRPr="0000752D">
        <w:rPr>
          <w:rFonts w:eastAsia="Times New Roman"/>
          <w:b/>
          <w:color w:val="040404"/>
          <w:shd w:val="clear" w:color="auto" w:fill="FFFFFF"/>
          <w:lang w:eastAsia="es-ES"/>
        </w:rPr>
        <w:t xml:space="preserve">Activités du Projet : </w:t>
      </w:r>
    </w:p>
    <w:p w:rsidR="00681EC7" w:rsidRPr="001D1D2D" w:rsidRDefault="00681EC7" w:rsidP="00A76F4A">
      <w:pPr>
        <w:autoSpaceDE w:val="0"/>
        <w:autoSpaceDN w:val="0"/>
        <w:adjustRightInd w:val="0"/>
        <w:ind w:right="12"/>
        <w:jc w:val="both"/>
      </w:pPr>
      <w:r w:rsidRPr="001D1D2D">
        <w:t xml:space="preserve">Les activités à exécuter dans le Projet PUSA concernent plus spécifiquement : cibler et enregistrer les bénéficiaires du projet l’achat et la distribution de semences et de matériel de plantation améliorés, l’accès au matériel et à la main-d’œuvre agricoles nécessaires, la fourniture des services de conseil requis pour soutenir l’amélioration de la production, la réhabilitation des structures de stockage, l’ouverture de routes d’accès aux zones de production agricole, la construction de marchés locaux, etc. </w:t>
      </w:r>
    </w:p>
    <w:p w:rsidR="00681EC7" w:rsidRPr="00681EC7" w:rsidRDefault="00681EC7" w:rsidP="00A76F4A">
      <w:pPr>
        <w:ind w:left="-284" w:right="12"/>
        <w:jc w:val="both"/>
        <w:rPr>
          <w:rFonts w:eastAsia="Times New Roman"/>
          <w:color w:val="040404"/>
          <w:sz w:val="21"/>
          <w:szCs w:val="21"/>
          <w:shd w:val="clear" w:color="auto" w:fill="FFFFFF"/>
          <w:lang w:eastAsia="es-ES"/>
        </w:rPr>
      </w:pPr>
    </w:p>
    <w:p w:rsidR="00681EC7" w:rsidRPr="0000752D" w:rsidRDefault="00681EC7" w:rsidP="00A76F4A">
      <w:pPr>
        <w:numPr>
          <w:ilvl w:val="0"/>
          <w:numId w:val="161"/>
        </w:numPr>
        <w:ind w:left="1134" w:right="12"/>
        <w:contextualSpacing/>
        <w:jc w:val="both"/>
        <w:rPr>
          <w:rFonts w:eastAsia="Times New Roman"/>
          <w:b/>
          <w:color w:val="040404"/>
          <w:shd w:val="clear" w:color="auto" w:fill="FFFFFF"/>
          <w:lang w:eastAsia="es-ES"/>
        </w:rPr>
      </w:pPr>
      <w:r w:rsidRPr="0000752D">
        <w:rPr>
          <w:rFonts w:eastAsia="Times New Roman"/>
          <w:b/>
          <w:color w:val="040404"/>
          <w:shd w:val="clear" w:color="auto" w:fill="FFFFFF"/>
          <w:lang w:eastAsia="es-ES"/>
        </w:rPr>
        <w:t xml:space="preserve">Principaux risques liés à la main-d’œuvre : </w:t>
      </w:r>
    </w:p>
    <w:p w:rsidR="00681EC7" w:rsidRPr="001D1D2D" w:rsidRDefault="00681EC7" w:rsidP="00A76F4A">
      <w:pPr>
        <w:autoSpaceDE w:val="0"/>
        <w:autoSpaceDN w:val="0"/>
        <w:adjustRightInd w:val="0"/>
        <w:ind w:right="12"/>
        <w:jc w:val="both"/>
      </w:pPr>
      <w:r w:rsidRPr="001D1D2D">
        <w:t xml:space="preserve">Indépendamment des composantes, dans l’ensemble les potentiels risques pouvant affecter les travailleurs dans le cadre de ce projet sont généralement : </w:t>
      </w:r>
    </w:p>
    <w:p w:rsidR="00681EC7" w:rsidRPr="001D1D2D" w:rsidRDefault="00681EC7" w:rsidP="00A76F4A">
      <w:pPr>
        <w:autoSpaceDE w:val="0"/>
        <w:autoSpaceDN w:val="0"/>
        <w:adjustRightInd w:val="0"/>
        <w:ind w:right="12"/>
        <w:jc w:val="both"/>
      </w:pPr>
      <w:r w:rsidRPr="001D1D2D">
        <w:t xml:space="preserve">Les principaux risques auxquels sont exposés les travailleurs du projet sont assez diversifiés. Ces risques sont liés, entre autres, aux conditions de travail et d’emploi, à la discrimination et l’inégalité des chances, à l’organisation des travailleurs, au travail des enfants, au travail forcé, à la santé et sécurité au travail (SST) et à la nature des contrats. </w:t>
      </w:r>
    </w:p>
    <w:p w:rsidR="00681EC7" w:rsidRPr="001D1D2D" w:rsidRDefault="00681EC7" w:rsidP="00A76F4A">
      <w:pPr>
        <w:autoSpaceDE w:val="0"/>
        <w:autoSpaceDN w:val="0"/>
        <w:adjustRightInd w:val="0"/>
        <w:ind w:right="12"/>
        <w:jc w:val="both"/>
      </w:pPr>
      <w:r w:rsidRPr="001D1D2D">
        <w:t xml:space="preserve">Ainsi, pour faciliter une meilleure prise en compte des procédures de gestion de la main-d’œuvre dans le cadre du projet PUSA, il est recommandé obligatoirement à UCP, à tous les Entrepreneurs et les fournisseurs principaux de passer un contrat formel à tous les travailleurs du projet quelles que soient la durée et la nature des prestations à fournir. </w:t>
      </w:r>
    </w:p>
    <w:p w:rsidR="00681EC7" w:rsidRPr="001D1D2D" w:rsidRDefault="00681EC7" w:rsidP="00A76F4A">
      <w:pPr>
        <w:autoSpaceDE w:val="0"/>
        <w:autoSpaceDN w:val="0"/>
        <w:adjustRightInd w:val="0"/>
        <w:ind w:right="12"/>
        <w:jc w:val="both"/>
      </w:pPr>
    </w:p>
    <w:p w:rsidR="00681EC7" w:rsidRDefault="00681EC7" w:rsidP="00A76F4A">
      <w:pPr>
        <w:autoSpaceDE w:val="0"/>
        <w:autoSpaceDN w:val="0"/>
        <w:adjustRightInd w:val="0"/>
        <w:ind w:right="12"/>
        <w:jc w:val="both"/>
      </w:pPr>
      <w:r w:rsidRPr="001D1D2D">
        <w:t xml:space="preserve">Le tableau ci-après illustre les principaux risques auxquels seront exposés la main-d’œuvre qui sera mobilisée par le projet. </w:t>
      </w:r>
    </w:p>
    <w:p w:rsidR="0000752D" w:rsidRPr="001D1D2D" w:rsidRDefault="0000752D" w:rsidP="00A76F4A">
      <w:pPr>
        <w:autoSpaceDE w:val="0"/>
        <w:autoSpaceDN w:val="0"/>
        <w:adjustRightInd w:val="0"/>
        <w:ind w:right="12"/>
        <w:jc w:val="both"/>
      </w:pPr>
    </w:p>
    <w:p w:rsidR="00681EC7" w:rsidRPr="0000752D" w:rsidRDefault="00681EC7" w:rsidP="0000752D">
      <w:pPr>
        <w:ind w:left="284" w:right="12"/>
        <w:jc w:val="both"/>
        <w:rPr>
          <w:rFonts w:eastAsia="Calibri"/>
          <w:color w:val="000000"/>
          <w:sz w:val="21"/>
          <w:szCs w:val="21"/>
          <w:lang w:eastAsia="en-US"/>
        </w:rPr>
      </w:pPr>
      <w:r w:rsidRPr="00681EC7">
        <w:rPr>
          <w:rFonts w:eastAsia="Calibri"/>
          <w:color w:val="000000"/>
          <w:sz w:val="21"/>
          <w:szCs w:val="21"/>
          <w:lang w:eastAsia="en-US"/>
        </w:rPr>
        <w:t>Tableau : Principaux risques liés à la main-d’œuvre du proje</w:t>
      </w:r>
      <w:r w:rsidR="0000752D">
        <w:rPr>
          <w:rFonts w:eastAsia="Calibri"/>
          <w:color w:val="000000"/>
          <w:sz w:val="21"/>
          <w:szCs w:val="21"/>
          <w:lang w:eastAsia="en-US"/>
        </w:rPr>
        <w:t>t</w:t>
      </w:r>
    </w:p>
    <w:tbl>
      <w:tblPr>
        <w:tblStyle w:val="Grilledutableau2"/>
        <w:tblW w:w="10349" w:type="dxa"/>
        <w:jc w:val="center"/>
        <w:tblLook w:val="04A0" w:firstRow="1" w:lastRow="0" w:firstColumn="1" w:lastColumn="0" w:noHBand="0" w:noVBand="1"/>
      </w:tblPr>
      <w:tblGrid>
        <w:gridCol w:w="2269"/>
        <w:gridCol w:w="8080"/>
      </w:tblGrid>
      <w:tr w:rsidR="00681EC7" w:rsidRPr="00681EC7" w:rsidTr="006F7932">
        <w:trPr>
          <w:jc w:val="center"/>
        </w:trPr>
        <w:tc>
          <w:tcPr>
            <w:tcW w:w="10349" w:type="dxa"/>
            <w:gridSpan w:val="2"/>
          </w:tcPr>
          <w:p w:rsidR="00681EC7" w:rsidRPr="00681EC7" w:rsidRDefault="00681EC7" w:rsidP="00A76F4A">
            <w:pPr>
              <w:ind w:right="12"/>
              <w:rPr>
                <w:rFonts w:eastAsia="Times New Roman"/>
                <w:sz w:val="21"/>
                <w:szCs w:val="21"/>
              </w:rPr>
            </w:pPr>
            <w:r w:rsidRPr="00681EC7">
              <w:rPr>
                <w:rFonts w:eastAsia="Times New Roman"/>
                <w:sz w:val="21"/>
                <w:szCs w:val="21"/>
              </w:rPr>
              <w:t>Principaux risques liés à la main-d’œuvre</w:t>
            </w:r>
          </w:p>
        </w:tc>
      </w:tr>
      <w:tr w:rsidR="00681EC7" w:rsidRPr="00681EC7" w:rsidTr="006F7932">
        <w:trPr>
          <w:jc w:val="center"/>
        </w:trPr>
        <w:tc>
          <w:tcPr>
            <w:tcW w:w="2269" w:type="dxa"/>
          </w:tcPr>
          <w:p w:rsidR="00681EC7" w:rsidRPr="00681EC7" w:rsidRDefault="00681EC7" w:rsidP="00A76F4A">
            <w:pPr>
              <w:ind w:right="12"/>
              <w:rPr>
                <w:rFonts w:eastAsia="Times New Roman"/>
                <w:sz w:val="21"/>
                <w:szCs w:val="21"/>
              </w:rPr>
            </w:pPr>
            <w:r w:rsidRPr="00681EC7">
              <w:rPr>
                <w:rFonts w:eastAsia="Times New Roman"/>
                <w:sz w:val="21"/>
                <w:szCs w:val="21"/>
              </w:rPr>
              <w:t xml:space="preserve">Facteurs de risques </w:t>
            </w:r>
          </w:p>
        </w:tc>
        <w:tc>
          <w:tcPr>
            <w:tcW w:w="8080" w:type="dxa"/>
          </w:tcPr>
          <w:p w:rsidR="00681EC7" w:rsidRPr="00681EC7" w:rsidRDefault="00681EC7" w:rsidP="00A76F4A">
            <w:pPr>
              <w:ind w:right="12"/>
              <w:contextualSpacing/>
              <w:rPr>
                <w:rFonts w:eastAsia="Calibri"/>
                <w:sz w:val="21"/>
                <w:szCs w:val="21"/>
              </w:rPr>
            </w:pPr>
            <w:r w:rsidRPr="00681EC7">
              <w:rPr>
                <w:rFonts w:eastAsia="Times New Roman"/>
                <w:sz w:val="21"/>
                <w:szCs w:val="21"/>
              </w:rPr>
              <w:t>Principaux risques liés à la main-d’œuvre</w:t>
            </w:r>
          </w:p>
        </w:tc>
      </w:tr>
      <w:tr w:rsidR="00681EC7" w:rsidRPr="00681EC7" w:rsidTr="006F7932">
        <w:trPr>
          <w:jc w:val="center"/>
        </w:trPr>
        <w:tc>
          <w:tcPr>
            <w:tcW w:w="2269" w:type="dxa"/>
          </w:tcPr>
          <w:p w:rsidR="00681EC7" w:rsidRPr="00681EC7" w:rsidRDefault="00681EC7" w:rsidP="00A76F4A">
            <w:pPr>
              <w:ind w:right="12"/>
              <w:rPr>
                <w:rFonts w:eastAsia="Times New Roman"/>
                <w:sz w:val="21"/>
                <w:szCs w:val="21"/>
              </w:rPr>
            </w:pPr>
            <w:r w:rsidRPr="00681EC7">
              <w:rPr>
                <w:rFonts w:eastAsia="Times New Roman"/>
                <w:sz w:val="21"/>
                <w:szCs w:val="21"/>
              </w:rPr>
              <w:t>Conditions de travail et d’emploi</w:t>
            </w:r>
          </w:p>
        </w:tc>
        <w:tc>
          <w:tcPr>
            <w:tcW w:w="8080" w:type="dxa"/>
          </w:tcPr>
          <w:p w:rsidR="00681EC7" w:rsidRPr="00681EC7" w:rsidRDefault="00681EC7" w:rsidP="00A76F4A">
            <w:pPr>
              <w:ind w:right="12"/>
              <w:rPr>
                <w:rFonts w:eastAsia="Calibri"/>
                <w:sz w:val="21"/>
                <w:szCs w:val="21"/>
              </w:rPr>
            </w:pPr>
            <w:r w:rsidRPr="00681EC7">
              <w:rPr>
                <w:rFonts w:eastAsia="Times New Roman"/>
                <w:sz w:val="21"/>
                <w:szCs w:val="21"/>
              </w:rPr>
              <w:t>R</w:t>
            </w:r>
            <w:r w:rsidRPr="00681EC7">
              <w:rPr>
                <w:rFonts w:eastAsia="Calibri"/>
                <w:sz w:val="21"/>
                <w:szCs w:val="21"/>
              </w:rPr>
              <w:t xml:space="preserve">isque de non-respect des droits des travailleurs en matière de temps de travail, de salaires, d’heures supplémentaires, de rémunération et d’avantages sociaux ; </w:t>
            </w:r>
          </w:p>
          <w:p w:rsidR="00681EC7" w:rsidRPr="00681EC7" w:rsidRDefault="00681EC7" w:rsidP="00A76F4A">
            <w:pPr>
              <w:ind w:right="12"/>
              <w:rPr>
                <w:rFonts w:eastAsia="Calibri"/>
                <w:sz w:val="21"/>
                <w:szCs w:val="21"/>
              </w:rPr>
            </w:pPr>
            <w:r w:rsidRPr="00681EC7">
              <w:rPr>
                <w:rFonts w:eastAsia="Calibri"/>
                <w:sz w:val="21"/>
                <w:szCs w:val="21"/>
              </w:rPr>
              <w:t>Risque de non-respect des périodes de repos hebdomadaire, de congé annuel et de congé de maladie, de congé maternité et de congé pour raison familiale ;</w:t>
            </w:r>
          </w:p>
          <w:p w:rsidR="00681EC7" w:rsidRPr="00681EC7" w:rsidRDefault="00681EC7" w:rsidP="00A76F4A">
            <w:pPr>
              <w:ind w:right="12"/>
              <w:rPr>
                <w:rFonts w:eastAsia="Calibri"/>
                <w:sz w:val="21"/>
                <w:szCs w:val="21"/>
              </w:rPr>
            </w:pPr>
            <w:r w:rsidRPr="00681EC7">
              <w:rPr>
                <w:rFonts w:eastAsia="Calibri"/>
                <w:sz w:val="21"/>
                <w:szCs w:val="21"/>
              </w:rPr>
              <w:t xml:space="preserve">Risque de non-respect des préavis de licenciement et des indemnités de départ ; </w:t>
            </w:r>
          </w:p>
          <w:p w:rsidR="00681EC7" w:rsidRPr="00681EC7" w:rsidRDefault="00681EC7" w:rsidP="00A76F4A">
            <w:pPr>
              <w:ind w:right="12"/>
              <w:rPr>
                <w:rFonts w:eastAsia="Calibri"/>
                <w:sz w:val="21"/>
                <w:szCs w:val="21"/>
              </w:rPr>
            </w:pPr>
            <w:r w:rsidRPr="00681EC7">
              <w:rPr>
                <w:rFonts w:eastAsia="Calibri"/>
                <w:sz w:val="21"/>
                <w:szCs w:val="21"/>
              </w:rPr>
              <w:t>Risques de blessure liés à l’utilisation d’engins ou des outils de terrassement (Fractures, Blessures, décès)</w:t>
            </w:r>
          </w:p>
          <w:p w:rsidR="00681EC7" w:rsidRPr="00681EC7" w:rsidRDefault="00681EC7" w:rsidP="00A76F4A">
            <w:pPr>
              <w:ind w:right="12"/>
              <w:rPr>
                <w:rFonts w:eastAsia="Calibri"/>
                <w:sz w:val="21"/>
                <w:szCs w:val="21"/>
              </w:rPr>
            </w:pPr>
            <w:r w:rsidRPr="00681EC7">
              <w:rPr>
                <w:rFonts w:eastAsia="Calibri"/>
                <w:sz w:val="21"/>
                <w:szCs w:val="21"/>
              </w:rPr>
              <w:t>Risques liés à l’utilisation d’outils manuels (Blessures, Fractures)</w:t>
            </w:r>
          </w:p>
          <w:p w:rsidR="00681EC7" w:rsidRPr="00681EC7" w:rsidRDefault="00681EC7" w:rsidP="00A76F4A">
            <w:pPr>
              <w:ind w:right="12"/>
              <w:rPr>
                <w:rFonts w:eastAsia="Calibri"/>
                <w:sz w:val="21"/>
                <w:szCs w:val="21"/>
              </w:rPr>
            </w:pPr>
            <w:r w:rsidRPr="00681EC7">
              <w:rPr>
                <w:rFonts w:eastAsia="Calibri"/>
                <w:sz w:val="21"/>
                <w:szCs w:val="21"/>
              </w:rPr>
              <w:t>Risques liés à la manutention manuelle (Blessures, Fractures)</w:t>
            </w:r>
          </w:p>
          <w:p w:rsidR="00681EC7" w:rsidRPr="00681EC7" w:rsidRDefault="00681EC7" w:rsidP="00A76F4A">
            <w:pPr>
              <w:ind w:right="12"/>
              <w:rPr>
                <w:rFonts w:eastAsia="Calibri"/>
                <w:sz w:val="21"/>
                <w:szCs w:val="21"/>
              </w:rPr>
            </w:pPr>
            <w:r w:rsidRPr="00681EC7">
              <w:rPr>
                <w:rFonts w:eastAsia="Calibri"/>
                <w:sz w:val="21"/>
                <w:szCs w:val="21"/>
              </w:rPr>
              <w:t>Risques liés aux gestes répétitifs (Douleurs musculaires, Mal de dos, Fatigue, Stress)</w:t>
            </w:r>
          </w:p>
          <w:p w:rsidR="00681EC7" w:rsidRPr="00681EC7" w:rsidRDefault="00681EC7" w:rsidP="00A76F4A">
            <w:pPr>
              <w:ind w:right="12"/>
              <w:rPr>
                <w:rFonts w:eastAsia="Calibri"/>
                <w:sz w:val="21"/>
                <w:szCs w:val="21"/>
              </w:rPr>
            </w:pPr>
            <w:r w:rsidRPr="00681EC7">
              <w:rPr>
                <w:rFonts w:eastAsia="Calibri"/>
                <w:sz w:val="21"/>
                <w:szCs w:val="21"/>
              </w:rPr>
              <w:t>Risques liés aux chutes de plain-pied (Blessures, Fractures)</w:t>
            </w:r>
          </w:p>
          <w:p w:rsidR="00681EC7" w:rsidRPr="00681EC7" w:rsidRDefault="00681EC7" w:rsidP="00A76F4A">
            <w:pPr>
              <w:ind w:right="12"/>
              <w:rPr>
                <w:rFonts w:eastAsia="Calibri"/>
                <w:sz w:val="21"/>
                <w:szCs w:val="21"/>
              </w:rPr>
            </w:pPr>
            <w:r w:rsidRPr="00681EC7">
              <w:rPr>
                <w:rFonts w:eastAsia="Calibri"/>
                <w:sz w:val="21"/>
                <w:szCs w:val="21"/>
              </w:rPr>
              <w:t>Risques liés au bruit (Perte de l’audition temporaire ou définitive)</w:t>
            </w:r>
          </w:p>
          <w:p w:rsidR="00681EC7" w:rsidRPr="00681EC7" w:rsidRDefault="00681EC7" w:rsidP="00A76F4A">
            <w:pPr>
              <w:ind w:right="12"/>
              <w:rPr>
                <w:rFonts w:eastAsia="Calibri"/>
                <w:sz w:val="21"/>
                <w:szCs w:val="21"/>
              </w:rPr>
            </w:pPr>
            <w:r w:rsidRPr="00681EC7">
              <w:rPr>
                <w:rFonts w:eastAsia="Calibri"/>
                <w:sz w:val="21"/>
                <w:szCs w:val="21"/>
              </w:rPr>
              <w:t>Risques liés au travail par fortes chaleurs (Déshydratation)</w:t>
            </w:r>
          </w:p>
          <w:p w:rsidR="00681EC7" w:rsidRPr="00681EC7" w:rsidRDefault="00681EC7" w:rsidP="00A76F4A">
            <w:pPr>
              <w:ind w:right="12"/>
              <w:rPr>
                <w:rFonts w:eastAsia="Calibri"/>
                <w:sz w:val="21"/>
                <w:szCs w:val="21"/>
              </w:rPr>
            </w:pPr>
            <w:r w:rsidRPr="00681EC7">
              <w:rPr>
                <w:rFonts w:eastAsia="Calibri"/>
                <w:sz w:val="21"/>
                <w:szCs w:val="21"/>
              </w:rPr>
              <w:t>Risque d’accident (Collision véhicule /piéton ou Collision entre engin) ;</w:t>
            </w:r>
          </w:p>
          <w:p w:rsidR="00681EC7" w:rsidRPr="00681EC7" w:rsidRDefault="00681EC7" w:rsidP="00A76F4A">
            <w:pPr>
              <w:ind w:right="12"/>
              <w:rPr>
                <w:rFonts w:eastAsia="Calibri"/>
                <w:sz w:val="21"/>
                <w:szCs w:val="21"/>
              </w:rPr>
            </w:pPr>
            <w:r w:rsidRPr="00681EC7">
              <w:rPr>
                <w:rFonts w:eastAsia="Calibri"/>
                <w:sz w:val="21"/>
                <w:szCs w:val="21"/>
              </w:rPr>
              <w:t>Risques électrocution due à l’installation des équipements électrique ;</w:t>
            </w:r>
          </w:p>
          <w:p w:rsidR="00681EC7" w:rsidRPr="00681EC7" w:rsidRDefault="00681EC7" w:rsidP="00A76F4A">
            <w:pPr>
              <w:ind w:right="12"/>
              <w:rPr>
                <w:rFonts w:eastAsia="Calibri"/>
                <w:sz w:val="21"/>
                <w:szCs w:val="21"/>
              </w:rPr>
            </w:pPr>
            <w:r w:rsidRPr="00681EC7">
              <w:rPr>
                <w:rFonts w:eastAsia="Calibri"/>
                <w:sz w:val="21"/>
                <w:szCs w:val="21"/>
              </w:rPr>
              <w:t>Risques liés au manque d’hygiène corporelle</w:t>
            </w:r>
            <w:r w:rsidR="00855968">
              <w:rPr>
                <w:rFonts w:eastAsia="Calibri"/>
                <w:sz w:val="21"/>
                <w:szCs w:val="21"/>
              </w:rPr>
              <w:t xml:space="preserve"> due à l’absence de sanitaire dans les chantiers</w:t>
            </w:r>
          </w:p>
          <w:p w:rsidR="00681EC7" w:rsidRPr="00681EC7" w:rsidRDefault="00681EC7" w:rsidP="00A76F4A">
            <w:pPr>
              <w:ind w:right="12"/>
              <w:rPr>
                <w:rFonts w:eastAsia="Calibri"/>
                <w:sz w:val="21"/>
                <w:szCs w:val="21"/>
              </w:rPr>
            </w:pPr>
            <w:r w:rsidRPr="00681EC7">
              <w:rPr>
                <w:rFonts w:eastAsia="Calibri"/>
                <w:sz w:val="21"/>
                <w:szCs w:val="21"/>
              </w:rPr>
              <w:t>Risques d’inhalation de poussière</w:t>
            </w:r>
          </w:p>
          <w:p w:rsidR="00681EC7" w:rsidRPr="00681EC7" w:rsidRDefault="00681EC7" w:rsidP="00A76F4A">
            <w:pPr>
              <w:ind w:right="12"/>
              <w:rPr>
                <w:rFonts w:eastAsia="Calibri"/>
                <w:sz w:val="21"/>
                <w:szCs w:val="21"/>
              </w:rPr>
            </w:pPr>
            <w:r w:rsidRPr="00681EC7">
              <w:rPr>
                <w:rFonts w:eastAsia="Calibri"/>
                <w:sz w:val="21"/>
                <w:szCs w:val="21"/>
              </w:rPr>
              <w:t>Risques liés au travail de nuit (grande fatigue physique et psychique) ;</w:t>
            </w:r>
          </w:p>
          <w:p w:rsidR="00681EC7" w:rsidRPr="00681EC7" w:rsidRDefault="00681EC7" w:rsidP="00A76F4A">
            <w:pPr>
              <w:ind w:right="12"/>
              <w:rPr>
                <w:rFonts w:eastAsia="Times New Roman"/>
                <w:sz w:val="21"/>
                <w:szCs w:val="21"/>
              </w:rPr>
            </w:pPr>
            <w:r w:rsidRPr="00681EC7">
              <w:rPr>
                <w:rFonts w:eastAsia="Times New Roman"/>
                <w:sz w:val="21"/>
                <w:szCs w:val="21"/>
              </w:rPr>
              <w:lastRenderedPageBreak/>
              <w:t>Risque d’exposition des travailleurs à des substances dangereuses ;</w:t>
            </w:r>
          </w:p>
          <w:p w:rsidR="00681EC7" w:rsidRPr="00681EC7" w:rsidRDefault="00681EC7" w:rsidP="00A76F4A">
            <w:pPr>
              <w:ind w:right="12"/>
              <w:rPr>
                <w:rFonts w:eastAsia="Times New Roman"/>
                <w:sz w:val="21"/>
                <w:szCs w:val="21"/>
              </w:rPr>
            </w:pPr>
            <w:r w:rsidRPr="00681EC7">
              <w:rPr>
                <w:rFonts w:eastAsia="Times New Roman"/>
                <w:sz w:val="21"/>
                <w:szCs w:val="21"/>
              </w:rPr>
              <w:t>Risque d’utilisation de la machinerie en mauvais état ;</w:t>
            </w:r>
          </w:p>
          <w:p w:rsidR="00681EC7" w:rsidRPr="00681EC7" w:rsidRDefault="00681EC7" w:rsidP="00A76F4A">
            <w:pPr>
              <w:ind w:right="12"/>
              <w:rPr>
                <w:rFonts w:eastAsia="Times New Roman"/>
                <w:sz w:val="21"/>
                <w:szCs w:val="21"/>
              </w:rPr>
            </w:pPr>
            <w:r w:rsidRPr="00681EC7">
              <w:rPr>
                <w:rFonts w:eastAsia="Times New Roman"/>
                <w:sz w:val="21"/>
                <w:szCs w:val="21"/>
              </w:rPr>
              <w:t>Risque d’incendies en cas de mauvaise manipulation des produits inflammables ;</w:t>
            </w:r>
          </w:p>
        </w:tc>
      </w:tr>
      <w:tr w:rsidR="00681EC7" w:rsidRPr="00681EC7" w:rsidTr="006F7932">
        <w:trPr>
          <w:jc w:val="center"/>
        </w:trPr>
        <w:tc>
          <w:tcPr>
            <w:tcW w:w="2269" w:type="dxa"/>
          </w:tcPr>
          <w:p w:rsidR="00681EC7" w:rsidRPr="00681EC7" w:rsidRDefault="00681EC7" w:rsidP="00A76F4A">
            <w:pPr>
              <w:ind w:right="12"/>
              <w:rPr>
                <w:rFonts w:eastAsia="Times New Roman"/>
                <w:sz w:val="21"/>
                <w:szCs w:val="21"/>
              </w:rPr>
            </w:pPr>
            <w:r w:rsidRPr="00681EC7">
              <w:rPr>
                <w:rFonts w:eastAsia="Times New Roman"/>
                <w:sz w:val="21"/>
                <w:szCs w:val="21"/>
              </w:rPr>
              <w:lastRenderedPageBreak/>
              <w:t>Organisation des travailleurs</w:t>
            </w:r>
          </w:p>
          <w:p w:rsidR="00681EC7" w:rsidRPr="00681EC7" w:rsidRDefault="00681EC7" w:rsidP="00A76F4A">
            <w:pPr>
              <w:ind w:right="12"/>
              <w:contextualSpacing/>
              <w:rPr>
                <w:rFonts w:eastAsia="Calibri"/>
                <w:sz w:val="21"/>
                <w:szCs w:val="21"/>
              </w:rPr>
            </w:pPr>
          </w:p>
        </w:tc>
        <w:tc>
          <w:tcPr>
            <w:tcW w:w="8080" w:type="dxa"/>
          </w:tcPr>
          <w:p w:rsidR="00681EC7" w:rsidRPr="00681EC7" w:rsidRDefault="00681EC7" w:rsidP="00A76F4A">
            <w:pPr>
              <w:ind w:right="12"/>
              <w:rPr>
                <w:rFonts w:eastAsia="Times New Roman"/>
                <w:sz w:val="21"/>
                <w:szCs w:val="21"/>
              </w:rPr>
            </w:pPr>
            <w:r w:rsidRPr="00681EC7">
              <w:rPr>
                <w:rFonts w:eastAsia="Calibri"/>
                <w:sz w:val="21"/>
                <w:szCs w:val="21"/>
              </w:rPr>
              <w:t>Risque de non</w:t>
            </w:r>
            <w:r w:rsidRPr="00681EC7">
              <w:rPr>
                <w:rFonts w:eastAsia="Times New Roman"/>
                <w:sz w:val="21"/>
                <w:szCs w:val="21"/>
              </w:rPr>
              <w:t>-respect du rôle des organisations de travailleurs ;</w:t>
            </w:r>
          </w:p>
          <w:p w:rsidR="00681EC7" w:rsidRPr="00681EC7" w:rsidRDefault="00681EC7" w:rsidP="00A76F4A">
            <w:pPr>
              <w:ind w:right="12"/>
              <w:rPr>
                <w:rFonts w:eastAsia="Times New Roman"/>
                <w:sz w:val="21"/>
                <w:szCs w:val="21"/>
              </w:rPr>
            </w:pPr>
            <w:r w:rsidRPr="00681EC7">
              <w:rPr>
                <w:rFonts w:eastAsia="Calibri"/>
                <w:sz w:val="21"/>
                <w:szCs w:val="21"/>
              </w:rPr>
              <w:t xml:space="preserve">Risque d’information </w:t>
            </w:r>
            <w:r w:rsidRPr="00681EC7">
              <w:rPr>
                <w:rFonts w:eastAsia="Times New Roman"/>
                <w:sz w:val="21"/>
                <w:szCs w:val="21"/>
              </w:rPr>
              <w:t>en temps opportun nécessaires à des négociations constructives ;</w:t>
            </w:r>
          </w:p>
          <w:p w:rsidR="00681EC7" w:rsidRPr="00681EC7" w:rsidRDefault="00681EC7" w:rsidP="00A76F4A">
            <w:pPr>
              <w:ind w:right="12"/>
              <w:rPr>
                <w:rFonts w:eastAsia="Times New Roman"/>
                <w:sz w:val="21"/>
                <w:szCs w:val="21"/>
              </w:rPr>
            </w:pPr>
            <w:r w:rsidRPr="00681EC7">
              <w:rPr>
                <w:rFonts w:eastAsia="Calibri"/>
                <w:sz w:val="21"/>
                <w:szCs w:val="21"/>
              </w:rPr>
              <w:t xml:space="preserve">Risque de </w:t>
            </w:r>
            <w:r w:rsidRPr="00681EC7">
              <w:rPr>
                <w:rFonts w:eastAsia="Times New Roman"/>
                <w:sz w:val="21"/>
                <w:szCs w:val="21"/>
              </w:rPr>
              <w:t>discrimination ou mesure en représailles contre les travailleurs du projet qui participent ou souhaitent participer à des organisations de travailleurs et aux négociations collectives ou à d’autres mécanismes</w:t>
            </w:r>
          </w:p>
        </w:tc>
      </w:tr>
      <w:tr w:rsidR="00681EC7" w:rsidRPr="00681EC7" w:rsidTr="006F7932">
        <w:trPr>
          <w:jc w:val="center"/>
        </w:trPr>
        <w:tc>
          <w:tcPr>
            <w:tcW w:w="2269" w:type="dxa"/>
          </w:tcPr>
          <w:p w:rsidR="00681EC7" w:rsidRPr="00681EC7" w:rsidRDefault="00681EC7" w:rsidP="00A76F4A">
            <w:pPr>
              <w:ind w:right="12"/>
              <w:rPr>
                <w:rFonts w:eastAsia="Times New Roman"/>
                <w:sz w:val="21"/>
                <w:szCs w:val="21"/>
              </w:rPr>
            </w:pPr>
            <w:r w:rsidRPr="00681EC7">
              <w:rPr>
                <w:rFonts w:eastAsia="Times New Roman"/>
                <w:sz w:val="21"/>
                <w:szCs w:val="21"/>
              </w:rPr>
              <w:t>Santé et sécurité au travail (SST)</w:t>
            </w:r>
          </w:p>
          <w:p w:rsidR="00681EC7" w:rsidRPr="00681EC7" w:rsidRDefault="00681EC7" w:rsidP="00A76F4A">
            <w:pPr>
              <w:ind w:right="12"/>
              <w:contextualSpacing/>
              <w:rPr>
                <w:rFonts w:eastAsia="Calibri"/>
                <w:sz w:val="21"/>
                <w:szCs w:val="21"/>
              </w:rPr>
            </w:pPr>
          </w:p>
        </w:tc>
        <w:tc>
          <w:tcPr>
            <w:tcW w:w="8080" w:type="dxa"/>
          </w:tcPr>
          <w:p w:rsidR="00681EC7" w:rsidRPr="00681EC7" w:rsidRDefault="00681EC7" w:rsidP="00A76F4A">
            <w:pPr>
              <w:ind w:right="12"/>
              <w:rPr>
                <w:rFonts w:eastAsia="Times New Roman"/>
                <w:sz w:val="21"/>
                <w:szCs w:val="21"/>
              </w:rPr>
            </w:pPr>
            <w:r w:rsidRPr="00681EC7">
              <w:rPr>
                <w:rFonts w:eastAsia="Times New Roman"/>
                <w:sz w:val="21"/>
                <w:szCs w:val="21"/>
              </w:rPr>
              <w:t>Risque de manque d’accompagnement et d’assistance aux travailleurs victimes d’accidents de travail ;</w:t>
            </w:r>
          </w:p>
          <w:p w:rsidR="00681EC7" w:rsidRPr="00681EC7" w:rsidRDefault="00681EC7" w:rsidP="00A76F4A">
            <w:pPr>
              <w:ind w:right="12"/>
              <w:rPr>
                <w:rFonts w:eastAsia="Times New Roman"/>
                <w:sz w:val="21"/>
                <w:szCs w:val="21"/>
              </w:rPr>
            </w:pPr>
            <w:r w:rsidRPr="00681EC7">
              <w:rPr>
                <w:rFonts w:eastAsia="Times New Roman"/>
                <w:sz w:val="21"/>
                <w:szCs w:val="21"/>
              </w:rPr>
              <w:t>Risque de propagation des IST et VIH/SIDA en cas de comportement sexuels risqués ;</w:t>
            </w:r>
          </w:p>
          <w:p w:rsidR="00681EC7" w:rsidRPr="00681EC7" w:rsidRDefault="00681EC7" w:rsidP="00A76F4A">
            <w:pPr>
              <w:ind w:right="12"/>
              <w:rPr>
                <w:rFonts w:eastAsia="Times New Roman"/>
                <w:sz w:val="21"/>
                <w:szCs w:val="21"/>
              </w:rPr>
            </w:pPr>
            <w:r w:rsidRPr="00681EC7">
              <w:rPr>
                <w:rFonts w:eastAsia="Times New Roman"/>
                <w:sz w:val="21"/>
                <w:szCs w:val="21"/>
              </w:rPr>
              <w:t>Risque de propagation de maladies liées au manque de respect des principes d’hygiène ;</w:t>
            </w:r>
          </w:p>
          <w:p w:rsidR="00681EC7" w:rsidRPr="00681EC7" w:rsidRDefault="00681EC7" w:rsidP="00A76F4A">
            <w:pPr>
              <w:ind w:right="12"/>
              <w:rPr>
                <w:rFonts w:eastAsia="Times New Roman"/>
                <w:sz w:val="21"/>
                <w:szCs w:val="21"/>
              </w:rPr>
            </w:pPr>
            <w:r w:rsidRPr="00681EC7">
              <w:rPr>
                <w:rFonts w:eastAsia="Times New Roman"/>
                <w:sz w:val="21"/>
                <w:szCs w:val="21"/>
              </w:rPr>
              <w:t xml:space="preserve">Travailleurs et aux négociations collectives ou à d’autres mécanismes Accidents, maladies, handicaps, décès et autres incidents de travail </w:t>
            </w:r>
          </w:p>
          <w:p w:rsidR="00681EC7" w:rsidRPr="00681EC7" w:rsidRDefault="00681EC7" w:rsidP="00A76F4A">
            <w:pPr>
              <w:ind w:right="12"/>
              <w:rPr>
                <w:rFonts w:eastAsia="Times New Roman"/>
                <w:sz w:val="21"/>
                <w:szCs w:val="21"/>
              </w:rPr>
            </w:pPr>
            <w:r w:rsidRPr="00681EC7">
              <w:rPr>
                <w:rFonts w:eastAsia="Times New Roman"/>
                <w:sz w:val="21"/>
                <w:szCs w:val="21"/>
              </w:rPr>
              <w:t>Risque de propagation de maladies liées au manque de respect des principes d’hygiène (Covid-19 en particulier)</w:t>
            </w:r>
          </w:p>
        </w:tc>
      </w:tr>
      <w:tr w:rsidR="00681EC7" w:rsidRPr="00681EC7" w:rsidTr="006F7932">
        <w:trPr>
          <w:jc w:val="center"/>
        </w:trPr>
        <w:tc>
          <w:tcPr>
            <w:tcW w:w="2269" w:type="dxa"/>
          </w:tcPr>
          <w:p w:rsidR="00681EC7" w:rsidRPr="00681EC7" w:rsidRDefault="00681EC7" w:rsidP="00A76F4A">
            <w:pPr>
              <w:ind w:right="12"/>
              <w:rPr>
                <w:rFonts w:eastAsia="Times New Roman"/>
                <w:sz w:val="21"/>
                <w:szCs w:val="21"/>
              </w:rPr>
            </w:pPr>
            <w:r w:rsidRPr="00681EC7">
              <w:rPr>
                <w:rFonts w:eastAsia="Times New Roman"/>
                <w:sz w:val="21"/>
                <w:szCs w:val="21"/>
              </w:rPr>
              <w:t>Discrimination et inégalité des chances</w:t>
            </w:r>
          </w:p>
          <w:p w:rsidR="00681EC7" w:rsidRPr="00681EC7" w:rsidRDefault="00681EC7" w:rsidP="00A76F4A">
            <w:pPr>
              <w:ind w:right="12"/>
              <w:contextualSpacing/>
              <w:rPr>
                <w:rFonts w:eastAsia="Calibri"/>
                <w:sz w:val="21"/>
                <w:szCs w:val="21"/>
              </w:rPr>
            </w:pPr>
          </w:p>
        </w:tc>
        <w:tc>
          <w:tcPr>
            <w:tcW w:w="8080" w:type="dxa"/>
          </w:tcPr>
          <w:p w:rsidR="00681EC7" w:rsidRPr="00681EC7" w:rsidRDefault="00681EC7" w:rsidP="00A76F4A">
            <w:pPr>
              <w:ind w:right="12"/>
              <w:rPr>
                <w:rFonts w:eastAsia="Times New Roman"/>
                <w:sz w:val="21"/>
                <w:szCs w:val="21"/>
              </w:rPr>
            </w:pPr>
            <w:r w:rsidRPr="00681EC7">
              <w:rPr>
                <w:rFonts w:eastAsia="Times New Roman"/>
                <w:sz w:val="21"/>
                <w:szCs w:val="21"/>
              </w:rPr>
              <w:t>Risque de discrimination en matière de recrutement et de traitement des travailleurs du projet sur la base de caractéristiques personnelles sans rapport avec les besoins inhérents au poste concerné ;</w:t>
            </w:r>
          </w:p>
          <w:p w:rsidR="00681EC7" w:rsidRPr="00681EC7" w:rsidRDefault="00681EC7" w:rsidP="00A76F4A">
            <w:pPr>
              <w:ind w:right="12"/>
              <w:rPr>
                <w:rFonts w:eastAsia="Times New Roman"/>
                <w:sz w:val="21"/>
                <w:szCs w:val="21"/>
              </w:rPr>
            </w:pPr>
            <w:r w:rsidRPr="00681EC7">
              <w:rPr>
                <w:rFonts w:eastAsia="Times New Roman"/>
                <w:sz w:val="21"/>
                <w:szCs w:val="21"/>
              </w:rPr>
              <w:t>Risque de non-respect du principe de l’égalité des chances, du traitement équitable, des mesures de disciplinaires et de l’accès à l’information ;</w:t>
            </w:r>
          </w:p>
          <w:p w:rsidR="00681EC7" w:rsidRPr="00681EC7" w:rsidRDefault="00681EC7" w:rsidP="00A76F4A">
            <w:pPr>
              <w:ind w:right="12"/>
              <w:rPr>
                <w:rFonts w:eastAsia="Times New Roman"/>
                <w:sz w:val="21"/>
                <w:szCs w:val="21"/>
              </w:rPr>
            </w:pPr>
            <w:r w:rsidRPr="00681EC7">
              <w:rPr>
                <w:rFonts w:eastAsia="Times New Roman"/>
                <w:sz w:val="21"/>
                <w:szCs w:val="21"/>
              </w:rPr>
              <w:t>Risque de discrimination à l’égard des personnes vulnérables (femmes, personnes handicapées, travailleurs migrants, et les enfants en âge de travailler) ;</w:t>
            </w:r>
          </w:p>
          <w:p w:rsidR="00681EC7" w:rsidRPr="00681EC7" w:rsidRDefault="00681EC7" w:rsidP="00A76F4A">
            <w:pPr>
              <w:ind w:right="12"/>
              <w:rPr>
                <w:rFonts w:eastAsia="Times New Roman"/>
                <w:sz w:val="21"/>
                <w:szCs w:val="21"/>
              </w:rPr>
            </w:pPr>
            <w:r w:rsidRPr="00681EC7">
              <w:rPr>
                <w:rFonts w:eastAsia="Times New Roman"/>
                <w:sz w:val="21"/>
                <w:szCs w:val="21"/>
              </w:rPr>
              <w:t>Risque de discrimination et Violence Basée sur le Genre (VBG)</w:t>
            </w:r>
          </w:p>
        </w:tc>
      </w:tr>
      <w:tr w:rsidR="00681EC7" w:rsidRPr="00681EC7" w:rsidTr="006F7932">
        <w:trPr>
          <w:jc w:val="center"/>
        </w:trPr>
        <w:tc>
          <w:tcPr>
            <w:tcW w:w="2269" w:type="dxa"/>
          </w:tcPr>
          <w:p w:rsidR="00681EC7" w:rsidRPr="00681EC7" w:rsidRDefault="00681EC7" w:rsidP="00A76F4A">
            <w:pPr>
              <w:ind w:right="12"/>
              <w:rPr>
                <w:rFonts w:eastAsia="Times New Roman"/>
                <w:sz w:val="21"/>
                <w:szCs w:val="21"/>
              </w:rPr>
            </w:pPr>
            <w:r w:rsidRPr="00681EC7">
              <w:rPr>
                <w:rFonts w:eastAsia="Times New Roman"/>
                <w:sz w:val="21"/>
                <w:szCs w:val="21"/>
              </w:rPr>
              <w:t xml:space="preserve">Travail des enfants </w:t>
            </w:r>
          </w:p>
          <w:p w:rsidR="00681EC7" w:rsidRPr="00681EC7" w:rsidRDefault="00681EC7" w:rsidP="00A76F4A">
            <w:pPr>
              <w:ind w:right="12"/>
              <w:contextualSpacing/>
              <w:rPr>
                <w:rFonts w:eastAsia="Calibri"/>
                <w:sz w:val="21"/>
                <w:szCs w:val="21"/>
              </w:rPr>
            </w:pPr>
          </w:p>
        </w:tc>
        <w:tc>
          <w:tcPr>
            <w:tcW w:w="8080" w:type="dxa"/>
          </w:tcPr>
          <w:p w:rsidR="00681EC7" w:rsidRPr="00681EC7" w:rsidRDefault="00681EC7" w:rsidP="00A76F4A">
            <w:pPr>
              <w:ind w:right="12"/>
              <w:rPr>
                <w:rFonts w:eastAsia="Times New Roman"/>
                <w:sz w:val="21"/>
                <w:szCs w:val="21"/>
              </w:rPr>
            </w:pPr>
            <w:r w:rsidRPr="00681EC7">
              <w:rPr>
                <w:rFonts w:eastAsia="Times New Roman"/>
                <w:sz w:val="21"/>
                <w:szCs w:val="21"/>
              </w:rPr>
              <w:t>Risque d’embauchage d’enfants n’ayant pas atteint l’âge minimum prescrit conformément à la règlementation nationale ;</w:t>
            </w:r>
          </w:p>
          <w:p w:rsidR="00681EC7" w:rsidRPr="00681EC7" w:rsidRDefault="00681EC7" w:rsidP="00A76F4A">
            <w:pPr>
              <w:ind w:right="12"/>
              <w:rPr>
                <w:rFonts w:eastAsia="Times New Roman"/>
                <w:sz w:val="21"/>
                <w:szCs w:val="21"/>
              </w:rPr>
            </w:pPr>
            <w:r w:rsidRPr="00681EC7">
              <w:rPr>
                <w:rFonts w:eastAsia="Times New Roman"/>
                <w:sz w:val="21"/>
                <w:szCs w:val="21"/>
              </w:rPr>
              <w:t>Risque des conditions pouvant présenter un danger pour les enfants ayant dépassé l’âge minimum : compromettre leur éducation ou nuire à leur développement physique, mental, spirituel, moral ou social ;</w:t>
            </w:r>
          </w:p>
        </w:tc>
      </w:tr>
      <w:tr w:rsidR="00681EC7" w:rsidRPr="00681EC7" w:rsidTr="006F7932">
        <w:trPr>
          <w:jc w:val="center"/>
        </w:trPr>
        <w:tc>
          <w:tcPr>
            <w:tcW w:w="2269" w:type="dxa"/>
          </w:tcPr>
          <w:p w:rsidR="00681EC7" w:rsidRPr="00681EC7" w:rsidRDefault="00681EC7" w:rsidP="00A76F4A">
            <w:pPr>
              <w:ind w:right="12"/>
              <w:rPr>
                <w:rFonts w:eastAsia="Times New Roman"/>
                <w:sz w:val="21"/>
                <w:szCs w:val="21"/>
              </w:rPr>
            </w:pPr>
            <w:r w:rsidRPr="00681EC7">
              <w:rPr>
                <w:rFonts w:eastAsia="Times New Roman"/>
                <w:sz w:val="21"/>
                <w:szCs w:val="21"/>
              </w:rPr>
              <w:t xml:space="preserve">Travail forcé </w:t>
            </w:r>
          </w:p>
          <w:p w:rsidR="00681EC7" w:rsidRPr="00681EC7" w:rsidRDefault="00681EC7" w:rsidP="00A76F4A">
            <w:pPr>
              <w:ind w:right="12"/>
              <w:contextualSpacing/>
              <w:rPr>
                <w:rFonts w:eastAsia="Calibri"/>
                <w:sz w:val="21"/>
                <w:szCs w:val="21"/>
              </w:rPr>
            </w:pPr>
          </w:p>
        </w:tc>
        <w:tc>
          <w:tcPr>
            <w:tcW w:w="8080" w:type="dxa"/>
          </w:tcPr>
          <w:p w:rsidR="00681EC7" w:rsidRPr="00681EC7" w:rsidRDefault="00681EC7" w:rsidP="00A76F4A">
            <w:pPr>
              <w:ind w:right="12"/>
              <w:rPr>
                <w:rFonts w:eastAsia="Times New Roman"/>
                <w:sz w:val="21"/>
                <w:szCs w:val="21"/>
              </w:rPr>
            </w:pPr>
            <w:r w:rsidRPr="00681EC7">
              <w:rPr>
                <w:rFonts w:eastAsia="Times New Roman"/>
                <w:sz w:val="21"/>
                <w:szCs w:val="21"/>
              </w:rPr>
              <w:t>Risque de service exigé sous la menace d’une peine quelconque et pour lequel le(s) concerné(s) ne s’est (se sont) pas offert(s) de plein gré ;</w:t>
            </w:r>
          </w:p>
          <w:p w:rsidR="00681EC7" w:rsidRPr="00681EC7" w:rsidRDefault="00681EC7" w:rsidP="00A76F4A">
            <w:pPr>
              <w:ind w:right="12"/>
              <w:rPr>
                <w:rFonts w:eastAsia="Times New Roman"/>
                <w:sz w:val="21"/>
                <w:szCs w:val="21"/>
              </w:rPr>
            </w:pPr>
            <w:r w:rsidRPr="00681EC7">
              <w:rPr>
                <w:rFonts w:eastAsia="Times New Roman"/>
                <w:sz w:val="21"/>
                <w:szCs w:val="21"/>
              </w:rPr>
              <w:t>Risque d’emploi de victime de trafic humain ;</w:t>
            </w:r>
          </w:p>
        </w:tc>
      </w:tr>
      <w:tr w:rsidR="00681EC7" w:rsidRPr="00681EC7" w:rsidTr="006F7932">
        <w:trPr>
          <w:jc w:val="center"/>
        </w:trPr>
        <w:tc>
          <w:tcPr>
            <w:tcW w:w="2269" w:type="dxa"/>
          </w:tcPr>
          <w:p w:rsidR="00681EC7" w:rsidRPr="00681EC7" w:rsidRDefault="00681EC7" w:rsidP="00A76F4A">
            <w:pPr>
              <w:ind w:right="12"/>
              <w:rPr>
                <w:rFonts w:eastAsia="Times New Roman"/>
                <w:sz w:val="21"/>
                <w:szCs w:val="21"/>
              </w:rPr>
            </w:pPr>
            <w:r w:rsidRPr="00681EC7">
              <w:rPr>
                <w:rFonts w:eastAsia="Times New Roman"/>
                <w:sz w:val="21"/>
                <w:szCs w:val="21"/>
              </w:rPr>
              <w:t xml:space="preserve">Nature des contrats </w:t>
            </w:r>
          </w:p>
        </w:tc>
        <w:tc>
          <w:tcPr>
            <w:tcW w:w="8080" w:type="dxa"/>
          </w:tcPr>
          <w:p w:rsidR="00681EC7" w:rsidRPr="00681EC7" w:rsidRDefault="00681EC7" w:rsidP="00A76F4A">
            <w:pPr>
              <w:ind w:right="12"/>
              <w:rPr>
                <w:rFonts w:eastAsia="Times New Roman"/>
                <w:sz w:val="21"/>
                <w:szCs w:val="21"/>
              </w:rPr>
            </w:pPr>
            <w:r w:rsidRPr="00681EC7">
              <w:rPr>
                <w:rFonts w:eastAsia="Times New Roman"/>
                <w:sz w:val="21"/>
                <w:szCs w:val="21"/>
              </w:rPr>
              <w:t>Risque de non prise en compte des procédures de gestion de la main-d’œuvre dans le contrat des tiers ;</w:t>
            </w:r>
          </w:p>
          <w:p w:rsidR="00681EC7" w:rsidRPr="00681EC7" w:rsidRDefault="00681EC7" w:rsidP="00A76F4A">
            <w:pPr>
              <w:ind w:right="12"/>
              <w:rPr>
                <w:rFonts w:eastAsia="Times New Roman"/>
                <w:sz w:val="21"/>
                <w:szCs w:val="21"/>
              </w:rPr>
            </w:pPr>
            <w:r w:rsidRPr="00681EC7">
              <w:rPr>
                <w:rFonts w:eastAsia="Times New Roman"/>
                <w:sz w:val="21"/>
                <w:szCs w:val="21"/>
              </w:rPr>
              <w:t>Risque d’inaccessibilité du mécanisme de gestion des plaintes pour les travailleurs contractuels ;</w:t>
            </w:r>
          </w:p>
        </w:tc>
      </w:tr>
    </w:tbl>
    <w:p w:rsidR="00681EC7" w:rsidRPr="00681EC7" w:rsidRDefault="00681EC7" w:rsidP="00A76F4A">
      <w:pPr>
        <w:ind w:right="12"/>
        <w:rPr>
          <w:rFonts w:eastAsia="Calibri"/>
        </w:rPr>
      </w:pPr>
    </w:p>
    <w:p w:rsidR="00681EC7" w:rsidRPr="00480003" w:rsidRDefault="00681EC7" w:rsidP="00A76F4A">
      <w:pPr>
        <w:ind w:left="709" w:right="12"/>
        <w:contextualSpacing/>
        <w:outlineLvl w:val="1"/>
        <w:rPr>
          <w:rFonts w:eastAsia="Times New Roman"/>
          <w:b/>
          <w:bCs/>
          <w:lang w:eastAsia="es-ES"/>
        </w:rPr>
      </w:pPr>
      <w:bookmarkStart w:id="520" w:name="_Toc67508579"/>
      <w:bookmarkStart w:id="521" w:name="_Toc69918767"/>
      <w:bookmarkStart w:id="522" w:name="_Toc73459814"/>
      <w:bookmarkStart w:id="523" w:name="_Toc75432369"/>
      <w:r w:rsidRPr="00480003">
        <w:rPr>
          <w:rFonts w:eastAsia="Times New Roman"/>
          <w:b/>
          <w:bCs/>
          <w:lang w:eastAsia="es-ES"/>
        </w:rPr>
        <w:t xml:space="preserve">BREF TOUR D’HORIZON DE LA LÉGISLATION DU </w:t>
      </w:r>
      <w:r w:rsidR="007B4D24" w:rsidRPr="00480003">
        <w:rPr>
          <w:rFonts w:eastAsia="Times New Roman"/>
          <w:b/>
          <w:bCs/>
          <w:lang w:eastAsia="es-ES"/>
        </w:rPr>
        <w:t>TRAVAIL :</w:t>
      </w:r>
      <w:r w:rsidRPr="00480003">
        <w:rPr>
          <w:rFonts w:eastAsia="Times New Roman"/>
          <w:b/>
          <w:bCs/>
          <w:lang w:eastAsia="es-ES"/>
        </w:rPr>
        <w:t xml:space="preserve"> CONDITIONS GÉNÉRALES</w:t>
      </w:r>
      <w:bookmarkEnd w:id="520"/>
      <w:bookmarkEnd w:id="521"/>
      <w:bookmarkEnd w:id="522"/>
      <w:bookmarkEnd w:id="523"/>
    </w:p>
    <w:p w:rsidR="00252B4C" w:rsidRPr="001F2701" w:rsidRDefault="00252B4C" w:rsidP="00A76F4A">
      <w:pPr>
        <w:ind w:left="709" w:right="12"/>
        <w:contextualSpacing/>
        <w:outlineLvl w:val="1"/>
        <w:rPr>
          <w:rFonts w:eastAsia="Times New Roman"/>
          <w:b/>
          <w:bCs/>
          <w:sz w:val="22"/>
          <w:szCs w:val="22"/>
          <w:lang w:eastAsia="es-ES"/>
        </w:rPr>
      </w:pPr>
    </w:p>
    <w:p w:rsidR="00681EC7" w:rsidRPr="00480003" w:rsidRDefault="00681EC7" w:rsidP="00A76F4A">
      <w:pPr>
        <w:numPr>
          <w:ilvl w:val="0"/>
          <w:numId w:val="161"/>
        </w:numPr>
        <w:ind w:left="851" w:right="12"/>
        <w:contextualSpacing/>
        <w:jc w:val="both"/>
        <w:rPr>
          <w:rFonts w:eastAsia="Times New Roman"/>
          <w:b/>
          <w:color w:val="040404"/>
          <w:shd w:val="clear" w:color="auto" w:fill="FFFFFF"/>
          <w:lang w:eastAsia="es-ES"/>
        </w:rPr>
      </w:pPr>
      <w:r w:rsidRPr="00480003">
        <w:rPr>
          <w:rFonts w:eastAsia="Times New Roman"/>
          <w:b/>
          <w:color w:val="040404"/>
          <w:shd w:val="clear" w:color="auto" w:fill="FFFFFF"/>
          <w:lang w:eastAsia="es-ES"/>
        </w:rPr>
        <w:t xml:space="preserve">Cadre juridique national </w:t>
      </w:r>
    </w:p>
    <w:p w:rsidR="00681EC7" w:rsidRPr="00681EC7" w:rsidRDefault="00681EC7" w:rsidP="00A76F4A">
      <w:pPr>
        <w:spacing w:line="276" w:lineRule="auto"/>
        <w:ind w:left="851" w:right="12"/>
        <w:jc w:val="both"/>
        <w:rPr>
          <w:rFonts w:eastAsia="Calibri"/>
          <w:color w:val="000000"/>
          <w:sz w:val="21"/>
          <w:szCs w:val="21"/>
          <w:lang w:eastAsia="en-US"/>
        </w:rPr>
      </w:pPr>
      <w:r w:rsidRPr="00681EC7">
        <w:rPr>
          <w:rFonts w:eastAsia="Calibri"/>
          <w:color w:val="000000"/>
          <w:sz w:val="21"/>
          <w:szCs w:val="21"/>
          <w:lang w:eastAsia="en-US"/>
        </w:rPr>
        <w:t xml:space="preserve">La Guinée Bissau dispose de quelques lois qui régissent les conditions des travailleurs </w:t>
      </w:r>
    </w:p>
    <w:p w:rsidR="00681EC7" w:rsidRPr="00681EC7" w:rsidRDefault="00681EC7" w:rsidP="00A76F4A">
      <w:pPr>
        <w:ind w:left="560" w:right="12"/>
        <w:rPr>
          <w:rFonts w:eastAsia="Calibri"/>
          <w:color w:val="000000"/>
          <w:sz w:val="21"/>
          <w:szCs w:val="21"/>
          <w:lang w:eastAsia="en-US"/>
        </w:rPr>
      </w:pPr>
      <w:r w:rsidRPr="00681EC7">
        <w:rPr>
          <w:rFonts w:eastAsia="Calibri"/>
          <w:b/>
          <w:sz w:val="22"/>
          <w:szCs w:val="22"/>
        </w:rPr>
        <w:t xml:space="preserve">Loi nº2 / 86 du 5 avril 1986 - Loi générale de travail </w:t>
      </w:r>
    </w:p>
    <w:p w:rsidR="00681EC7" w:rsidRPr="00681EC7" w:rsidRDefault="00681EC7" w:rsidP="00A76F4A">
      <w:pPr>
        <w:ind w:right="12"/>
        <w:rPr>
          <w:rFonts w:eastAsia="Calibri"/>
          <w:color w:val="000000"/>
          <w:sz w:val="21"/>
          <w:szCs w:val="21"/>
          <w:lang w:eastAsia="en-US"/>
        </w:rPr>
      </w:pPr>
    </w:p>
    <w:p w:rsidR="00681EC7" w:rsidRPr="00681EC7" w:rsidRDefault="00681EC7" w:rsidP="00A76F4A">
      <w:pPr>
        <w:numPr>
          <w:ilvl w:val="0"/>
          <w:numId w:val="162"/>
        </w:numPr>
        <w:ind w:left="1560" w:right="12"/>
        <w:contextualSpacing/>
        <w:rPr>
          <w:rFonts w:eastAsia="Calibri"/>
          <w:b/>
          <w:color w:val="000000"/>
          <w:sz w:val="21"/>
          <w:szCs w:val="21"/>
          <w:lang w:eastAsia="en-US"/>
        </w:rPr>
      </w:pPr>
      <w:r w:rsidRPr="00681EC7">
        <w:rPr>
          <w:rFonts w:eastAsia="Calibri"/>
          <w:b/>
          <w:color w:val="000000"/>
          <w:sz w:val="21"/>
          <w:szCs w:val="21"/>
          <w:lang w:eastAsia="en-US"/>
        </w:rPr>
        <w:t>ARTICLE 161</w:t>
      </w:r>
      <w:r w:rsidRPr="00681EC7">
        <w:rPr>
          <w:rFonts w:eastAsia="Calibri"/>
          <w:b/>
          <w:sz w:val="22"/>
          <w:szCs w:val="22"/>
        </w:rPr>
        <w:t xml:space="preserve"> </w:t>
      </w:r>
      <w:r w:rsidRPr="00681EC7">
        <w:rPr>
          <w:rFonts w:eastAsia="Calibri"/>
          <w:b/>
          <w:color w:val="000000"/>
          <w:sz w:val="21"/>
          <w:szCs w:val="21"/>
          <w:lang w:eastAsia="en-US"/>
        </w:rPr>
        <w:t>(Principes généraux)</w:t>
      </w:r>
    </w:p>
    <w:p w:rsidR="00681EC7" w:rsidRPr="00C63300" w:rsidRDefault="00681EC7" w:rsidP="00A76F4A">
      <w:pPr>
        <w:autoSpaceDE w:val="0"/>
        <w:autoSpaceDN w:val="0"/>
        <w:adjustRightInd w:val="0"/>
        <w:ind w:right="12"/>
        <w:jc w:val="both"/>
      </w:pPr>
      <w:r w:rsidRPr="00C63300">
        <w:t>L'employeur est tenu d'organiser et d'effectuer le travail dans des conditions d'hygiène, de sécurité et de protection de la santé des travailleurs. Ces conditions seront établies dans une législation complémentaire, en tenant compte des contraintes et des spécificités des différents secteurs d'activité économique. La législation définira les fonctions et les responsabilités respectives des pouvoirs publics, des employeurs et des travailleurs, conformément à la complémentarité de ces responsabilités.</w:t>
      </w:r>
    </w:p>
    <w:p w:rsidR="00681EC7" w:rsidRPr="00C63300" w:rsidRDefault="00681EC7" w:rsidP="00A76F4A">
      <w:pPr>
        <w:autoSpaceDE w:val="0"/>
        <w:autoSpaceDN w:val="0"/>
        <w:adjustRightInd w:val="0"/>
        <w:ind w:right="12"/>
        <w:jc w:val="both"/>
      </w:pPr>
      <w:r w:rsidRPr="00C63300">
        <w:t xml:space="preserve">L'Etat établit, en fonction des ressources du service national de santé, l'obligation de procéder à des examens médicaux comprenant, en priorité, le travail des mineurs de moins de 18 ans et </w:t>
      </w:r>
      <w:r w:rsidRPr="00C63300">
        <w:lastRenderedPageBreak/>
        <w:t>le travail effectué dans des secteurs d'activité ou des entreprises dont le type d'exploitation est susceptible d'entraîner des risques pour l'intégrité physique ou la santé du travailleur.</w:t>
      </w:r>
    </w:p>
    <w:p w:rsidR="00681EC7" w:rsidRPr="00C63300" w:rsidRDefault="00681EC7" w:rsidP="00A76F4A">
      <w:pPr>
        <w:autoSpaceDE w:val="0"/>
        <w:autoSpaceDN w:val="0"/>
        <w:adjustRightInd w:val="0"/>
        <w:ind w:right="12"/>
        <w:jc w:val="both"/>
      </w:pPr>
      <w:r w:rsidRPr="00C63300">
        <w:t>Tant que la législation prévue au paragraphe 1 n'a pas été promulguée, l'Inspection générale du travail peut, en cas d'imminence de risques graves pour la santé des travailleurs ou en cas de conditions manifestement inadéquates de sécurité et d'hygiène au travail, déterminer que l'employeur adopte les des mesures correctives, en fixant un délai raisonnable à cet effet.</w:t>
      </w:r>
    </w:p>
    <w:p w:rsidR="00681EC7" w:rsidRPr="00C63300" w:rsidRDefault="00681EC7" w:rsidP="00A76F4A">
      <w:pPr>
        <w:autoSpaceDE w:val="0"/>
        <w:autoSpaceDN w:val="0"/>
        <w:adjustRightInd w:val="0"/>
        <w:ind w:right="12"/>
        <w:jc w:val="both"/>
      </w:pPr>
      <w:r w:rsidRPr="00C63300">
        <w:t xml:space="preserve">La détermination de l'Inspection générale du travail sera précédée d'un avis technique, à la demande d'autres organes compétents en la matière. </w:t>
      </w:r>
    </w:p>
    <w:p w:rsidR="00681EC7" w:rsidRPr="00681EC7" w:rsidRDefault="00681EC7" w:rsidP="00A76F4A">
      <w:pPr>
        <w:ind w:right="12"/>
        <w:jc w:val="both"/>
        <w:rPr>
          <w:rFonts w:eastAsia="Calibri"/>
          <w:color w:val="000000"/>
          <w:sz w:val="21"/>
          <w:szCs w:val="21"/>
          <w:lang w:eastAsia="en-US"/>
        </w:rPr>
      </w:pPr>
    </w:p>
    <w:p w:rsidR="00681EC7" w:rsidRPr="00681EC7" w:rsidRDefault="00681EC7" w:rsidP="00A76F4A">
      <w:pPr>
        <w:numPr>
          <w:ilvl w:val="0"/>
          <w:numId w:val="162"/>
        </w:numPr>
        <w:ind w:left="1560" w:right="12"/>
        <w:contextualSpacing/>
        <w:rPr>
          <w:rFonts w:eastAsia="Calibri"/>
          <w:b/>
          <w:color w:val="000000"/>
          <w:sz w:val="21"/>
          <w:szCs w:val="21"/>
          <w:lang w:eastAsia="en-US"/>
        </w:rPr>
      </w:pPr>
      <w:r w:rsidRPr="00681EC7">
        <w:rPr>
          <w:rFonts w:eastAsia="Calibri"/>
          <w:b/>
          <w:color w:val="000000"/>
          <w:sz w:val="21"/>
          <w:szCs w:val="21"/>
          <w:lang w:eastAsia="en-US"/>
        </w:rPr>
        <w:t xml:space="preserve"> ARTICLE 4 (Concept de contrat de travail)</w:t>
      </w:r>
    </w:p>
    <w:p w:rsidR="00681EC7" w:rsidRPr="00C63300" w:rsidRDefault="00681EC7" w:rsidP="00A76F4A">
      <w:pPr>
        <w:autoSpaceDE w:val="0"/>
        <w:autoSpaceDN w:val="0"/>
        <w:adjustRightInd w:val="0"/>
        <w:ind w:right="12"/>
        <w:jc w:val="both"/>
      </w:pPr>
      <w:r w:rsidRPr="00C63300">
        <w:t xml:space="preserve">Un contrat de travail est un contrat par lequel un travailleur est obligé, moyennant rémunération, de confier son activité intellectuelle ou manuelle à un employeur, sous son autorité et sa direction. </w:t>
      </w:r>
    </w:p>
    <w:p w:rsidR="00681EC7" w:rsidRPr="00681EC7" w:rsidRDefault="00681EC7" w:rsidP="00A76F4A">
      <w:pPr>
        <w:ind w:left="-284" w:right="12"/>
        <w:jc w:val="both"/>
        <w:rPr>
          <w:rFonts w:eastAsia="Calibri"/>
          <w:color w:val="000000"/>
          <w:sz w:val="21"/>
          <w:szCs w:val="21"/>
          <w:lang w:eastAsia="en-US"/>
        </w:rPr>
      </w:pPr>
    </w:p>
    <w:p w:rsidR="00681EC7" w:rsidRPr="00681EC7" w:rsidRDefault="00681EC7" w:rsidP="00A76F4A">
      <w:pPr>
        <w:numPr>
          <w:ilvl w:val="0"/>
          <w:numId w:val="162"/>
        </w:numPr>
        <w:ind w:left="1560" w:right="12"/>
        <w:contextualSpacing/>
        <w:rPr>
          <w:rFonts w:eastAsia="Calibri"/>
          <w:b/>
          <w:color w:val="000000"/>
          <w:sz w:val="21"/>
          <w:szCs w:val="21"/>
          <w:lang w:eastAsia="en-US"/>
        </w:rPr>
      </w:pPr>
      <w:r w:rsidRPr="00681EC7">
        <w:rPr>
          <w:rFonts w:eastAsia="Calibri"/>
          <w:b/>
          <w:color w:val="000000"/>
          <w:sz w:val="21"/>
          <w:szCs w:val="21"/>
          <w:lang w:eastAsia="en-US"/>
        </w:rPr>
        <w:t xml:space="preserve"> ARTICLE 7 (Forme du contrat de travail)</w:t>
      </w:r>
    </w:p>
    <w:p w:rsidR="00681EC7" w:rsidRPr="00C63300" w:rsidRDefault="00681EC7" w:rsidP="00A76F4A">
      <w:pPr>
        <w:autoSpaceDE w:val="0"/>
        <w:autoSpaceDN w:val="0"/>
        <w:adjustRightInd w:val="0"/>
        <w:ind w:right="12"/>
        <w:jc w:val="both"/>
      </w:pPr>
      <w:r w:rsidRPr="00C63300">
        <w:t>Les contrats de travail sont soumis à la forme écrite, à l'exception de ceux conclus pour l'exécution de tâches spécifiques d'une durée n'excédant pas trente jours.</w:t>
      </w:r>
    </w:p>
    <w:p w:rsidR="00681EC7" w:rsidRPr="00681EC7" w:rsidRDefault="00681EC7" w:rsidP="00A76F4A">
      <w:pPr>
        <w:ind w:left="-284" w:right="12"/>
        <w:jc w:val="both"/>
        <w:rPr>
          <w:rFonts w:eastAsia="Calibri"/>
          <w:color w:val="000000"/>
          <w:sz w:val="21"/>
          <w:szCs w:val="21"/>
          <w:lang w:eastAsia="en-US"/>
        </w:rPr>
      </w:pPr>
    </w:p>
    <w:p w:rsidR="00681EC7" w:rsidRPr="00681EC7" w:rsidRDefault="00681EC7" w:rsidP="00A76F4A">
      <w:pPr>
        <w:numPr>
          <w:ilvl w:val="0"/>
          <w:numId w:val="162"/>
        </w:numPr>
        <w:ind w:left="1560" w:right="12"/>
        <w:contextualSpacing/>
        <w:rPr>
          <w:rFonts w:eastAsia="Calibri"/>
          <w:b/>
          <w:color w:val="000000"/>
          <w:sz w:val="21"/>
          <w:szCs w:val="21"/>
          <w:lang w:eastAsia="en-US"/>
        </w:rPr>
      </w:pPr>
      <w:r w:rsidRPr="00681EC7">
        <w:rPr>
          <w:rFonts w:eastAsia="Calibri"/>
          <w:b/>
          <w:color w:val="000000"/>
          <w:sz w:val="21"/>
          <w:szCs w:val="21"/>
          <w:lang w:eastAsia="en-US"/>
        </w:rPr>
        <w:t xml:space="preserve"> ARTICLE 9 (Contrat de travail avec et sans terme)</w:t>
      </w:r>
    </w:p>
    <w:p w:rsidR="00681EC7" w:rsidRPr="00C63300" w:rsidRDefault="00681EC7" w:rsidP="00A76F4A">
      <w:pPr>
        <w:autoSpaceDE w:val="0"/>
        <w:autoSpaceDN w:val="0"/>
        <w:adjustRightInd w:val="0"/>
        <w:ind w:right="12"/>
        <w:jc w:val="both"/>
      </w:pPr>
      <w:r w:rsidRPr="00C63300">
        <w:t>Le contrat de travail peut être conclu pour une durée indéterminée ou, pour une durée déterminée.</w:t>
      </w:r>
    </w:p>
    <w:p w:rsidR="00681EC7" w:rsidRPr="00C63300" w:rsidRDefault="00681EC7" w:rsidP="00A76F4A">
      <w:pPr>
        <w:autoSpaceDE w:val="0"/>
        <w:autoSpaceDN w:val="0"/>
        <w:adjustRightInd w:val="0"/>
        <w:ind w:right="12"/>
        <w:jc w:val="both"/>
      </w:pPr>
      <w:r w:rsidRPr="00C63300">
        <w:t>Le contrat de travail à durée indéterminée est celui qui est signé pour être en vigueur pour une durée illimitée.</w:t>
      </w:r>
    </w:p>
    <w:p w:rsidR="00681EC7" w:rsidRPr="00C63300" w:rsidRDefault="00681EC7" w:rsidP="00A76F4A">
      <w:pPr>
        <w:autoSpaceDE w:val="0"/>
        <w:autoSpaceDN w:val="0"/>
        <w:adjustRightInd w:val="0"/>
        <w:ind w:right="12"/>
        <w:jc w:val="both"/>
      </w:pPr>
      <w:r w:rsidRPr="00C63300">
        <w:t>Le contrat de travail à durée déterminée est celui qui est entré en vigueur pour une durée limitée, certaine ou incertaine.</w:t>
      </w:r>
    </w:p>
    <w:p w:rsidR="00681EC7" w:rsidRPr="00681EC7" w:rsidRDefault="00681EC7" w:rsidP="00A76F4A">
      <w:pPr>
        <w:numPr>
          <w:ilvl w:val="0"/>
          <w:numId w:val="162"/>
        </w:numPr>
        <w:ind w:left="1560" w:right="12"/>
        <w:contextualSpacing/>
        <w:rPr>
          <w:rFonts w:eastAsia="Calibri"/>
          <w:b/>
          <w:color w:val="000000"/>
          <w:sz w:val="21"/>
          <w:szCs w:val="21"/>
          <w:lang w:eastAsia="en-US"/>
        </w:rPr>
      </w:pPr>
      <w:r w:rsidRPr="00681EC7">
        <w:rPr>
          <w:rFonts w:eastAsia="Calibri"/>
          <w:b/>
          <w:color w:val="000000"/>
          <w:sz w:val="21"/>
          <w:szCs w:val="21"/>
          <w:lang w:eastAsia="en-US"/>
        </w:rPr>
        <w:t xml:space="preserve"> ARTICLE 28 (Changement de catégorie professionnelle)</w:t>
      </w:r>
    </w:p>
    <w:p w:rsidR="00681EC7" w:rsidRPr="00C63300" w:rsidRDefault="00681EC7" w:rsidP="00A76F4A">
      <w:pPr>
        <w:autoSpaceDE w:val="0"/>
        <w:autoSpaceDN w:val="0"/>
        <w:adjustRightInd w:val="0"/>
        <w:ind w:right="12"/>
        <w:jc w:val="both"/>
      </w:pPr>
      <w:r w:rsidRPr="00C63300">
        <w:t>L'employeur et le salarié peuvent convenir, à tout moment, de lui attribuer une autre catégorie professionnelle inférieure, sans réduction de salaire.</w:t>
      </w:r>
    </w:p>
    <w:p w:rsidR="00681EC7" w:rsidRPr="00C63300" w:rsidRDefault="00681EC7" w:rsidP="00A76F4A">
      <w:pPr>
        <w:autoSpaceDE w:val="0"/>
        <w:autoSpaceDN w:val="0"/>
        <w:adjustRightInd w:val="0"/>
        <w:ind w:right="12"/>
        <w:jc w:val="both"/>
      </w:pPr>
      <w:r w:rsidRPr="00C63300">
        <w:t>L'employeur ne peut attribuer un niveau professionnel auquel le travailleur exerce que dans les cas suivants :</w:t>
      </w:r>
    </w:p>
    <w:p w:rsidR="00681EC7" w:rsidRPr="00681EC7" w:rsidRDefault="00681EC7" w:rsidP="00A76F4A">
      <w:pPr>
        <w:ind w:left="-284" w:right="12"/>
        <w:jc w:val="both"/>
        <w:rPr>
          <w:rFonts w:eastAsia="Calibri"/>
          <w:color w:val="000000"/>
          <w:sz w:val="21"/>
          <w:szCs w:val="21"/>
          <w:lang w:eastAsia="en-US"/>
        </w:rPr>
      </w:pPr>
    </w:p>
    <w:p w:rsidR="00681EC7" w:rsidRPr="00681EC7" w:rsidRDefault="00681EC7" w:rsidP="00A76F4A">
      <w:pPr>
        <w:numPr>
          <w:ilvl w:val="0"/>
          <w:numId w:val="163"/>
        </w:numPr>
        <w:ind w:left="993" w:right="12"/>
        <w:contextualSpacing/>
        <w:jc w:val="both"/>
        <w:rPr>
          <w:rFonts w:eastAsia="Calibri"/>
          <w:color w:val="000000"/>
          <w:sz w:val="21"/>
          <w:szCs w:val="21"/>
          <w:lang w:eastAsia="en-US"/>
        </w:rPr>
      </w:pPr>
      <w:r w:rsidRPr="00681EC7">
        <w:rPr>
          <w:rFonts w:eastAsia="Calibri"/>
          <w:color w:val="000000"/>
          <w:sz w:val="21"/>
          <w:szCs w:val="21"/>
          <w:lang w:eastAsia="en-US"/>
        </w:rPr>
        <w:t>Lorsque le poste est éteint ou pour des raisons de réorganisation de l'entreprise, les conditions d'exercice technique du poste sont sensiblement modifiées, acceptant de rester dans l'entreprise dans une autre catégorie professionnelle qui lui est proposée ;</w:t>
      </w:r>
    </w:p>
    <w:p w:rsidR="00681EC7" w:rsidRPr="00681EC7" w:rsidRDefault="00681EC7" w:rsidP="00A76F4A">
      <w:pPr>
        <w:numPr>
          <w:ilvl w:val="0"/>
          <w:numId w:val="163"/>
        </w:numPr>
        <w:ind w:left="993" w:right="12"/>
        <w:contextualSpacing/>
        <w:jc w:val="both"/>
        <w:rPr>
          <w:rFonts w:eastAsia="Calibri"/>
          <w:color w:val="000000"/>
          <w:sz w:val="21"/>
          <w:szCs w:val="21"/>
          <w:lang w:eastAsia="en-US"/>
        </w:rPr>
      </w:pPr>
      <w:r w:rsidRPr="00681EC7">
        <w:rPr>
          <w:rFonts w:eastAsia="Calibri"/>
          <w:color w:val="000000"/>
          <w:sz w:val="21"/>
          <w:szCs w:val="21"/>
          <w:lang w:eastAsia="en-US"/>
        </w:rPr>
        <w:t>Lorsque, en raison d'un accident du travail ou d'une maladie professionnelle, l'accomplissement des tâches correspondant à la catégorie professionnelle du travailleur devient impraticable et qu'il accepte de rester dans l'entreprise avec une autre catégorie professionnelle qui lui est proposée ;</w:t>
      </w:r>
    </w:p>
    <w:p w:rsidR="00681EC7" w:rsidRDefault="00681EC7" w:rsidP="00A76F4A">
      <w:pPr>
        <w:numPr>
          <w:ilvl w:val="0"/>
          <w:numId w:val="163"/>
        </w:numPr>
        <w:ind w:left="993" w:right="12"/>
        <w:contextualSpacing/>
        <w:jc w:val="both"/>
        <w:rPr>
          <w:rFonts w:eastAsia="Calibri"/>
          <w:color w:val="000000"/>
          <w:sz w:val="21"/>
          <w:szCs w:val="21"/>
          <w:lang w:eastAsia="en-US"/>
        </w:rPr>
      </w:pPr>
      <w:r w:rsidRPr="00681EC7">
        <w:rPr>
          <w:rFonts w:eastAsia="Calibri"/>
          <w:color w:val="000000"/>
          <w:sz w:val="21"/>
          <w:szCs w:val="21"/>
          <w:lang w:eastAsia="en-US"/>
        </w:rPr>
        <w:t>Lorsqu'il s'agit de l'incapacité manifeste du travailleur aux fonctions adaptées et qu'il accepte de rester dans l'entreprise avec une autre catégorie professionnelle qui lui est proposée.</w:t>
      </w:r>
    </w:p>
    <w:p w:rsidR="009A16FC" w:rsidRPr="00681EC7" w:rsidRDefault="009A16FC" w:rsidP="00A76F4A">
      <w:pPr>
        <w:ind w:left="436" w:right="12"/>
        <w:contextualSpacing/>
        <w:jc w:val="both"/>
        <w:rPr>
          <w:rFonts w:eastAsia="Calibri"/>
          <w:color w:val="000000"/>
          <w:sz w:val="21"/>
          <w:szCs w:val="21"/>
          <w:lang w:eastAsia="en-US"/>
        </w:rPr>
      </w:pPr>
    </w:p>
    <w:p w:rsidR="00D9290D" w:rsidRPr="009A16FC" w:rsidRDefault="00D9290D" w:rsidP="00A76F4A">
      <w:pPr>
        <w:numPr>
          <w:ilvl w:val="0"/>
          <w:numId w:val="162"/>
        </w:numPr>
        <w:ind w:left="1560" w:right="12"/>
        <w:contextualSpacing/>
        <w:rPr>
          <w:rFonts w:eastAsia="Calibri"/>
          <w:b/>
          <w:color w:val="000000"/>
          <w:sz w:val="21"/>
          <w:szCs w:val="21"/>
          <w:lang w:eastAsia="en-US"/>
        </w:rPr>
      </w:pPr>
      <w:r w:rsidRPr="009A16FC">
        <w:rPr>
          <w:rFonts w:eastAsia="Calibri"/>
          <w:b/>
          <w:color w:val="000000"/>
          <w:sz w:val="21"/>
          <w:szCs w:val="21"/>
          <w:lang w:eastAsia="en-US"/>
        </w:rPr>
        <w:t>ARTICLE 29 : Transfert de travailleurs vers une autre localité</w:t>
      </w:r>
    </w:p>
    <w:p w:rsidR="00D9290D" w:rsidRPr="009A16FC" w:rsidRDefault="00D9290D" w:rsidP="00A76F4A">
      <w:pPr>
        <w:numPr>
          <w:ilvl w:val="0"/>
          <w:numId w:val="163"/>
        </w:numPr>
        <w:ind w:left="993" w:right="12"/>
        <w:contextualSpacing/>
        <w:jc w:val="both"/>
        <w:rPr>
          <w:rFonts w:eastAsia="Calibri"/>
          <w:color w:val="000000"/>
          <w:sz w:val="21"/>
          <w:szCs w:val="21"/>
          <w:lang w:eastAsia="en-US"/>
        </w:rPr>
      </w:pPr>
      <w:r w:rsidRPr="009A16FC">
        <w:rPr>
          <w:rFonts w:eastAsia="Calibri"/>
          <w:color w:val="000000"/>
          <w:sz w:val="21"/>
          <w:szCs w:val="21"/>
          <w:lang w:eastAsia="en-US"/>
        </w:rPr>
        <w:t>L’employeur ne peut pas, sans l’accord du travailleur, déplacer son lieu de travail à un autre endroit et, à moins qu’il n’y ait un transfert total ou partiel de l’entreprise où il fournit le service</w:t>
      </w:r>
    </w:p>
    <w:p w:rsidR="00D9290D" w:rsidRPr="009A16FC" w:rsidRDefault="00D9290D" w:rsidP="00A76F4A">
      <w:pPr>
        <w:numPr>
          <w:ilvl w:val="0"/>
          <w:numId w:val="163"/>
        </w:numPr>
        <w:ind w:left="993" w:right="12"/>
        <w:contextualSpacing/>
        <w:jc w:val="both"/>
        <w:rPr>
          <w:rFonts w:eastAsia="Calibri"/>
          <w:color w:val="000000"/>
          <w:sz w:val="21"/>
          <w:szCs w:val="21"/>
          <w:lang w:eastAsia="en-US"/>
        </w:rPr>
      </w:pPr>
      <w:r w:rsidRPr="009A16FC">
        <w:rPr>
          <w:rFonts w:eastAsia="Calibri"/>
          <w:color w:val="000000"/>
          <w:sz w:val="21"/>
          <w:szCs w:val="21"/>
          <w:lang w:eastAsia="en-US"/>
        </w:rPr>
        <w:t>Le changement de lieu de travail implique le paiement au travailleur des frais de transport et autres directement imposés par le transfert.</w:t>
      </w:r>
    </w:p>
    <w:p w:rsidR="00D9290D" w:rsidRDefault="00D9290D" w:rsidP="00A76F4A">
      <w:pPr>
        <w:numPr>
          <w:ilvl w:val="0"/>
          <w:numId w:val="163"/>
        </w:numPr>
        <w:ind w:left="993" w:right="12"/>
        <w:contextualSpacing/>
        <w:jc w:val="both"/>
        <w:rPr>
          <w:rFonts w:eastAsia="Calibri"/>
          <w:color w:val="000000"/>
          <w:sz w:val="21"/>
          <w:szCs w:val="21"/>
          <w:lang w:eastAsia="en-US"/>
        </w:rPr>
      </w:pPr>
      <w:r w:rsidRPr="009A16FC">
        <w:rPr>
          <w:rFonts w:eastAsia="Calibri"/>
          <w:color w:val="000000"/>
          <w:sz w:val="21"/>
          <w:szCs w:val="21"/>
          <w:lang w:eastAsia="en-US"/>
        </w:rPr>
        <w:t>Dans le cas de la dernière partie du paragraphe 1, le travailleur peut résilier le contrat de travail et avoir droit à une indemnisation prévue dans l’article 129 (3)</w:t>
      </w:r>
    </w:p>
    <w:p w:rsidR="00CF7284" w:rsidRPr="009A16FC" w:rsidRDefault="00CF7284" w:rsidP="00A76F4A">
      <w:pPr>
        <w:ind w:left="436" w:right="12"/>
        <w:contextualSpacing/>
        <w:jc w:val="both"/>
        <w:rPr>
          <w:rFonts w:eastAsia="Calibri"/>
          <w:color w:val="000000"/>
          <w:sz w:val="21"/>
          <w:szCs w:val="21"/>
          <w:lang w:eastAsia="en-US"/>
        </w:rPr>
      </w:pPr>
    </w:p>
    <w:p w:rsidR="006062C5" w:rsidRPr="006062C5" w:rsidRDefault="006062C5" w:rsidP="00A76F4A">
      <w:pPr>
        <w:numPr>
          <w:ilvl w:val="0"/>
          <w:numId w:val="162"/>
        </w:numPr>
        <w:ind w:left="1560" w:right="12"/>
        <w:contextualSpacing/>
        <w:rPr>
          <w:rFonts w:eastAsia="Calibri"/>
          <w:b/>
          <w:color w:val="000000"/>
          <w:sz w:val="21"/>
          <w:szCs w:val="21"/>
          <w:lang w:eastAsia="en-US"/>
        </w:rPr>
      </w:pPr>
      <w:r w:rsidRPr="006062C5">
        <w:rPr>
          <w:rFonts w:eastAsia="Calibri"/>
          <w:b/>
          <w:color w:val="000000"/>
          <w:sz w:val="21"/>
          <w:szCs w:val="21"/>
          <w:lang w:eastAsia="en-US"/>
        </w:rPr>
        <w:t>ARTICLE 47 : Heures de travail</w:t>
      </w:r>
    </w:p>
    <w:p w:rsidR="006062C5" w:rsidRPr="006062C5" w:rsidRDefault="006062C5" w:rsidP="00A76F4A">
      <w:pPr>
        <w:numPr>
          <w:ilvl w:val="0"/>
          <w:numId w:val="163"/>
        </w:numPr>
        <w:ind w:left="993" w:right="12"/>
        <w:contextualSpacing/>
        <w:jc w:val="both"/>
        <w:rPr>
          <w:rFonts w:eastAsia="Calibri"/>
          <w:color w:val="000000"/>
          <w:sz w:val="21"/>
          <w:szCs w:val="21"/>
          <w:lang w:eastAsia="en-US"/>
        </w:rPr>
      </w:pPr>
      <w:r w:rsidRPr="006062C5">
        <w:rPr>
          <w:rFonts w:eastAsia="Calibri"/>
          <w:color w:val="000000"/>
          <w:sz w:val="21"/>
          <w:szCs w:val="21"/>
          <w:lang w:eastAsia="en-US"/>
        </w:rPr>
        <w:t>Comprendre par horaire de travail la détermination des heures de début et de fin de la période de travail quotidienne normale, ainsi que les pauses.</w:t>
      </w:r>
    </w:p>
    <w:p w:rsidR="006062C5" w:rsidRPr="006062C5" w:rsidRDefault="006062C5" w:rsidP="00A76F4A">
      <w:pPr>
        <w:numPr>
          <w:ilvl w:val="0"/>
          <w:numId w:val="163"/>
        </w:numPr>
        <w:ind w:left="993" w:right="12"/>
        <w:contextualSpacing/>
        <w:jc w:val="both"/>
        <w:rPr>
          <w:rFonts w:eastAsia="Calibri"/>
          <w:color w:val="000000"/>
          <w:sz w:val="21"/>
          <w:szCs w:val="21"/>
          <w:lang w:eastAsia="en-US"/>
        </w:rPr>
      </w:pPr>
      <w:r w:rsidRPr="006062C5">
        <w:rPr>
          <w:rFonts w:eastAsia="Calibri"/>
          <w:color w:val="000000"/>
          <w:sz w:val="21"/>
          <w:szCs w:val="21"/>
          <w:lang w:eastAsia="en-US"/>
        </w:rPr>
        <w:t>Les travailleurs doivent occuper leurs postes de travail au début de la période normale de travail et ne doivent considérer que le travail terminé à l'heure fixée pour sa cessation.</w:t>
      </w:r>
    </w:p>
    <w:p w:rsidR="006062C5" w:rsidRDefault="006062C5" w:rsidP="00A76F4A">
      <w:pPr>
        <w:numPr>
          <w:ilvl w:val="0"/>
          <w:numId w:val="163"/>
        </w:numPr>
        <w:ind w:left="993" w:right="12"/>
        <w:contextualSpacing/>
        <w:jc w:val="both"/>
        <w:rPr>
          <w:rFonts w:eastAsia="Calibri"/>
          <w:color w:val="000000"/>
          <w:sz w:val="21"/>
          <w:szCs w:val="21"/>
          <w:lang w:eastAsia="en-US"/>
        </w:rPr>
      </w:pPr>
      <w:r w:rsidRPr="006062C5">
        <w:rPr>
          <w:rFonts w:eastAsia="Calibri"/>
          <w:color w:val="000000"/>
          <w:sz w:val="21"/>
          <w:szCs w:val="21"/>
          <w:lang w:eastAsia="en-US"/>
        </w:rPr>
        <w:lastRenderedPageBreak/>
        <w:t>Il doit y avoir une tolérance de de quinze minutes pour les transactions, les opérations et les services commencés et non terminés dans de la période normale de travail quotidien, mais cette tolérance n’est pas autorisée à devenir une pratique courante.</w:t>
      </w:r>
    </w:p>
    <w:p w:rsidR="004A4E2F" w:rsidRPr="006062C5" w:rsidRDefault="004A4E2F" w:rsidP="00A76F4A">
      <w:pPr>
        <w:ind w:left="436" w:right="12"/>
        <w:contextualSpacing/>
        <w:jc w:val="both"/>
        <w:rPr>
          <w:rFonts w:eastAsia="Calibri"/>
          <w:color w:val="000000"/>
          <w:sz w:val="21"/>
          <w:szCs w:val="21"/>
          <w:lang w:eastAsia="en-US"/>
        </w:rPr>
      </w:pPr>
    </w:p>
    <w:p w:rsidR="004A4E2F" w:rsidRPr="004A4E2F" w:rsidRDefault="004A4E2F" w:rsidP="00A76F4A">
      <w:pPr>
        <w:numPr>
          <w:ilvl w:val="0"/>
          <w:numId w:val="162"/>
        </w:numPr>
        <w:ind w:left="1560" w:right="12"/>
        <w:contextualSpacing/>
        <w:rPr>
          <w:rFonts w:eastAsia="Calibri"/>
          <w:b/>
          <w:color w:val="000000"/>
          <w:sz w:val="21"/>
          <w:szCs w:val="21"/>
          <w:lang w:eastAsia="en-US"/>
        </w:rPr>
      </w:pPr>
      <w:r w:rsidRPr="004A4E2F">
        <w:rPr>
          <w:rFonts w:eastAsia="Calibri"/>
          <w:b/>
          <w:color w:val="000000"/>
          <w:sz w:val="21"/>
          <w:szCs w:val="21"/>
          <w:lang w:eastAsia="en-US"/>
        </w:rPr>
        <w:t xml:space="preserve">ARTICLE 155 : </w:t>
      </w:r>
      <w:r w:rsidR="007667BC" w:rsidRPr="007667BC">
        <w:rPr>
          <w:rFonts w:eastAsia="Calibri"/>
          <w:b/>
          <w:color w:val="000000"/>
          <w:sz w:val="21"/>
          <w:szCs w:val="21"/>
          <w:lang w:eastAsia="en-US"/>
        </w:rPr>
        <w:t>TRAVAIL DES FEMMES</w:t>
      </w:r>
    </w:p>
    <w:p w:rsidR="004A4E2F" w:rsidRPr="004A4E2F" w:rsidRDefault="004A4E2F" w:rsidP="00A76F4A">
      <w:pPr>
        <w:numPr>
          <w:ilvl w:val="0"/>
          <w:numId w:val="163"/>
        </w:numPr>
        <w:ind w:left="993" w:right="12"/>
        <w:contextualSpacing/>
        <w:jc w:val="both"/>
        <w:rPr>
          <w:rFonts w:eastAsia="Calibri"/>
          <w:color w:val="000000"/>
          <w:sz w:val="21"/>
          <w:szCs w:val="21"/>
          <w:lang w:eastAsia="en-US"/>
        </w:rPr>
      </w:pPr>
      <w:r w:rsidRPr="004A4E2F">
        <w:rPr>
          <w:rFonts w:eastAsia="Calibri"/>
          <w:color w:val="000000"/>
          <w:sz w:val="21"/>
          <w:szCs w:val="21"/>
          <w:lang w:eastAsia="en-US"/>
        </w:rPr>
        <w:t>Garantir l'égalité des femmes et des hommes en matière de chances et de traitement en matière d'emploi et de travail</w:t>
      </w:r>
    </w:p>
    <w:p w:rsidR="004A4E2F" w:rsidRPr="004A4E2F" w:rsidRDefault="004A4E2F" w:rsidP="00A76F4A">
      <w:pPr>
        <w:numPr>
          <w:ilvl w:val="0"/>
          <w:numId w:val="163"/>
        </w:numPr>
        <w:ind w:left="993" w:right="12"/>
        <w:contextualSpacing/>
        <w:jc w:val="both"/>
        <w:rPr>
          <w:rFonts w:eastAsia="Calibri"/>
          <w:color w:val="000000"/>
          <w:sz w:val="21"/>
          <w:szCs w:val="21"/>
          <w:lang w:eastAsia="en-US"/>
        </w:rPr>
      </w:pPr>
      <w:r w:rsidRPr="004A4E2F">
        <w:rPr>
          <w:rFonts w:eastAsia="Calibri"/>
          <w:color w:val="000000"/>
          <w:sz w:val="21"/>
          <w:szCs w:val="21"/>
          <w:lang w:eastAsia="en-US"/>
        </w:rPr>
        <w:t>L’égalité implique l’absence de toute discrimination fondée sur le sexe, qu’elle soit directe ou indirecte, notamment par référence au statut civil ou à une situation familiale.</w:t>
      </w:r>
    </w:p>
    <w:p w:rsidR="004A4E2F" w:rsidRPr="004A4E2F" w:rsidRDefault="004A4E2F" w:rsidP="00A76F4A">
      <w:pPr>
        <w:numPr>
          <w:ilvl w:val="0"/>
          <w:numId w:val="163"/>
        </w:numPr>
        <w:ind w:left="993" w:right="12"/>
        <w:contextualSpacing/>
        <w:jc w:val="both"/>
        <w:rPr>
          <w:rFonts w:eastAsia="Calibri"/>
          <w:color w:val="000000"/>
          <w:sz w:val="21"/>
          <w:szCs w:val="21"/>
          <w:lang w:eastAsia="en-US"/>
        </w:rPr>
      </w:pPr>
      <w:r w:rsidRPr="004A4E2F">
        <w:rPr>
          <w:rFonts w:eastAsia="Calibri"/>
          <w:color w:val="000000"/>
          <w:sz w:val="21"/>
          <w:szCs w:val="21"/>
          <w:lang w:eastAsia="en-US"/>
        </w:rPr>
        <w:t>Les femmes ont un accès garanti à tout emploi, profession ou emploi n’impliquant pas de risques réels ou potentiels pour la fonction génétique.</w:t>
      </w:r>
    </w:p>
    <w:p w:rsidR="004A4E2F" w:rsidRDefault="004A4E2F" w:rsidP="00A76F4A">
      <w:pPr>
        <w:numPr>
          <w:ilvl w:val="0"/>
          <w:numId w:val="163"/>
        </w:numPr>
        <w:ind w:left="993" w:right="12"/>
        <w:contextualSpacing/>
        <w:jc w:val="both"/>
        <w:rPr>
          <w:rFonts w:eastAsia="Calibri"/>
          <w:color w:val="000000"/>
          <w:sz w:val="21"/>
          <w:szCs w:val="21"/>
          <w:lang w:eastAsia="en-US"/>
        </w:rPr>
      </w:pPr>
      <w:r w:rsidRPr="004A4E2F">
        <w:rPr>
          <w:rFonts w:eastAsia="Calibri"/>
          <w:color w:val="000000"/>
          <w:sz w:val="21"/>
          <w:szCs w:val="21"/>
          <w:lang w:eastAsia="en-US"/>
        </w:rPr>
        <w:t>Une législation complémentaire établira les conditions ou interdictions d’embaucher des femmes pour des travaux lourds, des travaux exécutés dans des conditions insalubres ou des travaux souterrains, ou d’autres qui sont nuisibles à la fonction génétique d’une femme.</w:t>
      </w:r>
    </w:p>
    <w:p w:rsidR="00B26B18" w:rsidRPr="004A4E2F" w:rsidRDefault="00B26B18" w:rsidP="00A76F4A">
      <w:pPr>
        <w:ind w:left="993" w:right="12"/>
        <w:contextualSpacing/>
        <w:jc w:val="both"/>
        <w:rPr>
          <w:rFonts w:eastAsia="Calibri"/>
          <w:color w:val="000000"/>
          <w:sz w:val="21"/>
          <w:szCs w:val="21"/>
          <w:lang w:eastAsia="en-US"/>
        </w:rPr>
      </w:pPr>
    </w:p>
    <w:p w:rsidR="007667BC" w:rsidRPr="007667BC" w:rsidRDefault="007667BC" w:rsidP="00A76F4A">
      <w:pPr>
        <w:numPr>
          <w:ilvl w:val="0"/>
          <w:numId w:val="162"/>
        </w:numPr>
        <w:ind w:left="1560" w:right="12"/>
        <w:contextualSpacing/>
        <w:rPr>
          <w:rFonts w:eastAsia="Calibri"/>
          <w:b/>
          <w:color w:val="000000"/>
          <w:sz w:val="21"/>
          <w:szCs w:val="21"/>
          <w:lang w:eastAsia="en-US"/>
        </w:rPr>
      </w:pPr>
      <w:r w:rsidRPr="007667BC">
        <w:rPr>
          <w:rFonts w:eastAsia="Calibri"/>
          <w:b/>
          <w:color w:val="000000"/>
          <w:sz w:val="21"/>
          <w:szCs w:val="21"/>
          <w:lang w:eastAsia="en-US"/>
        </w:rPr>
        <w:t xml:space="preserve">ARTICLE 98 : Rémunération du travail exceptionnel </w:t>
      </w:r>
    </w:p>
    <w:p w:rsidR="007667BC" w:rsidRPr="007667BC" w:rsidRDefault="007667BC" w:rsidP="00A76F4A">
      <w:pPr>
        <w:numPr>
          <w:ilvl w:val="0"/>
          <w:numId w:val="163"/>
        </w:numPr>
        <w:ind w:left="993" w:right="12"/>
        <w:contextualSpacing/>
        <w:jc w:val="both"/>
        <w:rPr>
          <w:rFonts w:eastAsia="Calibri"/>
          <w:color w:val="000000"/>
          <w:sz w:val="21"/>
          <w:szCs w:val="21"/>
          <w:lang w:eastAsia="en-US"/>
        </w:rPr>
      </w:pPr>
      <w:r w:rsidRPr="007667BC">
        <w:rPr>
          <w:rFonts w:eastAsia="Calibri"/>
          <w:color w:val="000000"/>
          <w:sz w:val="21"/>
          <w:szCs w:val="21"/>
          <w:lang w:eastAsia="en-US"/>
        </w:rPr>
        <w:t>La rémunération du travail exceptionnel n’est pas considérée comme une rémunération à moins qu’elle ne soit fournie régulièrement.</w:t>
      </w:r>
    </w:p>
    <w:p w:rsidR="007667BC" w:rsidRPr="007667BC" w:rsidRDefault="007667BC" w:rsidP="00A76F4A">
      <w:pPr>
        <w:numPr>
          <w:ilvl w:val="0"/>
          <w:numId w:val="163"/>
        </w:numPr>
        <w:ind w:left="993" w:right="12"/>
        <w:contextualSpacing/>
        <w:jc w:val="both"/>
        <w:rPr>
          <w:rFonts w:eastAsia="Calibri"/>
          <w:color w:val="000000"/>
          <w:sz w:val="21"/>
          <w:szCs w:val="21"/>
          <w:lang w:eastAsia="en-US"/>
        </w:rPr>
      </w:pPr>
      <w:r w:rsidRPr="007667BC">
        <w:rPr>
          <w:rFonts w:eastAsia="Calibri"/>
          <w:color w:val="000000"/>
          <w:sz w:val="21"/>
          <w:szCs w:val="21"/>
          <w:lang w:eastAsia="en-US"/>
        </w:rPr>
        <w:t>On entend par travail exceptionnel le travail supplémentaire, le travail effectué les jours de repos hebdomadaires ou les jours fériés et le travail de nuit occasionnel.</w:t>
      </w:r>
    </w:p>
    <w:p w:rsidR="00681EC7" w:rsidRPr="00681EC7" w:rsidRDefault="00681EC7" w:rsidP="00A76F4A">
      <w:pPr>
        <w:ind w:right="12"/>
        <w:rPr>
          <w:rFonts w:eastAsia="Calibri"/>
        </w:rPr>
      </w:pPr>
    </w:p>
    <w:p w:rsidR="00681EC7" w:rsidRPr="00480003" w:rsidRDefault="00681EC7" w:rsidP="00480003">
      <w:pPr>
        <w:numPr>
          <w:ilvl w:val="0"/>
          <w:numId w:val="162"/>
        </w:numPr>
        <w:ind w:left="142" w:right="12" w:firstLine="0"/>
        <w:contextualSpacing/>
        <w:rPr>
          <w:rFonts w:eastAsia="Calibri"/>
          <w:b/>
          <w:color w:val="000000"/>
          <w:lang w:eastAsia="en-US"/>
        </w:rPr>
      </w:pPr>
      <w:r w:rsidRPr="00480003">
        <w:rPr>
          <w:rFonts w:eastAsia="Calibri"/>
          <w:b/>
          <w:color w:val="000000"/>
          <w:lang w:eastAsia="en-US"/>
        </w:rPr>
        <w:t xml:space="preserve">Norme environnementale et sociale N°2 ‘’Main-d’œuvre et conditions de travail’’ et le cadre juridique National. </w:t>
      </w:r>
    </w:p>
    <w:p w:rsidR="00681EC7" w:rsidRPr="00C63300" w:rsidRDefault="00681EC7" w:rsidP="00A76F4A">
      <w:pPr>
        <w:autoSpaceDE w:val="0"/>
        <w:autoSpaceDN w:val="0"/>
        <w:adjustRightInd w:val="0"/>
        <w:ind w:right="12"/>
        <w:jc w:val="both"/>
      </w:pPr>
      <w:r w:rsidRPr="00C63300">
        <w:t xml:space="preserve">La NES n°2 de la Banque Mondiale et le cadre national sont concordants sur les conditions de travail et d’emploi (la rémunération et salaires, les congés), les mesures de protection des catégories vulnérables de travailleurs, le travail des enfants et l’âge minium des travailleurs, le caractère du mécanisme de la gestion des plaintes et autres moyens de recours, la santé et sécurité du travail tels que sa mise en œuvre, les cantines et installations sanitaires, les zones de repos, les services d’hébergement, la collaboration des employeurs en matière de SST et le système d’examen de SST. </w:t>
      </w:r>
    </w:p>
    <w:p w:rsidR="00681EC7" w:rsidRPr="00C63300" w:rsidRDefault="00681EC7" w:rsidP="00A76F4A">
      <w:pPr>
        <w:autoSpaceDE w:val="0"/>
        <w:autoSpaceDN w:val="0"/>
        <w:adjustRightInd w:val="0"/>
        <w:ind w:right="12"/>
        <w:jc w:val="both"/>
      </w:pPr>
    </w:p>
    <w:p w:rsidR="00681EC7" w:rsidRPr="00C63300" w:rsidRDefault="00681EC7" w:rsidP="00A76F4A">
      <w:pPr>
        <w:autoSpaceDE w:val="0"/>
        <w:autoSpaceDN w:val="0"/>
        <w:adjustRightInd w:val="0"/>
        <w:ind w:right="12"/>
        <w:jc w:val="both"/>
      </w:pPr>
      <w:r w:rsidRPr="00C63300">
        <w:t xml:space="preserve">La NES n°2 et le cadre national se complètent sur la protection de toutes les catégories de travailleurs régis ou non par la loi, les conditions de travail et gestion de la relation de travail surtout l’élaboration de procédure de gestion de ressources humaines, les informations et documents sur les conditions de l’emploi qui sont plus explicites et personnelles pour le NES 2, l’information sur les indemnisations de départ lors d’un licenciement ou fin de la relation de travail, l’application des principes de non- discrimination – d’égalité des chance dans les relations de travail et la lutte contre le harcèlement. </w:t>
      </w:r>
    </w:p>
    <w:p w:rsidR="00681EC7" w:rsidRPr="00681EC7" w:rsidRDefault="00681EC7" w:rsidP="00A76F4A">
      <w:pPr>
        <w:ind w:left="-142" w:right="12"/>
        <w:rPr>
          <w:rFonts w:eastAsia="Calibri"/>
        </w:rPr>
      </w:pPr>
    </w:p>
    <w:p w:rsidR="00681EC7" w:rsidRPr="00010FC2" w:rsidRDefault="00681EC7" w:rsidP="00010FC2">
      <w:pPr>
        <w:ind w:right="12"/>
        <w:contextualSpacing/>
        <w:outlineLvl w:val="1"/>
        <w:rPr>
          <w:rFonts w:eastAsia="Times New Roman"/>
          <w:b/>
          <w:bCs/>
          <w:lang w:eastAsia="es-ES"/>
        </w:rPr>
      </w:pPr>
      <w:bookmarkStart w:id="524" w:name="_Toc67508580"/>
      <w:bookmarkStart w:id="525" w:name="_Toc69918768"/>
      <w:bookmarkStart w:id="526" w:name="_Toc73459815"/>
      <w:bookmarkStart w:id="527" w:name="_Toc75432370"/>
      <w:r w:rsidRPr="00010FC2">
        <w:rPr>
          <w:rFonts w:eastAsia="Times New Roman"/>
          <w:b/>
          <w:bCs/>
          <w:lang w:eastAsia="es-ES"/>
        </w:rPr>
        <w:t>PERSONNEL RESPONSABLE</w:t>
      </w:r>
      <w:bookmarkEnd w:id="524"/>
      <w:bookmarkEnd w:id="525"/>
      <w:bookmarkEnd w:id="526"/>
      <w:bookmarkEnd w:id="527"/>
    </w:p>
    <w:p w:rsidR="00681EC7" w:rsidRDefault="00681EC7" w:rsidP="00A76F4A">
      <w:pPr>
        <w:autoSpaceDE w:val="0"/>
        <w:autoSpaceDN w:val="0"/>
        <w:adjustRightInd w:val="0"/>
        <w:ind w:right="12"/>
        <w:jc w:val="both"/>
      </w:pPr>
      <w:r w:rsidRPr="00C63300">
        <w:t xml:space="preserve">Le tableau ci-après montre à quelles fonctions et/ou personnes correspondent certaines responsabilités clés dans le cadre du projet. </w:t>
      </w:r>
    </w:p>
    <w:p w:rsidR="00010FC2" w:rsidRPr="00C63300" w:rsidRDefault="00010FC2" w:rsidP="00A76F4A">
      <w:pPr>
        <w:autoSpaceDE w:val="0"/>
        <w:autoSpaceDN w:val="0"/>
        <w:adjustRightInd w:val="0"/>
        <w:ind w:right="12"/>
        <w:jc w:val="both"/>
      </w:pPr>
    </w:p>
    <w:p w:rsidR="00681EC7" w:rsidRPr="00681EC7" w:rsidRDefault="00010FC2" w:rsidP="00010FC2">
      <w:pPr>
        <w:ind w:left="-142" w:right="12"/>
        <w:jc w:val="both"/>
        <w:rPr>
          <w:rFonts w:eastAsia="Calibri"/>
          <w:color w:val="000000"/>
          <w:sz w:val="21"/>
          <w:szCs w:val="21"/>
          <w:lang w:eastAsia="en-US"/>
        </w:rPr>
      </w:pPr>
      <w:r>
        <w:rPr>
          <w:rFonts w:eastAsia="Calibri"/>
          <w:color w:val="000000"/>
          <w:sz w:val="21"/>
          <w:szCs w:val="21"/>
          <w:lang w:eastAsia="en-US"/>
        </w:rPr>
        <w:t>Tableau ;</w:t>
      </w:r>
      <w:r w:rsidR="00681EC7" w:rsidRPr="00681EC7">
        <w:rPr>
          <w:rFonts w:eastAsia="Calibri"/>
          <w:color w:val="000000"/>
          <w:sz w:val="21"/>
          <w:szCs w:val="21"/>
          <w:lang w:eastAsia="en-US"/>
        </w:rPr>
        <w:t xml:space="preserve"> Personnel responsable du projet </w:t>
      </w:r>
    </w:p>
    <w:tbl>
      <w:tblPr>
        <w:tblStyle w:val="Grilledutableau2"/>
        <w:tblW w:w="9919" w:type="dxa"/>
        <w:jc w:val="center"/>
        <w:tblLook w:val="04A0" w:firstRow="1" w:lastRow="0" w:firstColumn="1" w:lastColumn="0" w:noHBand="0" w:noVBand="1"/>
      </w:tblPr>
      <w:tblGrid>
        <w:gridCol w:w="2831"/>
        <w:gridCol w:w="7088"/>
      </w:tblGrid>
      <w:tr w:rsidR="00681EC7" w:rsidRPr="00681EC7" w:rsidTr="001550EE">
        <w:trPr>
          <w:jc w:val="center"/>
        </w:trPr>
        <w:tc>
          <w:tcPr>
            <w:tcW w:w="9919" w:type="dxa"/>
            <w:gridSpan w:val="2"/>
          </w:tcPr>
          <w:p w:rsidR="00681EC7" w:rsidRPr="00681EC7" w:rsidRDefault="00681EC7" w:rsidP="00A76F4A">
            <w:pPr>
              <w:widowControl w:val="0"/>
              <w:autoSpaceDE w:val="0"/>
              <w:autoSpaceDN w:val="0"/>
              <w:adjustRightInd w:val="0"/>
              <w:ind w:right="12"/>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Personnel responsable du projet PUSA</w:t>
            </w:r>
          </w:p>
        </w:tc>
      </w:tr>
      <w:tr w:rsidR="00681EC7" w:rsidRPr="00681EC7" w:rsidTr="001550EE">
        <w:trPr>
          <w:jc w:val="center"/>
        </w:trPr>
        <w:tc>
          <w:tcPr>
            <w:tcW w:w="2831" w:type="dxa"/>
          </w:tcPr>
          <w:p w:rsidR="00681EC7" w:rsidRPr="00681EC7" w:rsidRDefault="00681EC7" w:rsidP="00A76F4A">
            <w:pPr>
              <w:widowControl w:val="0"/>
              <w:autoSpaceDE w:val="0"/>
              <w:autoSpaceDN w:val="0"/>
              <w:adjustRightInd w:val="0"/>
              <w:ind w:right="12"/>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Fonctions et/ou personnes </w:t>
            </w:r>
          </w:p>
        </w:tc>
        <w:tc>
          <w:tcPr>
            <w:tcW w:w="7088" w:type="dxa"/>
          </w:tcPr>
          <w:p w:rsidR="00681EC7" w:rsidRPr="00681EC7" w:rsidRDefault="00681EC7" w:rsidP="00A76F4A">
            <w:pPr>
              <w:widowControl w:val="0"/>
              <w:autoSpaceDE w:val="0"/>
              <w:autoSpaceDN w:val="0"/>
              <w:adjustRightInd w:val="0"/>
              <w:ind w:right="12"/>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Responsabilités</w:t>
            </w:r>
          </w:p>
        </w:tc>
      </w:tr>
      <w:tr w:rsidR="00681EC7" w:rsidRPr="00681EC7" w:rsidTr="001550EE">
        <w:trPr>
          <w:jc w:val="center"/>
        </w:trPr>
        <w:tc>
          <w:tcPr>
            <w:tcW w:w="2831" w:type="dxa"/>
          </w:tcPr>
          <w:p w:rsidR="00681EC7" w:rsidRPr="00681EC7" w:rsidRDefault="00681EC7" w:rsidP="00A76F4A">
            <w:pPr>
              <w:ind w:right="12"/>
              <w:rPr>
                <w:rFonts w:eastAsia="Calibri"/>
                <w:color w:val="000000"/>
                <w:sz w:val="21"/>
                <w:szCs w:val="21"/>
              </w:rPr>
            </w:pPr>
            <w:r w:rsidRPr="00681EC7">
              <w:rPr>
                <w:rFonts w:ascii="Times" w:eastAsia="Calibri" w:hAnsi="Times" w:cs="Times"/>
                <w:color w:val="000000"/>
                <w:sz w:val="21"/>
                <w:szCs w:val="21"/>
                <w:lang w:eastAsia="en-US"/>
              </w:rPr>
              <w:t>Coordonnateur de l’UGP</w:t>
            </w:r>
          </w:p>
        </w:tc>
        <w:tc>
          <w:tcPr>
            <w:tcW w:w="7088" w:type="dxa"/>
          </w:tcPr>
          <w:p w:rsidR="00681EC7" w:rsidRPr="00681EC7" w:rsidRDefault="00681EC7" w:rsidP="00A76F4A">
            <w:pPr>
              <w:widowControl w:val="0"/>
              <w:autoSpaceDE w:val="0"/>
              <w:autoSpaceDN w:val="0"/>
              <w:adjustRightInd w:val="0"/>
              <w:ind w:right="12"/>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Recruter le chargé de projet et les autres spécialistes (technique et sauvegarde) </w:t>
            </w:r>
          </w:p>
          <w:p w:rsidR="00681EC7" w:rsidRPr="00681EC7" w:rsidRDefault="00681EC7" w:rsidP="00A76F4A">
            <w:pPr>
              <w:widowControl w:val="0"/>
              <w:numPr>
                <w:ilvl w:val="0"/>
                <w:numId w:val="48"/>
              </w:numPr>
              <w:tabs>
                <w:tab w:val="left" w:pos="220"/>
                <w:tab w:val="left" w:pos="720"/>
              </w:tabs>
              <w:autoSpaceDE w:val="0"/>
              <w:autoSpaceDN w:val="0"/>
              <w:adjustRightInd w:val="0"/>
              <w:ind w:right="12"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Recruter les entreprises de services nécessaire pour le </w:t>
            </w:r>
            <w:r w:rsidRPr="00681EC7">
              <w:rPr>
                <w:rFonts w:ascii="MS Mincho" w:eastAsia="MS Mincho" w:hAnsi="MS Mincho" w:cs="MS Mincho"/>
                <w:color w:val="000000"/>
                <w:sz w:val="21"/>
                <w:szCs w:val="21"/>
                <w:lang w:eastAsia="en-US"/>
              </w:rPr>
              <w:t>p</w:t>
            </w:r>
            <w:r w:rsidRPr="00681EC7">
              <w:rPr>
                <w:rFonts w:ascii="Times" w:eastAsia="Calibri" w:hAnsi="Times" w:cs="Times"/>
                <w:color w:val="000000"/>
                <w:sz w:val="21"/>
                <w:szCs w:val="21"/>
                <w:lang w:eastAsia="en-US"/>
              </w:rPr>
              <w:t xml:space="preserve">rojet </w:t>
            </w:r>
          </w:p>
          <w:p w:rsidR="00681EC7" w:rsidRPr="00681EC7" w:rsidRDefault="00681EC7" w:rsidP="00A76F4A">
            <w:pPr>
              <w:widowControl w:val="0"/>
              <w:numPr>
                <w:ilvl w:val="0"/>
                <w:numId w:val="48"/>
              </w:numPr>
              <w:tabs>
                <w:tab w:val="left" w:pos="220"/>
                <w:tab w:val="left" w:pos="720"/>
              </w:tabs>
              <w:autoSpaceDE w:val="0"/>
              <w:autoSpaceDN w:val="0"/>
              <w:adjustRightInd w:val="0"/>
              <w:ind w:right="12"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Recruter et gérer les prestataires </w:t>
            </w:r>
          </w:p>
        </w:tc>
      </w:tr>
      <w:tr w:rsidR="00681EC7" w:rsidRPr="00681EC7" w:rsidTr="001550EE">
        <w:trPr>
          <w:jc w:val="center"/>
        </w:trPr>
        <w:tc>
          <w:tcPr>
            <w:tcW w:w="2831" w:type="dxa"/>
          </w:tcPr>
          <w:p w:rsidR="00681EC7" w:rsidRPr="00681EC7" w:rsidRDefault="00681EC7" w:rsidP="00A76F4A">
            <w:pPr>
              <w:ind w:right="12"/>
              <w:rPr>
                <w:rFonts w:eastAsia="Calibri"/>
                <w:color w:val="000000"/>
                <w:sz w:val="21"/>
                <w:szCs w:val="21"/>
              </w:rPr>
            </w:pPr>
            <w:r w:rsidRPr="00681EC7">
              <w:rPr>
                <w:rFonts w:ascii="Times" w:eastAsia="Calibri" w:hAnsi="Times" w:cs="Times"/>
                <w:color w:val="000000"/>
                <w:sz w:val="21"/>
                <w:szCs w:val="21"/>
                <w:lang w:eastAsia="en-US"/>
              </w:rPr>
              <w:t>Chargé de projet de l ́UGP</w:t>
            </w:r>
          </w:p>
        </w:tc>
        <w:tc>
          <w:tcPr>
            <w:tcW w:w="7088" w:type="dxa"/>
          </w:tcPr>
          <w:p w:rsidR="00681EC7" w:rsidRPr="00681EC7" w:rsidRDefault="00681EC7" w:rsidP="00A76F4A">
            <w:pPr>
              <w:widowControl w:val="0"/>
              <w:autoSpaceDE w:val="0"/>
              <w:autoSpaceDN w:val="0"/>
              <w:adjustRightInd w:val="0"/>
              <w:ind w:right="12"/>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Assurer la planification et l’exécution des activités du projet</w:t>
            </w:r>
          </w:p>
        </w:tc>
      </w:tr>
      <w:tr w:rsidR="00681EC7" w:rsidRPr="00681EC7" w:rsidTr="001550EE">
        <w:trPr>
          <w:jc w:val="center"/>
        </w:trPr>
        <w:tc>
          <w:tcPr>
            <w:tcW w:w="2831" w:type="dxa"/>
          </w:tcPr>
          <w:p w:rsidR="00681EC7" w:rsidRPr="00681EC7" w:rsidRDefault="00681EC7" w:rsidP="00A76F4A">
            <w:pPr>
              <w:widowControl w:val="0"/>
              <w:autoSpaceDE w:val="0"/>
              <w:autoSpaceDN w:val="0"/>
              <w:adjustRightInd w:val="0"/>
              <w:ind w:right="12"/>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FAO</w:t>
            </w:r>
          </w:p>
          <w:p w:rsidR="00681EC7" w:rsidRPr="00681EC7" w:rsidRDefault="00681EC7" w:rsidP="00A76F4A">
            <w:pPr>
              <w:ind w:right="12"/>
              <w:rPr>
                <w:rFonts w:eastAsia="Calibri"/>
                <w:color w:val="000000"/>
                <w:sz w:val="21"/>
                <w:szCs w:val="21"/>
              </w:rPr>
            </w:pPr>
          </w:p>
        </w:tc>
        <w:tc>
          <w:tcPr>
            <w:tcW w:w="7088" w:type="dxa"/>
          </w:tcPr>
          <w:p w:rsidR="00681EC7" w:rsidRPr="00681EC7" w:rsidRDefault="00681EC7" w:rsidP="00A76F4A">
            <w:pPr>
              <w:widowControl w:val="0"/>
              <w:autoSpaceDE w:val="0"/>
              <w:autoSpaceDN w:val="0"/>
              <w:adjustRightInd w:val="0"/>
              <w:ind w:right="12"/>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Exécuter les activités du projet </w:t>
            </w:r>
          </w:p>
          <w:p w:rsidR="00681EC7" w:rsidRPr="00681EC7" w:rsidRDefault="00681EC7" w:rsidP="00A76F4A">
            <w:pPr>
              <w:widowControl w:val="0"/>
              <w:numPr>
                <w:ilvl w:val="0"/>
                <w:numId w:val="48"/>
              </w:numPr>
              <w:tabs>
                <w:tab w:val="left" w:pos="220"/>
                <w:tab w:val="left" w:pos="720"/>
              </w:tabs>
              <w:autoSpaceDE w:val="0"/>
              <w:autoSpaceDN w:val="0"/>
              <w:adjustRightInd w:val="0"/>
              <w:ind w:right="12"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Former les travailleurs </w:t>
            </w:r>
          </w:p>
          <w:p w:rsidR="00681EC7" w:rsidRPr="00681EC7" w:rsidRDefault="00681EC7" w:rsidP="00A76F4A">
            <w:pPr>
              <w:widowControl w:val="0"/>
              <w:numPr>
                <w:ilvl w:val="0"/>
                <w:numId w:val="48"/>
              </w:numPr>
              <w:tabs>
                <w:tab w:val="left" w:pos="220"/>
                <w:tab w:val="left" w:pos="720"/>
              </w:tabs>
              <w:autoSpaceDE w:val="0"/>
              <w:autoSpaceDN w:val="0"/>
              <w:adjustRightInd w:val="0"/>
              <w:ind w:right="12"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Recruter et gérer les sous-traitants et les travailleurs du projet </w:t>
            </w:r>
          </w:p>
          <w:p w:rsidR="00681EC7" w:rsidRPr="00681EC7" w:rsidRDefault="00681EC7" w:rsidP="00A76F4A">
            <w:pPr>
              <w:widowControl w:val="0"/>
              <w:numPr>
                <w:ilvl w:val="0"/>
                <w:numId w:val="48"/>
              </w:numPr>
              <w:tabs>
                <w:tab w:val="left" w:pos="220"/>
              </w:tabs>
              <w:autoSpaceDE w:val="0"/>
              <w:autoSpaceDN w:val="0"/>
              <w:adjustRightInd w:val="0"/>
              <w:ind w:left="0" w:right="12" w:firstLine="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lastRenderedPageBreak/>
              <w:t xml:space="preserve">Assurer la gestion des plaintes et son suivi, en coordination avec le responsable sauvegardes de l ́UGP  </w:t>
            </w:r>
          </w:p>
          <w:p w:rsidR="00681EC7" w:rsidRPr="00681EC7" w:rsidRDefault="00681EC7" w:rsidP="00A76F4A">
            <w:pPr>
              <w:widowControl w:val="0"/>
              <w:numPr>
                <w:ilvl w:val="0"/>
                <w:numId w:val="48"/>
              </w:numPr>
              <w:tabs>
                <w:tab w:val="left" w:pos="220"/>
                <w:tab w:val="left" w:pos="720"/>
              </w:tabs>
              <w:autoSpaceDE w:val="0"/>
              <w:autoSpaceDN w:val="0"/>
              <w:adjustRightInd w:val="0"/>
              <w:ind w:right="12" w:hanging="720"/>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Respecter et mettre en œuvre le plan de gestion environnementale et sociale</w:t>
            </w:r>
          </w:p>
        </w:tc>
      </w:tr>
      <w:tr w:rsidR="00681EC7" w:rsidRPr="00681EC7" w:rsidTr="001550EE">
        <w:trPr>
          <w:trHeight w:val="446"/>
          <w:jc w:val="center"/>
        </w:trPr>
        <w:tc>
          <w:tcPr>
            <w:tcW w:w="2831" w:type="dxa"/>
          </w:tcPr>
          <w:p w:rsidR="00681EC7" w:rsidRPr="00681EC7" w:rsidRDefault="00681EC7" w:rsidP="00A76F4A">
            <w:pPr>
              <w:widowControl w:val="0"/>
              <w:autoSpaceDE w:val="0"/>
              <w:autoSpaceDN w:val="0"/>
              <w:adjustRightInd w:val="0"/>
              <w:ind w:right="12"/>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lastRenderedPageBreak/>
              <w:t xml:space="preserve">Spécialiste en sauvegardes environnementales et sociales de l’UGP </w:t>
            </w:r>
          </w:p>
          <w:p w:rsidR="00681EC7" w:rsidRPr="00681EC7" w:rsidRDefault="00681EC7" w:rsidP="00A76F4A">
            <w:pPr>
              <w:ind w:right="12"/>
              <w:rPr>
                <w:rFonts w:eastAsia="Calibri"/>
                <w:color w:val="000000"/>
                <w:sz w:val="21"/>
                <w:szCs w:val="21"/>
              </w:rPr>
            </w:pPr>
          </w:p>
        </w:tc>
        <w:tc>
          <w:tcPr>
            <w:tcW w:w="7088" w:type="dxa"/>
          </w:tcPr>
          <w:p w:rsidR="00681EC7" w:rsidRPr="00681EC7" w:rsidRDefault="00681EC7" w:rsidP="00A76F4A">
            <w:pPr>
              <w:ind w:right="12"/>
              <w:rPr>
                <w:rFonts w:eastAsia="Calibri"/>
                <w:color w:val="000000"/>
                <w:sz w:val="21"/>
                <w:szCs w:val="21"/>
              </w:rPr>
            </w:pPr>
            <w:r w:rsidRPr="00681EC7">
              <w:rPr>
                <w:rFonts w:eastAsia="Calibri"/>
                <w:color w:val="000000"/>
                <w:sz w:val="21"/>
                <w:szCs w:val="21"/>
              </w:rPr>
              <w:t xml:space="preserve">Élaborer et mettre en œuvre tous les documents et plans de sauvegardes, incluant la mobilisation des parties prenantes du projet </w:t>
            </w:r>
          </w:p>
          <w:p w:rsidR="00681EC7" w:rsidRPr="00681EC7" w:rsidRDefault="00681EC7" w:rsidP="00A76F4A">
            <w:pPr>
              <w:ind w:right="12"/>
              <w:rPr>
                <w:rFonts w:eastAsia="Calibri"/>
                <w:color w:val="000000"/>
                <w:sz w:val="21"/>
                <w:szCs w:val="21"/>
              </w:rPr>
            </w:pPr>
            <w:r w:rsidRPr="00681EC7">
              <w:rPr>
                <w:rFonts w:eastAsia="Calibri"/>
                <w:color w:val="000000"/>
                <w:sz w:val="21"/>
                <w:szCs w:val="21"/>
              </w:rPr>
              <w:t xml:space="preserve">Assurer la gestion de la santé et la sécurité au travail </w:t>
            </w:r>
          </w:p>
          <w:p w:rsidR="00681EC7" w:rsidRPr="00681EC7" w:rsidRDefault="00681EC7" w:rsidP="00A76F4A">
            <w:pPr>
              <w:ind w:right="12"/>
              <w:rPr>
                <w:rFonts w:eastAsia="Calibri"/>
                <w:color w:val="000000"/>
                <w:sz w:val="21"/>
                <w:szCs w:val="21"/>
              </w:rPr>
            </w:pPr>
            <w:r w:rsidRPr="00681EC7">
              <w:rPr>
                <w:rFonts w:eastAsia="Calibri"/>
                <w:color w:val="000000"/>
                <w:sz w:val="21"/>
                <w:szCs w:val="21"/>
              </w:rPr>
              <w:t>Assurer la gestion des plaintes et son suivi, en coordination avec la FAO</w:t>
            </w:r>
          </w:p>
        </w:tc>
      </w:tr>
      <w:tr w:rsidR="00681EC7" w:rsidRPr="00681EC7" w:rsidTr="001550EE">
        <w:trPr>
          <w:jc w:val="center"/>
        </w:trPr>
        <w:tc>
          <w:tcPr>
            <w:tcW w:w="2831" w:type="dxa"/>
          </w:tcPr>
          <w:p w:rsidR="00681EC7" w:rsidRPr="00681EC7" w:rsidRDefault="00681EC7" w:rsidP="00A76F4A">
            <w:pPr>
              <w:widowControl w:val="0"/>
              <w:autoSpaceDE w:val="0"/>
              <w:autoSpaceDN w:val="0"/>
              <w:adjustRightInd w:val="0"/>
              <w:ind w:right="12"/>
              <w:rPr>
                <w:rFonts w:ascii="Times" w:eastAsia="Calibri" w:hAnsi="Times" w:cs="Times"/>
                <w:color w:val="000000"/>
                <w:sz w:val="21"/>
                <w:szCs w:val="21"/>
                <w:lang w:eastAsia="en-US"/>
              </w:rPr>
            </w:pPr>
            <w:r w:rsidRPr="00681EC7">
              <w:rPr>
                <w:rFonts w:ascii="Times" w:eastAsia="Calibri" w:hAnsi="Times" w:cs="Times"/>
                <w:color w:val="000000"/>
                <w:sz w:val="21"/>
                <w:szCs w:val="21"/>
                <w:lang w:eastAsia="en-US"/>
              </w:rPr>
              <w:t xml:space="preserve">Administration de l’UGP </w:t>
            </w:r>
          </w:p>
          <w:p w:rsidR="00681EC7" w:rsidRPr="00681EC7" w:rsidRDefault="00681EC7" w:rsidP="00A76F4A">
            <w:pPr>
              <w:ind w:right="12"/>
              <w:rPr>
                <w:rFonts w:eastAsia="Calibri"/>
                <w:color w:val="000000"/>
                <w:sz w:val="21"/>
                <w:szCs w:val="21"/>
              </w:rPr>
            </w:pPr>
          </w:p>
        </w:tc>
        <w:tc>
          <w:tcPr>
            <w:tcW w:w="7088" w:type="dxa"/>
          </w:tcPr>
          <w:p w:rsidR="00681EC7" w:rsidRPr="00681EC7" w:rsidRDefault="00681EC7" w:rsidP="00A76F4A">
            <w:pPr>
              <w:ind w:right="12"/>
              <w:rPr>
                <w:rFonts w:eastAsia="Calibri"/>
                <w:color w:val="000000"/>
                <w:sz w:val="21"/>
                <w:szCs w:val="21"/>
              </w:rPr>
            </w:pPr>
            <w:r w:rsidRPr="00681EC7">
              <w:rPr>
                <w:rFonts w:eastAsia="Calibri"/>
                <w:color w:val="000000"/>
                <w:sz w:val="21"/>
                <w:szCs w:val="21"/>
              </w:rPr>
              <w:t xml:space="preserve">Assurer la gestion administrative et la logistique du projet, incluant la gestion des chauffeurs, du personnel de soutien et du matériel et équipements du projet </w:t>
            </w:r>
          </w:p>
        </w:tc>
      </w:tr>
      <w:tr w:rsidR="00681EC7" w:rsidRPr="00681EC7" w:rsidTr="001550EE">
        <w:trPr>
          <w:trHeight w:val="236"/>
          <w:jc w:val="center"/>
        </w:trPr>
        <w:tc>
          <w:tcPr>
            <w:tcW w:w="2831" w:type="dxa"/>
          </w:tcPr>
          <w:p w:rsidR="00681EC7" w:rsidRPr="00681EC7" w:rsidRDefault="00681EC7" w:rsidP="00A76F4A">
            <w:pPr>
              <w:ind w:right="12"/>
              <w:rPr>
                <w:rFonts w:eastAsia="Calibri"/>
                <w:color w:val="000000"/>
                <w:sz w:val="21"/>
                <w:szCs w:val="21"/>
              </w:rPr>
            </w:pPr>
            <w:r w:rsidRPr="00681EC7">
              <w:rPr>
                <w:rFonts w:eastAsia="Calibri"/>
                <w:color w:val="000000"/>
                <w:sz w:val="21"/>
                <w:szCs w:val="21"/>
              </w:rPr>
              <w:t>Spécialiste en passation des marchés</w:t>
            </w:r>
          </w:p>
        </w:tc>
        <w:tc>
          <w:tcPr>
            <w:tcW w:w="7088" w:type="dxa"/>
          </w:tcPr>
          <w:p w:rsidR="00681EC7" w:rsidRPr="00681EC7" w:rsidRDefault="00681EC7" w:rsidP="00A76F4A">
            <w:pPr>
              <w:ind w:right="12"/>
              <w:rPr>
                <w:rFonts w:eastAsia="Calibri"/>
                <w:color w:val="000000"/>
                <w:sz w:val="21"/>
                <w:szCs w:val="21"/>
              </w:rPr>
            </w:pPr>
            <w:r w:rsidRPr="00681EC7">
              <w:rPr>
                <w:rFonts w:eastAsia="Calibri"/>
                <w:color w:val="000000"/>
                <w:sz w:val="21"/>
                <w:szCs w:val="21"/>
              </w:rPr>
              <w:t xml:space="preserve">Assurer l’élaboration, l’exécution et la mise à jour du plan de passation des marchés du projet </w:t>
            </w:r>
          </w:p>
        </w:tc>
      </w:tr>
      <w:tr w:rsidR="00681EC7" w:rsidRPr="00681EC7" w:rsidTr="001550EE">
        <w:trPr>
          <w:trHeight w:val="236"/>
          <w:jc w:val="center"/>
        </w:trPr>
        <w:tc>
          <w:tcPr>
            <w:tcW w:w="2831" w:type="dxa"/>
          </w:tcPr>
          <w:p w:rsidR="00681EC7" w:rsidRPr="00681EC7" w:rsidRDefault="00681EC7" w:rsidP="00A76F4A">
            <w:pPr>
              <w:ind w:right="12"/>
              <w:rPr>
                <w:rFonts w:eastAsia="Calibri"/>
                <w:color w:val="000000"/>
                <w:sz w:val="21"/>
                <w:szCs w:val="21"/>
              </w:rPr>
            </w:pPr>
            <w:r w:rsidRPr="00681EC7">
              <w:rPr>
                <w:rFonts w:eastAsia="Calibri"/>
                <w:color w:val="000000"/>
                <w:sz w:val="21"/>
                <w:szCs w:val="21"/>
              </w:rPr>
              <w:t>Spécialiste en gestion financière</w:t>
            </w:r>
          </w:p>
        </w:tc>
        <w:tc>
          <w:tcPr>
            <w:tcW w:w="7088" w:type="dxa"/>
          </w:tcPr>
          <w:p w:rsidR="00681EC7" w:rsidRPr="00681EC7" w:rsidRDefault="00681EC7" w:rsidP="00A76F4A">
            <w:pPr>
              <w:ind w:right="12"/>
              <w:rPr>
                <w:rFonts w:eastAsia="Calibri"/>
                <w:color w:val="000000"/>
                <w:sz w:val="21"/>
                <w:szCs w:val="21"/>
              </w:rPr>
            </w:pPr>
            <w:r w:rsidRPr="00681EC7">
              <w:rPr>
                <w:rFonts w:eastAsia="Calibri"/>
                <w:color w:val="000000"/>
                <w:sz w:val="21"/>
                <w:szCs w:val="21"/>
              </w:rPr>
              <w:t xml:space="preserve">Garantir la visibilité financière du projet </w:t>
            </w:r>
          </w:p>
          <w:p w:rsidR="00681EC7" w:rsidRPr="00681EC7" w:rsidRDefault="00681EC7" w:rsidP="00A76F4A">
            <w:pPr>
              <w:ind w:right="12"/>
              <w:rPr>
                <w:rFonts w:eastAsia="Calibri"/>
                <w:color w:val="000000"/>
                <w:sz w:val="21"/>
                <w:szCs w:val="21"/>
              </w:rPr>
            </w:pPr>
            <w:r w:rsidRPr="00681EC7">
              <w:rPr>
                <w:rFonts w:eastAsia="Calibri"/>
                <w:color w:val="000000"/>
                <w:sz w:val="21"/>
                <w:szCs w:val="21"/>
              </w:rPr>
              <w:t xml:space="preserve">Recruter et superviser le travail des Auditeurs du projet </w:t>
            </w:r>
          </w:p>
        </w:tc>
      </w:tr>
      <w:tr w:rsidR="00681EC7" w:rsidRPr="00681EC7" w:rsidTr="001550EE">
        <w:trPr>
          <w:trHeight w:val="222"/>
          <w:jc w:val="center"/>
        </w:trPr>
        <w:tc>
          <w:tcPr>
            <w:tcW w:w="2831" w:type="dxa"/>
          </w:tcPr>
          <w:p w:rsidR="00681EC7" w:rsidRPr="00681EC7" w:rsidRDefault="00681EC7" w:rsidP="00A76F4A">
            <w:pPr>
              <w:ind w:right="12"/>
              <w:rPr>
                <w:rFonts w:eastAsia="Calibri"/>
                <w:color w:val="000000"/>
                <w:sz w:val="21"/>
                <w:szCs w:val="21"/>
              </w:rPr>
            </w:pPr>
            <w:r w:rsidRPr="00681EC7">
              <w:rPr>
                <w:rFonts w:eastAsia="Calibri"/>
                <w:color w:val="000000"/>
                <w:sz w:val="21"/>
                <w:szCs w:val="21"/>
              </w:rPr>
              <w:t>Spécialiste en suivi-évaluation</w:t>
            </w:r>
          </w:p>
        </w:tc>
        <w:tc>
          <w:tcPr>
            <w:tcW w:w="7088" w:type="dxa"/>
          </w:tcPr>
          <w:p w:rsidR="00681EC7" w:rsidRPr="00681EC7" w:rsidRDefault="00681EC7" w:rsidP="00A76F4A">
            <w:pPr>
              <w:ind w:right="12"/>
              <w:rPr>
                <w:rFonts w:eastAsia="Calibri"/>
                <w:color w:val="000000"/>
                <w:sz w:val="21"/>
                <w:szCs w:val="21"/>
              </w:rPr>
            </w:pPr>
            <w:r w:rsidRPr="00681EC7">
              <w:rPr>
                <w:rFonts w:eastAsia="Calibri"/>
                <w:color w:val="000000"/>
                <w:sz w:val="21"/>
                <w:szCs w:val="21"/>
              </w:rPr>
              <w:t xml:space="preserve">Assurer le suivi et l’évaluation du projet </w:t>
            </w:r>
          </w:p>
        </w:tc>
      </w:tr>
    </w:tbl>
    <w:p w:rsidR="00681EC7" w:rsidRPr="00681EC7" w:rsidRDefault="00681EC7" w:rsidP="00A76F4A">
      <w:pPr>
        <w:ind w:right="12"/>
        <w:rPr>
          <w:rFonts w:eastAsia="Calibri"/>
          <w:color w:val="000000"/>
        </w:rPr>
      </w:pPr>
    </w:p>
    <w:p w:rsidR="00681EC7" w:rsidRPr="00771817" w:rsidRDefault="00681EC7" w:rsidP="00A76F4A">
      <w:pPr>
        <w:ind w:left="1276" w:right="12"/>
        <w:contextualSpacing/>
        <w:outlineLvl w:val="1"/>
        <w:rPr>
          <w:rFonts w:eastAsia="Times New Roman"/>
          <w:b/>
          <w:bCs/>
          <w:lang w:eastAsia="es-ES"/>
        </w:rPr>
      </w:pPr>
      <w:bookmarkStart w:id="528" w:name="_Toc67508581"/>
      <w:bookmarkStart w:id="529" w:name="_Toc69918769"/>
      <w:bookmarkStart w:id="530" w:name="_Toc73459816"/>
      <w:bookmarkStart w:id="531" w:name="_Toc75432371"/>
      <w:r w:rsidRPr="00771817">
        <w:rPr>
          <w:rFonts w:eastAsia="Times New Roman"/>
          <w:b/>
          <w:bCs/>
          <w:lang w:eastAsia="es-ES"/>
        </w:rPr>
        <w:t>POLITIQUES ET PROCÉDURES</w:t>
      </w:r>
      <w:bookmarkEnd w:id="528"/>
      <w:bookmarkEnd w:id="529"/>
      <w:bookmarkEnd w:id="530"/>
      <w:bookmarkEnd w:id="531"/>
    </w:p>
    <w:p w:rsidR="00681EC7" w:rsidRPr="00681EC7" w:rsidRDefault="00681EC7" w:rsidP="00771817">
      <w:pPr>
        <w:ind w:right="12"/>
        <w:jc w:val="both"/>
        <w:rPr>
          <w:rFonts w:eastAsia="Calibri"/>
          <w:color w:val="000000"/>
          <w:sz w:val="21"/>
          <w:szCs w:val="21"/>
          <w:lang w:eastAsia="en-US"/>
        </w:rPr>
      </w:pPr>
      <w:r w:rsidRPr="00681EC7">
        <w:rPr>
          <w:rFonts w:eastAsia="Calibri"/>
          <w:color w:val="000000"/>
          <w:sz w:val="21"/>
          <w:szCs w:val="21"/>
          <w:lang w:eastAsia="en-US"/>
        </w:rPr>
        <w:t xml:space="preserve">Le projet PUSA appliquera les politiques et procédures suivantes pour adresser les principaux risques liés aux activités identifiées dans la section III. </w:t>
      </w:r>
    </w:p>
    <w:p w:rsidR="00681EC7" w:rsidRPr="00681EC7" w:rsidRDefault="00681EC7" w:rsidP="00771817">
      <w:pPr>
        <w:numPr>
          <w:ilvl w:val="0"/>
          <w:numId w:val="155"/>
        </w:numPr>
        <w:ind w:left="426" w:right="12"/>
        <w:contextualSpacing/>
        <w:jc w:val="both"/>
        <w:rPr>
          <w:rFonts w:eastAsia="Calibri"/>
          <w:color w:val="000000"/>
          <w:sz w:val="21"/>
          <w:szCs w:val="21"/>
          <w:lang w:eastAsia="en-US"/>
        </w:rPr>
      </w:pPr>
      <w:r w:rsidRPr="00681EC7">
        <w:rPr>
          <w:rFonts w:eastAsia="Calibri"/>
          <w:b/>
          <w:color w:val="000000"/>
          <w:sz w:val="21"/>
          <w:szCs w:val="21"/>
          <w:lang w:eastAsia="en-US"/>
        </w:rPr>
        <w:t>Santé et sécurité au travail (SST) :</w:t>
      </w:r>
      <w:r w:rsidRPr="00681EC7">
        <w:rPr>
          <w:rFonts w:eastAsia="Calibri"/>
          <w:color w:val="000000"/>
          <w:sz w:val="21"/>
          <w:szCs w:val="21"/>
          <w:lang w:eastAsia="en-US"/>
        </w:rPr>
        <w:t xml:space="preserve"> Conformément aux dispositions pertinentes du Code National de Travail, de la NES no 2 (y compris les directives générales de la Banque mondiale en matière de santé et de sécurité</w:t>
      </w:r>
      <w:r w:rsidR="002B30DB">
        <w:rPr>
          <w:rFonts w:eastAsia="Calibri"/>
          <w:color w:val="000000"/>
          <w:sz w:val="21"/>
          <w:szCs w:val="21"/>
          <w:lang w:eastAsia="en-US"/>
        </w:rPr>
        <w:t>s</w:t>
      </w:r>
      <w:r w:rsidRPr="00681EC7">
        <w:rPr>
          <w:rFonts w:eastAsia="Calibri"/>
          <w:color w:val="000000"/>
          <w:sz w:val="21"/>
          <w:szCs w:val="21"/>
          <w:lang w:eastAsia="en-US"/>
        </w:rPr>
        <w:t xml:space="preserve"> au travail), du Cadre de Gestion Environnementale et Sociale (CGES) du projet PUSA et les documents de passation de marché de la Banque mondiale, le contractant doit gérer tous les chantiers de façon à protéger correctement les travailleurs et la communauté contre les risques éventuels pour la SST. </w:t>
      </w:r>
    </w:p>
    <w:p w:rsidR="00681EC7" w:rsidRPr="00681EC7" w:rsidRDefault="00681EC7" w:rsidP="00771817">
      <w:pPr>
        <w:ind w:left="426" w:right="12"/>
        <w:contextualSpacing/>
        <w:jc w:val="both"/>
        <w:rPr>
          <w:rFonts w:eastAsia="Calibri"/>
          <w:color w:val="000000"/>
          <w:sz w:val="21"/>
          <w:szCs w:val="21"/>
          <w:lang w:eastAsia="en-US"/>
        </w:rPr>
      </w:pPr>
      <w:r w:rsidRPr="00681EC7">
        <w:rPr>
          <w:rFonts w:eastAsia="Calibri"/>
          <w:color w:val="000000"/>
          <w:sz w:val="21"/>
          <w:szCs w:val="21"/>
          <w:lang w:eastAsia="en-US"/>
        </w:rPr>
        <w:t xml:space="preserve">Les éléments relatifs à la SST devront inclure, entre autres, (a) l’identification des risques potentiels pour les travailleurs ; (b) la mise en place de mesures de prévention et de protection ; (c) la formation des travailleurs et la tenue des dossiers de formation ; (d) la documentation et la déclaration des incidents au travail et des accidents ; la préparation aux situations d’urgence ; (f) et les mesures à prendre pour prévenir les accidents du travail. </w:t>
      </w:r>
    </w:p>
    <w:p w:rsidR="00681EC7" w:rsidRPr="00681EC7" w:rsidRDefault="00681EC7" w:rsidP="00771817">
      <w:pPr>
        <w:ind w:left="426" w:right="12"/>
        <w:jc w:val="both"/>
        <w:rPr>
          <w:rFonts w:eastAsia="Calibri"/>
          <w:color w:val="000000"/>
          <w:sz w:val="21"/>
          <w:szCs w:val="21"/>
          <w:lang w:eastAsia="en-US"/>
        </w:rPr>
      </w:pPr>
    </w:p>
    <w:p w:rsidR="00681EC7" w:rsidRPr="00681EC7" w:rsidRDefault="00681EC7" w:rsidP="00771817">
      <w:pPr>
        <w:numPr>
          <w:ilvl w:val="0"/>
          <w:numId w:val="155"/>
        </w:numPr>
        <w:ind w:left="426" w:right="12"/>
        <w:contextualSpacing/>
        <w:jc w:val="both"/>
        <w:rPr>
          <w:rFonts w:eastAsia="Calibri"/>
          <w:color w:val="000000"/>
          <w:sz w:val="21"/>
          <w:szCs w:val="21"/>
          <w:lang w:eastAsia="en-US"/>
        </w:rPr>
      </w:pPr>
      <w:r w:rsidRPr="00681EC7">
        <w:rPr>
          <w:rFonts w:eastAsia="Calibri"/>
          <w:b/>
          <w:color w:val="000000"/>
          <w:sz w:val="21"/>
          <w:szCs w:val="21"/>
          <w:lang w:eastAsia="en-US"/>
        </w:rPr>
        <w:t>Travail des mineurs :</w:t>
      </w:r>
      <w:r w:rsidRPr="00681EC7">
        <w:rPr>
          <w:rFonts w:eastAsia="Calibri"/>
          <w:color w:val="000000"/>
          <w:sz w:val="21"/>
          <w:szCs w:val="21"/>
          <w:lang w:eastAsia="en-US"/>
        </w:rPr>
        <w:t xml:space="preserve"> L’âge minimum d’admissibilité des travailleurs du projet PUSA, pour tout type de travail, est fixé à 18 ans. Afin d’empêcher la main-d’œuvre des mineurs, tous les contrats doivent comporter des dispositions contractuelles afin de respecter les exigences d’âge minimum, y compris des pénalités pour non-conformité. L’entrepreneur est tenu d’enregistrer tous les travailleurs sous contrat avec une vérification de leur âge. Plus de détails, y compris les procédures de vérification de l’âge sont fournies dans la Section VII. </w:t>
      </w:r>
    </w:p>
    <w:p w:rsidR="00681EC7" w:rsidRPr="00681EC7" w:rsidRDefault="00681EC7" w:rsidP="00771817">
      <w:pPr>
        <w:ind w:left="426" w:right="12"/>
        <w:contextualSpacing/>
        <w:jc w:val="both"/>
        <w:rPr>
          <w:rFonts w:eastAsia="Calibri"/>
          <w:color w:val="000000"/>
          <w:sz w:val="21"/>
          <w:szCs w:val="21"/>
          <w:lang w:eastAsia="en-US"/>
        </w:rPr>
      </w:pPr>
    </w:p>
    <w:p w:rsidR="00681EC7" w:rsidRPr="00681EC7" w:rsidRDefault="00681EC7" w:rsidP="00771817">
      <w:pPr>
        <w:numPr>
          <w:ilvl w:val="0"/>
          <w:numId w:val="155"/>
        </w:numPr>
        <w:ind w:left="426" w:right="12"/>
        <w:contextualSpacing/>
        <w:jc w:val="both"/>
        <w:rPr>
          <w:rFonts w:eastAsia="Calibri"/>
          <w:color w:val="000000"/>
          <w:sz w:val="21"/>
          <w:szCs w:val="21"/>
          <w:lang w:eastAsia="en-US"/>
        </w:rPr>
      </w:pPr>
      <w:r w:rsidRPr="00681EC7">
        <w:rPr>
          <w:rFonts w:eastAsia="Calibri"/>
          <w:b/>
          <w:color w:val="000000"/>
          <w:sz w:val="21"/>
          <w:szCs w:val="21"/>
          <w:lang w:eastAsia="en-US"/>
        </w:rPr>
        <w:t xml:space="preserve">Fatalité et incidents graves : </w:t>
      </w:r>
      <w:r w:rsidRPr="00681EC7">
        <w:rPr>
          <w:rFonts w:eastAsia="Calibri"/>
          <w:color w:val="000000"/>
          <w:sz w:val="21"/>
          <w:szCs w:val="21"/>
          <w:lang w:eastAsia="en-US"/>
        </w:rPr>
        <w:t xml:space="preserve">En cas de mort professionnelle ou de blessure grave, l’UGP doit rendre compte à la Banque mondiale dès qu’elle a eu connaissance de tels incidents et informer les autorités conformément aux normes nationales. Les actions correctives doivent être mises en œuvre en réponse aux incidents ou accidents liés au projet. L’UGP ou, le cas échéant, le contractant sera tenu de réaliser une analyse des causes pour la conception et la mise en œuvre des actions correctives. </w:t>
      </w:r>
    </w:p>
    <w:p w:rsidR="00681EC7" w:rsidRPr="00681EC7" w:rsidRDefault="00681EC7" w:rsidP="00771817">
      <w:pPr>
        <w:ind w:left="426" w:right="12"/>
        <w:jc w:val="both"/>
        <w:rPr>
          <w:rFonts w:eastAsia="Calibri"/>
          <w:color w:val="000000"/>
          <w:sz w:val="21"/>
          <w:szCs w:val="21"/>
          <w:lang w:eastAsia="en-US"/>
        </w:rPr>
      </w:pPr>
    </w:p>
    <w:p w:rsidR="00681EC7" w:rsidRPr="00681EC7" w:rsidRDefault="00681EC7" w:rsidP="00771817">
      <w:pPr>
        <w:numPr>
          <w:ilvl w:val="0"/>
          <w:numId w:val="155"/>
        </w:numPr>
        <w:ind w:left="426" w:right="12"/>
        <w:contextualSpacing/>
        <w:jc w:val="both"/>
        <w:rPr>
          <w:rFonts w:eastAsia="Calibri"/>
          <w:color w:val="000000"/>
          <w:sz w:val="21"/>
          <w:szCs w:val="21"/>
          <w:lang w:eastAsia="en-US"/>
        </w:rPr>
      </w:pPr>
      <w:r w:rsidRPr="00681EC7">
        <w:rPr>
          <w:rFonts w:eastAsia="Calibri"/>
          <w:b/>
          <w:color w:val="000000"/>
          <w:sz w:val="21"/>
          <w:szCs w:val="21"/>
          <w:lang w:eastAsia="en-US"/>
        </w:rPr>
        <w:t>Conflits de travail sur les conditions d’emploi</w:t>
      </w:r>
      <w:r w:rsidRPr="00681EC7">
        <w:rPr>
          <w:rFonts w:eastAsia="Calibri"/>
          <w:color w:val="000000"/>
          <w:sz w:val="21"/>
          <w:szCs w:val="21"/>
          <w:lang w:eastAsia="en-US"/>
        </w:rPr>
        <w:t xml:space="preserve"> : Pour éviter les conflits du travail, des conditions équitables seront appliquées aux travailleurs du projet PUSA. Il disposera également de mécanismes de réclamations pour les travailleurs du projet (travailleurs directs et contractuels) afin d’adresser rapidement les réclamations de leurs lieux de travail. En outre, le projet PUSA respectera les droits des syndicats et la liberté d’association, tels qu’énoncés dans le code national de travail. </w:t>
      </w:r>
    </w:p>
    <w:p w:rsidR="00681EC7" w:rsidRPr="00681EC7" w:rsidRDefault="00681EC7" w:rsidP="00771817">
      <w:pPr>
        <w:ind w:left="426" w:right="12"/>
        <w:jc w:val="both"/>
        <w:rPr>
          <w:rFonts w:eastAsia="Calibri"/>
          <w:color w:val="000000"/>
          <w:sz w:val="21"/>
          <w:szCs w:val="21"/>
          <w:lang w:eastAsia="en-US"/>
        </w:rPr>
      </w:pPr>
    </w:p>
    <w:p w:rsidR="00681EC7" w:rsidRPr="00681EC7" w:rsidRDefault="00681EC7" w:rsidP="00771817">
      <w:pPr>
        <w:numPr>
          <w:ilvl w:val="0"/>
          <w:numId w:val="155"/>
        </w:numPr>
        <w:ind w:left="426" w:right="12"/>
        <w:contextualSpacing/>
        <w:jc w:val="both"/>
        <w:rPr>
          <w:rFonts w:eastAsia="Calibri"/>
          <w:color w:val="000000"/>
          <w:sz w:val="21"/>
          <w:szCs w:val="21"/>
          <w:lang w:eastAsia="en-US"/>
        </w:rPr>
      </w:pPr>
      <w:r w:rsidRPr="00681EC7">
        <w:rPr>
          <w:rFonts w:eastAsia="Calibri"/>
          <w:b/>
          <w:color w:val="000000"/>
          <w:sz w:val="21"/>
          <w:szCs w:val="21"/>
          <w:lang w:eastAsia="en-US"/>
        </w:rPr>
        <w:t>Discrimination et exclusion des personnes vulnérables et défavorisés </w:t>
      </w:r>
      <w:r w:rsidRPr="00681EC7">
        <w:rPr>
          <w:rFonts w:eastAsia="Calibri"/>
          <w:color w:val="000000"/>
          <w:sz w:val="21"/>
          <w:szCs w:val="21"/>
          <w:lang w:eastAsia="en-US"/>
        </w:rPr>
        <w:t xml:space="preserve">: L’emploi des travailleurs du projet PUSA sera fondé sur le principe d’égalité des opportunités et de traitement équitable, et il n’y aura aucune discrimination en ce qui concerne les aspects de la relation de travail, tels que le recrutement et l’embauche, les conditions d’emploi (y compris les salaires et les avantages sociaux), licenciement et accès à la formation. Pour éviter le risque d’exclusion des groupes vulnérables (tels que femmes, et les personnes handicapées), le projet PUSA emploiera si possible ces groupes dans le cadre de leur main-d’œuvre. Il sera également tenu de se conformer au Code du Travail national sur </w:t>
      </w:r>
      <w:r w:rsidRPr="00681EC7">
        <w:rPr>
          <w:rFonts w:eastAsia="Calibri"/>
          <w:color w:val="000000"/>
          <w:sz w:val="21"/>
          <w:szCs w:val="21"/>
          <w:lang w:eastAsia="en-US"/>
        </w:rPr>
        <w:lastRenderedPageBreak/>
        <w:t xml:space="preserve">l’égalité des sexes sur le lieu de travail, sur la prévision notamment de congés de maternité et de pauses d’allaitement, ainsi que d’installations sanitaires suffisantes et appropriés, séparées des hommes et des femmes. </w:t>
      </w:r>
    </w:p>
    <w:p w:rsidR="00681EC7" w:rsidRPr="00681EC7" w:rsidRDefault="00681EC7" w:rsidP="00771817">
      <w:pPr>
        <w:ind w:left="426" w:right="12"/>
        <w:jc w:val="both"/>
        <w:rPr>
          <w:rFonts w:eastAsia="Calibri"/>
          <w:color w:val="000000"/>
          <w:sz w:val="21"/>
          <w:szCs w:val="21"/>
          <w:lang w:eastAsia="en-US"/>
        </w:rPr>
      </w:pPr>
    </w:p>
    <w:p w:rsidR="00681EC7" w:rsidRPr="00681EC7" w:rsidRDefault="00681EC7" w:rsidP="00771817">
      <w:pPr>
        <w:numPr>
          <w:ilvl w:val="0"/>
          <w:numId w:val="155"/>
        </w:numPr>
        <w:ind w:left="426" w:right="12"/>
        <w:contextualSpacing/>
        <w:jc w:val="both"/>
        <w:rPr>
          <w:rFonts w:eastAsia="Calibri"/>
          <w:color w:val="000000"/>
          <w:sz w:val="21"/>
          <w:szCs w:val="21"/>
          <w:lang w:eastAsia="en-US"/>
        </w:rPr>
      </w:pPr>
      <w:r w:rsidRPr="00681EC7">
        <w:rPr>
          <w:rFonts w:eastAsia="Calibri"/>
          <w:b/>
          <w:color w:val="000000"/>
          <w:sz w:val="21"/>
          <w:szCs w:val="21"/>
          <w:lang w:eastAsia="en-US"/>
        </w:rPr>
        <w:t xml:space="preserve">Travail forcé : </w:t>
      </w:r>
      <w:r w:rsidRPr="00681EC7">
        <w:rPr>
          <w:rFonts w:eastAsia="Calibri"/>
          <w:color w:val="000000"/>
          <w:sz w:val="21"/>
          <w:szCs w:val="21"/>
          <w:lang w:eastAsia="en-US"/>
        </w:rPr>
        <w:t xml:space="preserve">Le projet PUSA n’aura pas de recours au travail forcé (tout travail ou service exigé d’un individu sous la menace d’une peine quelconque et pour lequel ledit individu ne s’est pas offert de plein gré́). Cette interdiction s’applique à toute sorte de travail forcé ou obligatoire, tel que le travail sous contrat, la servitude pour dettes ou des types d’emploi analogues. L’UGP procèdera à une surveillance et un suivi constant afin de déceler à temps tout risque éventuel de travail forcé lié à la main-d’œuvre. </w:t>
      </w:r>
    </w:p>
    <w:p w:rsidR="00681EC7" w:rsidRPr="00681EC7" w:rsidRDefault="00681EC7" w:rsidP="00A76F4A">
      <w:pPr>
        <w:ind w:right="12"/>
        <w:jc w:val="both"/>
        <w:rPr>
          <w:rFonts w:eastAsia="Calibri"/>
          <w:color w:val="000000"/>
          <w:sz w:val="21"/>
          <w:szCs w:val="21"/>
          <w:lang w:eastAsia="en-US"/>
        </w:rPr>
      </w:pPr>
    </w:p>
    <w:p w:rsidR="00681EC7" w:rsidRPr="00C62222" w:rsidRDefault="00681EC7" w:rsidP="00A76F4A">
      <w:pPr>
        <w:ind w:left="1276" w:right="12"/>
        <w:contextualSpacing/>
        <w:outlineLvl w:val="1"/>
        <w:rPr>
          <w:rFonts w:eastAsia="Times New Roman"/>
          <w:b/>
          <w:bCs/>
          <w:sz w:val="22"/>
          <w:szCs w:val="22"/>
          <w:lang w:eastAsia="es-ES"/>
        </w:rPr>
      </w:pPr>
      <w:bookmarkStart w:id="532" w:name="_Toc67508582"/>
      <w:bookmarkStart w:id="533" w:name="_Toc69918770"/>
      <w:bookmarkStart w:id="534" w:name="_Toc73459817"/>
      <w:bookmarkStart w:id="535" w:name="_Toc75432372"/>
      <w:r w:rsidRPr="00C62222">
        <w:rPr>
          <w:rFonts w:eastAsia="Times New Roman"/>
          <w:b/>
          <w:bCs/>
          <w:sz w:val="22"/>
          <w:szCs w:val="22"/>
          <w:lang w:eastAsia="es-ES"/>
        </w:rPr>
        <w:t>ÂGE D’ADMISSION À L’EMPLOI</w:t>
      </w:r>
      <w:bookmarkEnd w:id="532"/>
      <w:bookmarkEnd w:id="533"/>
      <w:bookmarkEnd w:id="534"/>
      <w:bookmarkEnd w:id="535"/>
    </w:p>
    <w:p w:rsidR="00681EC7" w:rsidRPr="00C63300" w:rsidRDefault="00681EC7" w:rsidP="00A76F4A">
      <w:pPr>
        <w:autoSpaceDE w:val="0"/>
        <w:autoSpaceDN w:val="0"/>
        <w:adjustRightInd w:val="0"/>
        <w:ind w:right="12"/>
        <w:jc w:val="both"/>
      </w:pPr>
      <w:r w:rsidRPr="00C63300">
        <w:t xml:space="preserve">Afin de réduire au maximum, les risques d’emploi des enfants dans le cadre du projet, l’âge minimum d’emploi sera fixé à 18 ans. La procédure à suivre pour vérifier l’âge des travailleurs consistera à exiger de ces derniers une pièce d’identité qui pourra être un numéro d’Immatriculation Fiscale (NIF) avec la photo du concerné, une Carte d’Identification Nationale (CIN), un passeport ou un acte de naissance avec deux témoins majeurs. </w:t>
      </w:r>
    </w:p>
    <w:p w:rsidR="00681EC7" w:rsidRPr="00681EC7" w:rsidRDefault="00681EC7" w:rsidP="00A76F4A">
      <w:pPr>
        <w:ind w:left="-284" w:right="12"/>
        <w:jc w:val="both"/>
        <w:rPr>
          <w:rFonts w:eastAsia="Calibri"/>
          <w:color w:val="000000"/>
          <w:sz w:val="21"/>
          <w:szCs w:val="21"/>
          <w:lang w:eastAsia="en-US"/>
        </w:rPr>
      </w:pPr>
    </w:p>
    <w:p w:rsidR="00681EC7" w:rsidRPr="00771817" w:rsidRDefault="00681EC7" w:rsidP="00771817">
      <w:pPr>
        <w:ind w:right="12"/>
        <w:contextualSpacing/>
        <w:outlineLvl w:val="1"/>
        <w:rPr>
          <w:rFonts w:eastAsia="Times New Roman"/>
          <w:b/>
          <w:bCs/>
          <w:lang w:eastAsia="es-ES"/>
        </w:rPr>
      </w:pPr>
      <w:bookmarkStart w:id="536" w:name="_Toc67508583"/>
      <w:bookmarkStart w:id="537" w:name="_Toc69918771"/>
      <w:bookmarkStart w:id="538" w:name="_Toc73459818"/>
      <w:bookmarkStart w:id="539" w:name="_Toc75432373"/>
      <w:r w:rsidRPr="00771817">
        <w:rPr>
          <w:rFonts w:eastAsia="Times New Roman"/>
          <w:b/>
          <w:bCs/>
          <w:lang w:eastAsia="es-ES"/>
        </w:rPr>
        <w:t>CONDITIONS GÉNÉRALES</w:t>
      </w:r>
      <w:bookmarkEnd w:id="536"/>
      <w:bookmarkEnd w:id="537"/>
      <w:bookmarkEnd w:id="538"/>
      <w:bookmarkEnd w:id="539"/>
    </w:p>
    <w:p w:rsidR="00681EC7" w:rsidRPr="00681EC7" w:rsidRDefault="00681EC7" w:rsidP="00771817">
      <w:pPr>
        <w:ind w:right="12"/>
        <w:jc w:val="both"/>
        <w:rPr>
          <w:rFonts w:eastAsia="Calibri"/>
          <w:color w:val="000000"/>
          <w:sz w:val="21"/>
          <w:szCs w:val="21"/>
          <w:lang w:eastAsia="en-US"/>
        </w:rPr>
      </w:pPr>
      <w:r w:rsidRPr="00681EC7">
        <w:rPr>
          <w:rFonts w:eastAsia="Calibri"/>
          <w:b/>
          <w:color w:val="000000"/>
          <w:sz w:val="21"/>
          <w:szCs w:val="21"/>
          <w:lang w:eastAsia="en-US"/>
        </w:rPr>
        <w:t>Disposition d’un contrat de travail individuel écrit </w:t>
      </w:r>
      <w:r w:rsidRPr="00681EC7">
        <w:rPr>
          <w:rFonts w:eastAsia="Calibri"/>
          <w:color w:val="000000"/>
          <w:sz w:val="21"/>
          <w:szCs w:val="21"/>
          <w:lang w:eastAsia="en-US"/>
        </w:rPr>
        <w:t xml:space="preserve">: Le contrat écrit contiendra les énonciations suivantes : (a) les nom, prénoms, nationalité, âge, sexe, profession, état civil, demeure, domicile, numéro de la carte d’identité de chacun des contractants ; (b) l’indication précise de la résidence du travailleur(...) ; (c) la durée de la journée de travail et les heures pendant lesquelles il devra être exécuté ; (d) la nature du travail à effectuer, le traitement, le salaire ou la participation que doit recevoir (...) ; (e) le lieu où les lieux de prestation de services ou d’exécution de l’ouvrage ; (f) les lieux et la date de la conclusion du contrat ; (g) les signatures des contractants. </w:t>
      </w:r>
    </w:p>
    <w:p w:rsidR="00681EC7" w:rsidRPr="00681EC7" w:rsidRDefault="00681EC7" w:rsidP="00771817">
      <w:pPr>
        <w:ind w:right="12"/>
        <w:jc w:val="both"/>
        <w:rPr>
          <w:rFonts w:eastAsia="Calibri"/>
          <w:color w:val="000000"/>
          <w:sz w:val="21"/>
          <w:szCs w:val="21"/>
          <w:lang w:eastAsia="en-US"/>
        </w:rPr>
      </w:pPr>
    </w:p>
    <w:p w:rsidR="00681EC7" w:rsidRPr="00681EC7" w:rsidRDefault="00681EC7" w:rsidP="00771817">
      <w:pPr>
        <w:ind w:right="12"/>
        <w:jc w:val="both"/>
        <w:rPr>
          <w:rFonts w:eastAsia="Calibri"/>
          <w:color w:val="000000"/>
          <w:sz w:val="21"/>
          <w:szCs w:val="21"/>
          <w:lang w:eastAsia="en-US"/>
        </w:rPr>
      </w:pPr>
      <w:r w:rsidRPr="00681EC7">
        <w:rPr>
          <w:rFonts w:eastAsia="Calibri"/>
          <w:b/>
          <w:color w:val="000000"/>
          <w:sz w:val="21"/>
          <w:szCs w:val="21"/>
          <w:lang w:eastAsia="en-US"/>
        </w:rPr>
        <w:t>Du préavis </w:t>
      </w:r>
      <w:r w:rsidRPr="00681EC7">
        <w:rPr>
          <w:rFonts w:eastAsia="Calibri"/>
          <w:color w:val="000000"/>
          <w:sz w:val="21"/>
          <w:szCs w:val="21"/>
          <w:lang w:eastAsia="en-US"/>
        </w:rPr>
        <w:t xml:space="preserve">: L’employeur ou le salarié qui désire mettre fin au contrat de travail écrit devra préalablement en donner avis écrit à l’autre (...) Ce préavis sera calculé de la manière suivante : (a) de trois mois à douze mois de service, 15 jours ; (b) d’un an à trois ans de service, 1 mois </w:t>
      </w:r>
    </w:p>
    <w:p w:rsidR="00681EC7" w:rsidRPr="00681EC7" w:rsidRDefault="00681EC7" w:rsidP="00771817">
      <w:pPr>
        <w:ind w:right="12"/>
        <w:jc w:val="both"/>
        <w:rPr>
          <w:rFonts w:eastAsia="Calibri"/>
          <w:color w:val="000000"/>
          <w:sz w:val="21"/>
          <w:szCs w:val="21"/>
          <w:lang w:eastAsia="en-US"/>
        </w:rPr>
      </w:pPr>
    </w:p>
    <w:p w:rsidR="00681EC7" w:rsidRPr="00681EC7" w:rsidRDefault="00681EC7" w:rsidP="00771817">
      <w:pPr>
        <w:ind w:right="12"/>
        <w:jc w:val="both"/>
        <w:rPr>
          <w:rFonts w:eastAsia="Calibri"/>
          <w:color w:val="000000"/>
          <w:sz w:val="21"/>
          <w:szCs w:val="21"/>
          <w:lang w:eastAsia="en-US"/>
        </w:rPr>
      </w:pPr>
      <w:r w:rsidRPr="00681EC7">
        <w:rPr>
          <w:rFonts w:eastAsia="Calibri"/>
          <w:b/>
          <w:color w:val="000000"/>
          <w:sz w:val="21"/>
          <w:szCs w:val="21"/>
          <w:lang w:eastAsia="en-US"/>
        </w:rPr>
        <w:t>Du salaire minimal </w:t>
      </w:r>
      <w:r w:rsidRPr="00681EC7">
        <w:rPr>
          <w:rFonts w:eastAsia="Calibri"/>
          <w:color w:val="000000"/>
          <w:sz w:val="21"/>
          <w:szCs w:val="21"/>
          <w:lang w:eastAsia="en-US"/>
        </w:rPr>
        <w:t xml:space="preserve">: Le salaire minimal est fixé par loi ou décret sur rapport motivé du Conseil supérieur des salaires au ministère des Affaires sociales. Il sera périodiquement ajusté en fonction des variations du coût de la vie ou toutes les fois que l’indice officiel de l’inflation fixé par l’Institut haïtien de statistique et d’informatique accuse une augmentation d’au moins 10 pour cent sur une période d’une année fiscale. </w:t>
      </w:r>
    </w:p>
    <w:p w:rsidR="00681EC7" w:rsidRPr="00681EC7" w:rsidRDefault="00681EC7" w:rsidP="00771817">
      <w:pPr>
        <w:ind w:right="12"/>
        <w:jc w:val="both"/>
        <w:rPr>
          <w:rFonts w:eastAsia="Calibri"/>
          <w:color w:val="000000"/>
          <w:sz w:val="21"/>
          <w:szCs w:val="21"/>
          <w:lang w:eastAsia="en-US"/>
        </w:rPr>
      </w:pPr>
    </w:p>
    <w:p w:rsidR="00681EC7" w:rsidRPr="00681EC7" w:rsidRDefault="00681EC7" w:rsidP="00771817">
      <w:pPr>
        <w:ind w:right="12"/>
        <w:jc w:val="both"/>
        <w:rPr>
          <w:rFonts w:eastAsia="Calibri"/>
          <w:color w:val="000000"/>
          <w:sz w:val="21"/>
          <w:szCs w:val="21"/>
          <w:lang w:eastAsia="en-US"/>
        </w:rPr>
      </w:pPr>
      <w:r w:rsidRPr="00681EC7">
        <w:rPr>
          <w:rFonts w:eastAsia="Calibri"/>
          <w:b/>
          <w:color w:val="000000"/>
          <w:sz w:val="21"/>
          <w:szCs w:val="21"/>
          <w:lang w:eastAsia="en-US"/>
        </w:rPr>
        <w:t>De la durée de travail </w:t>
      </w:r>
      <w:r w:rsidRPr="00681EC7">
        <w:rPr>
          <w:rFonts w:eastAsia="Calibri"/>
          <w:color w:val="000000"/>
          <w:sz w:val="21"/>
          <w:szCs w:val="21"/>
          <w:lang w:eastAsia="en-US"/>
        </w:rPr>
        <w:t xml:space="preserve">: La durée normale du travail est de huit heures par jour et de quarante-huit heures par semaine. Sans excéder neuf heures par jour pour les établissements industriels et dix heures par jour pour les établissements commerciaux et les bureaux, les parties peuvent se mettre d’accord entre elles pour repartir la durée hebdomadaire du travail autrement que par huit heures par jour, uniquement lorsque l’horaire du travail est de quarante-huit heures par semaine ou lorsque l’établissement de travail utilise les services de son personnel six jours par semaine. </w:t>
      </w:r>
    </w:p>
    <w:p w:rsidR="00681EC7" w:rsidRPr="00681EC7" w:rsidRDefault="00681EC7" w:rsidP="00771817">
      <w:pPr>
        <w:ind w:right="12"/>
        <w:jc w:val="both"/>
        <w:rPr>
          <w:rFonts w:eastAsia="Calibri"/>
          <w:color w:val="000000"/>
          <w:sz w:val="21"/>
          <w:szCs w:val="21"/>
          <w:lang w:eastAsia="en-US"/>
        </w:rPr>
      </w:pPr>
    </w:p>
    <w:p w:rsidR="00681EC7" w:rsidRPr="00681EC7" w:rsidRDefault="00681EC7" w:rsidP="00771817">
      <w:pPr>
        <w:ind w:right="12"/>
        <w:jc w:val="both"/>
        <w:rPr>
          <w:rFonts w:eastAsia="Calibri"/>
          <w:color w:val="000000"/>
          <w:sz w:val="21"/>
          <w:szCs w:val="21"/>
          <w:lang w:eastAsia="en-US"/>
        </w:rPr>
      </w:pPr>
      <w:r w:rsidRPr="00681EC7">
        <w:rPr>
          <w:rFonts w:eastAsia="Calibri"/>
          <w:b/>
          <w:color w:val="000000"/>
          <w:sz w:val="21"/>
          <w:szCs w:val="21"/>
          <w:lang w:eastAsia="en-US"/>
        </w:rPr>
        <w:t xml:space="preserve">Des congés payés : </w:t>
      </w:r>
      <w:r w:rsidRPr="00681EC7">
        <w:rPr>
          <w:rFonts w:eastAsia="Calibri"/>
          <w:color w:val="000000"/>
          <w:sz w:val="21"/>
          <w:szCs w:val="21"/>
          <w:lang w:eastAsia="en-US"/>
        </w:rPr>
        <w:t xml:space="preserve">Tout travailleur dont l’emploi a un caractère permanent aura droit, après une année de service, à un congé payé d’au moins quinze jours consécutifs, comprenant treize jours ouvrables et deux dimanches. </w:t>
      </w:r>
    </w:p>
    <w:p w:rsidR="00681EC7" w:rsidRPr="00681EC7" w:rsidRDefault="00681EC7" w:rsidP="00771817">
      <w:pPr>
        <w:ind w:right="12"/>
        <w:jc w:val="both"/>
        <w:rPr>
          <w:rFonts w:eastAsia="Calibri"/>
          <w:color w:val="000000"/>
          <w:sz w:val="21"/>
          <w:szCs w:val="21"/>
          <w:lang w:eastAsia="en-US"/>
        </w:rPr>
      </w:pPr>
    </w:p>
    <w:p w:rsidR="00681EC7" w:rsidRPr="00681EC7" w:rsidRDefault="00681EC7" w:rsidP="00771817">
      <w:pPr>
        <w:ind w:right="12"/>
        <w:jc w:val="both"/>
        <w:rPr>
          <w:rFonts w:eastAsia="Calibri"/>
          <w:color w:val="000000"/>
          <w:sz w:val="21"/>
          <w:szCs w:val="21"/>
          <w:lang w:eastAsia="en-US"/>
        </w:rPr>
      </w:pPr>
      <w:r w:rsidRPr="00681EC7">
        <w:rPr>
          <w:rFonts w:eastAsia="Calibri"/>
          <w:b/>
          <w:color w:val="000000"/>
          <w:sz w:val="21"/>
          <w:szCs w:val="21"/>
          <w:lang w:eastAsia="en-US"/>
        </w:rPr>
        <w:t>Du congé de maternité </w:t>
      </w:r>
      <w:r w:rsidRPr="00681EC7">
        <w:rPr>
          <w:rFonts w:eastAsia="Calibri"/>
          <w:color w:val="000000"/>
          <w:sz w:val="21"/>
          <w:szCs w:val="21"/>
          <w:lang w:eastAsia="en-US"/>
        </w:rPr>
        <w:t xml:space="preserve">: Toute femme enceinte à droit, sur production d’un certificat médical indiquant la date présumée de son accouchement, a un congé de maternité au cours duquel elle sera rémunérée comme si elle continuait à travailler. </w:t>
      </w:r>
    </w:p>
    <w:p w:rsidR="00681EC7" w:rsidRPr="00681EC7" w:rsidRDefault="00681EC7" w:rsidP="00771817">
      <w:pPr>
        <w:ind w:right="12"/>
        <w:jc w:val="both"/>
        <w:rPr>
          <w:rFonts w:eastAsia="Calibri"/>
          <w:color w:val="000000"/>
          <w:sz w:val="21"/>
          <w:szCs w:val="21"/>
          <w:lang w:eastAsia="en-US"/>
        </w:rPr>
      </w:pPr>
    </w:p>
    <w:p w:rsidR="00681EC7" w:rsidRPr="00681EC7" w:rsidRDefault="00681EC7" w:rsidP="00771817">
      <w:pPr>
        <w:ind w:right="12"/>
        <w:jc w:val="both"/>
        <w:rPr>
          <w:rFonts w:eastAsia="Calibri"/>
          <w:color w:val="000000"/>
          <w:sz w:val="21"/>
          <w:szCs w:val="21"/>
          <w:lang w:eastAsia="en-US"/>
        </w:rPr>
      </w:pPr>
      <w:r w:rsidRPr="00681EC7">
        <w:rPr>
          <w:rFonts w:eastAsia="Calibri"/>
          <w:b/>
          <w:color w:val="000000"/>
          <w:sz w:val="21"/>
          <w:szCs w:val="21"/>
          <w:lang w:eastAsia="en-US"/>
        </w:rPr>
        <w:t>Des pauses d’allaitement</w:t>
      </w:r>
      <w:r w:rsidRPr="00681EC7">
        <w:rPr>
          <w:rFonts w:eastAsia="Calibri"/>
          <w:color w:val="000000"/>
          <w:sz w:val="21"/>
          <w:szCs w:val="21"/>
          <w:lang w:eastAsia="en-US"/>
        </w:rPr>
        <w:t xml:space="preserve"> : Toute mère allaitant son enfant peut à cet effet disposer là où elle travaille, et deux fois par jour, d’une demi-heure prise sur sa journée de travail ou, si elle préfère, d’un intervalle de quinze minutes toutes les trois heures. Ces moments de repos sont rémunérés. </w:t>
      </w:r>
    </w:p>
    <w:p w:rsidR="00681EC7" w:rsidRPr="00681EC7" w:rsidRDefault="00681EC7" w:rsidP="00771817">
      <w:pPr>
        <w:ind w:right="12"/>
        <w:jc w:val="both"/>
        <w:rPr>
          <w:rFonts w:eastAsia="Calibri"/>
          <w:color w:val="000000"/>
          <w:sz w:val="21"/>
          <w:szCs w:val="21"/>
          <w:lang w:eastAsia="en-US"/>
        </w:rPr>
      </w:pPr>
    </w:p>
    <w:p w:rsidR="00681EC7" w:rsidRPr="00681EC7" w:rsidRDefault="00681EC7" w:rsidP="00771817">
      <w:pPr>
        <w:ind w:right="12"/>
        <w:jc w:val="both"/>
        <w:rPr>
          <w:rFonts w:eastAsia="Calibri"/>
          <w:color w:val="000000"/>
          <w:sz w:val="21"/>
          <w:szCs w:val="21"/>
          <w:lang w:eastAsia="en-US"/>
        </w:rPr>
      </w:pPr>
      <w:r w:rsidRPr="00681EC7">
        <w:rPr>
          <w:rFonts w:eastAsia="Calibri"/>
          <w:b/>
          <w:color w:val="000000"/>
          <w:sz w:val="21"/>
          <w:szCs w:val="21"/>
          <w:lang w:eastAsia="en-US"/>
        </w:rPr>
        <w:lastRenderedPageBreak/>
        <w:t>Déductions légales et conventionnelles </w:t>
      </w:r>
      <w:r w:rsidRPr="00681EC7">
        <w:rPr>
          <w:rFonts w:eastAsia="Calibri"/>
          <w:color w:val="000000"/>
          <w:sz w:val="21"/>
          <w:szCs w:val="21"/>
          <w:lang w:eastAsia="en-US"/>
        </w:rPr>
        <w:t xml:space="preserve">: Tout prêt ou toute avance consentie par un employeur ne peut être remboursé qu’au moyen de retenues successives ne dépassant pas le sixième du montant des salaires contractuels, sauf en cas de rupture du contrat de travail quand les garanties de remboursement données par le travailleur sont insuffisantes. En aucun cas l’employeur ne doit prêter de l’argent à intérêt à un membre quelconque de son personnel. </w:t>
      </w:r>
    </w:p>
    <w:p w:rsidR="00681EC7" w:rsidRDefault="00681EC7" w:rsidP="00771817">
      <w:pPr>
        <w:ind w:right="12"/>
        <w:jc w:val="both"/>
        <w:rPr>
          <w:rFonts w:eastAsia="Calibri"/>
          <w:color w:val="000000"/>
          <w:sz w:val="21"/>
          <w:szCs w:val="21"/>
          <w:lang w:eastAsia="en-US"/>
        </w:rPr>
      </w:pPr>
    </w:p>
    <w:p w:rsidR="00771817" w:rsidRDefault="00771817" w:rsidP="00771817">
      <w:pPr>
        <w:ind w:right="12"/>
        <w:jc w:val="both"/>
        <w:rPr>
          <w:rFonts w:eastAsia="Calibri"/>
          <w:color w:val="000000"/>
          <w:sz w:val="21"/>
          <w:szCs w:val="21"/>
          <w:lang w:eastAsia="en-US"/>
        </w:rPr>
      </w:pPr>
    </w:p>
    <w:p w:rsidR="00771817" w:rsidRPr="00681EC7" w:rsidRDefault="00771817" w:rsidP="00771817">
      <w:pPr>
        <w:ind w:right="12"/>
        <w:jc w:val="both"/>
        <w:rPr>
          <w:rFonts w:eastAsia="Calibri"/>
          <w:color w:val="000000"/>
          <w:sz w:val="21"/>
          <w:szCs w:val="21"/>
          <w:lang w:eastAsia="en-US"/>
        </w:rPr>
      </w:pPr>
    </w:p>
    <w:p w:rsidR="00681EC7" w:rsidRPr="00771817" w:rsidRDefault="00681EC7" w:rsidP="00771817">
      <w:pPr>
        <w:ind w:right="12"/>
        <w:contextualSpacing/>
        <w:outlineLvl w:val="1"/>
        <w:rPr>
          <w:rFonts w:eastAsia="Times New Roman"/>
          <w:b/>
          <w:bCs/>
          <w:lang w:eastAsia="es-ES"/>
        </w:rPr>
      </w:pPr>
      <w:bookmarkStart w:id="540" w:name="_Toc67508584"/>
      <w:bookmarkStart w:id="541" w:name="_Toc69918772"/>
      <w:bookmarkStart w:id="542" w:name="_Toc73459819"/>
      <w:bookmarkStart w:id="543" w:name="_Toc75432374"/>
      <w:r w:rsidRPr="00771817">
        <w:rPr>
          <w:rFonts w:eastAsia="Times New Roman"/>
          <w:b/>
          <w:bCs/>
          <w:lang w:eastAsia="es-ES"/>
        </w:rPr>
        <w:t>MÉCANISME DE GESTION DES PLAINTES</w:t>
      </w:r>
      <w:bookmarkEnd w:id="540"/>
      <w:bookmarkEnd w:id="541"/>
      <w:bookmarkEnd w:id="542"/>
      <w:r w:rsidR="00D14C2F" w:rsidRPr="00771817">
        <w:rPr>
          <w:rFonts w:eastAsia="Times New Roman"/>
          <w:b/>
          <w:bCs/>
          <w:lang w:eastAsia="es-ES"/>
        </w:rPr>
        <w:t xml:space="preserve"> DES TRAVAILLEURS</w:t>
      </w:r>
      <w:bookmarkEnd w:id="543"/>
    </w:p>
    <w:p w:rsidR="00D14C2F" w:rsidRDefault="00D14C2F" w:rsidP="00771817">
      <w:pPr>
        <w:ind w:right="12"/>
        <w:jc w:val="both"/>
        <w:rPr>
          <w:rFonts w:eastAsia="Calibri"/>
          <w:sz w:val="21"/>
          <w:szCs w:val="21"/>
        </w:rPr>
      </w:pPr>
    </w:p>
    <w:p w:rsidR="00D14C2F" w:rsidRDefault="00D14C2F" w:rsidP="00A76F4A">
      <w:pPr>
        <w:autoSpaceDE w:val="0"/>
        <w:autoSpaceDN w:val="0"/>
        <w:adjustRightInd w:val="0"/>
        <w:ind w:right="12"/>
        <w:jc w:val="both"/>
      </w:pPr>
      <w:r>
        <w:t xml:space="preserve">Le mécanisme de gestion des plaintes proposé pour les travailleurs du projet PUSA est basé sur les principes suivant et constitué de l’approche et des étapes décrites ci-après. Les principes et les étapes de traitement sont les mêmes que le mécanisme de gestion des plaintes (MGP) géré par l’UGP pour tous les investissements du projet. </w:t>
      </w:r>
    </w:p>
    <w:p w:rsidR="00D14C2F" w:rsidRDefault="00D14C2F" w:rsidP="00A76F4A">
      <w:pPr>
        <w:ind w:left="-284" w:right="12"/>
        <w:jc w:val="both"/>
      </w:pPr>
    </w:p>
    <w:p w:rsidR="00D14C2F" w:rsidRPr="00CD3CF4" w:rsidRDefault="00D14C2F" w:rsidP="00CD3CF4">
      <w:pPr>
        <w:ind w:right="12"/>
        <w:jc w:val="both"/>
        <w:rPr>
          <w:b/>
        </w:rPr>
      </w:pPr>
      <w:r w:rsidRPr="00CD3CF4">
        <w:rPr>
          <w:b/>
        </w:rPr>
        <w:t>Principes directeurs du MGPT</w:t>
      </w:r>
    </w:p>
    <w:p w:rsidR="00D14C2F" w:rsidRDefault="00D14C2F" w:rsidP="00A76F4A">
      <w:pPr>
        <w:autoSpaceDE w:val="0"/>
        <w:autoSpaceDN w:val="0"/>
        <w:adjustRightInd w:val="0"/>
        <w:ind w:right="12"/>
        <w:jc w:val="both"/>
      </w:pPr>
      <w:r>
        <w:t xml:space="preserve"> </w:t>
      </w:r>
      <w:r>
        <w:sym w:font="Symbol" w:char="F0B7"/>
      </w:r>
      <w:r>
        <w:t xml:space="preserve"> Les plaintes reçues au DGA seront communiquées régulièrement à l’UGP qui est l’entité responsable de s’assurer que les plaintes, verbale ou écrite, sont bien reçues, documentées et traitées. L’UGP sera chargé de la surveillance et du suivi des résolutions trouvées entre le contractant et le(la) plaignant(e) afin de s’assurer de leur conformité avec les exigences du présent mécanisme. Pour les plaintes qui n’auraient pas trouvé de solutions à l’amiable l’UGP sera chargé de reconduire les investigations et le traitement. </w:t>
      </w:r>
    </w:p>
    <w:p w:rsidR="00D14C2F" w:rsidRDefault="00D14C2F" w:rsidP="00A76F4A">
      <w:pPr>
        <w:autoSpaceDE w:val="0"/>
        <w:autoSpaceDN w:val="0"/>
        <w:adjustRightInd w:val="0"/>
        <w:ind w:right="12"/>
        <w:jc w:val="both"/>
      </w:pPr>
      <w:r>
        <w:sym w:font="Symbol" w:char="F0B7"/>
      </w:r>
      <w:r>
        <w:t xml:space="preserve"> Toute plainte enregistrée doit, si besoin est, faire l’objet d’une visite d’inspection par un spécialiste avisé au plus tard sept (7) jours après la réception.</w:t>
      </w:r>
    </w:p>
    <w:p w:rsidR="00D14C2F" w:rsidRDefault="00D14C2F" w:rsidP="00A76F4A">
      <w:pPr>
        <w:autoSpaceDE w:val="0"/>
        <w:autoSpaceDN w:val="0"/>
        <w:adjustRightInd w:val="0"/>
        <w:ind w:right="12"/>
        <w:jc w:val="both"/>
      </w:pPr>
      <w:r>
        <w:sym w:font="Symbol" w:char="F0B7"/>
      </w:r>
      <w:r>
        <w:t xml:space="preserve">75% des plaintes doivent être fermées dans les 30 jours qui suivent leur enregistrement. Les plaintes qui nécessitent plus de temps d’investigation seront traitées au fur et à mesure et dans les meilleurs délais possibles. </w:t>
      </w:r>
    </w:p>
    <w:p w:rsidR="00D14C2F" w:rsidRDefault="00D14C2F" w:rsidP="00A76F4A">
      <w:pPr>
        <w:autoSpaceDE w:val="0"/>
        <w:autoSpaceDN w:val="0"/>
        <w:adjustRightInd w:val="0"/>
        <w:ind w:right="12"/>
        <w:jc w:val="both"/>
      </w:pPr>
      <w:r>
        <w:sym w:font="Symbol" w:char="F0B7"/>
      </w:r>
      <w:r>
        <w:t xml:space="preserve"> Toutes les plaintes doivent être enregistrées et les investigations relatives documentées. Le registre des plaintes sera inclus dans les rapports réguliers (mensuel) que remettra le UCP</w:t>
      </w:r>
    </w:p>
    <w:p w:rsidR="006B7346" w:rsidRDefault="006B7346" w:rsidP="00A76F4A">
      <w:pPr>
        <w:ind w:left="-284" w:right="12"/>
        <w:jc w:val="both"/>
      </w:pPr>
    </w:p>
    <w:p w:rsidR="00BB09FC" w:rsidRPr="00036229" w:rsidRDefault="00CD3CF4" w:rsidP="00CD3CF4">
      <w:pPr>
        <w:ind w:right="12"/>
        <w:jc w:val="both"/>
        <w:rPr>
          <w:b/>
        </w:rPr>
      </w:pPr>
      <w:r w:rsidRPr="00036229">
        <w:rPr>
          <w:b/>
        </w:rPr>
        <w:t>Approche du MGPT</w:t>
      </w:r>
    </w:p>
    <w:p w:rsidR="00BB09FC" w:rsidRDefault="00BB09FC" w:rsidP="00A76F4A">
      <w:pPr>
        <w:autoSpaceDE w:val="0"/>
        <w:autoSpaceDN w:val="0"/>
        <w:adjustRightInd w:val="0"/>
        <w:ind w:right="12"/>
        <w:jc w:val="both"/>
      </w:pPr>
      <w:r>
        <w:t>Les interactions entre les travailleurs eux-mêmes et les employeurs peuvent être source de situations contentieuses. Afin de minimiser ce genre de situations, l’UCP établira un mécanisme de gestion des plaintes qui est un dispositif devant permettre de régler aussi rapidement que possible les problèmes, difficultés ou incompréhensions rencontrés au cours des activités du projet, en privilégiant des solutions à l’amiable.</w:t>
      </w:r>
    </w:p>
    <w:p w:rsidR="00BB09FC" w:rsidRDefault="00BB09FC" w:rsidP="00A76F4A">
      <w:pPr>
        <w:autoSpaceDE w:val="0"/>
        <w:autoSpaceDN w:val="0"/>
        <w:adjustRightInd w:val="0"/>
        <w:ind w:right="12"/>
        <w:jc w:val="both"/>
      </w:pPr>
      <w:r>
        <w:t xml:space="preserve">Il s’appliquera à tous les types de travailleurs du projet et constituera un moyen structuré de recevoir et de régler une préoccupation soulevée par ces derniers qui auraient estimé avoir été lésés par les moyens et conditions de travail. Les plaintes seront traitées promptement selon un processus compréhensible et transparent, approprié sur le plan culturel, gratuit et sans représailles. </w:t>
      </w:r>
    </w:p>
    <w:p w:rsidR="00BB09FC" w:rsidRDefault="00BB09FC" w:rsidP="00A76F4A">
      <w:pPr>
        <w:autoSpaceDE w:val="0"/>
        <w:autoSpaceDN w:val="0"/>
        <w:adjustRightInd w:val="0"/>
        <w:ind w:right="12"/>
        <w:jc w:val="both"/>
      </w:pPr>
    </w:p>
    <w:p w:rsidR="00080485" w:rsidRDefault="00BB09FC" w:rsidP="00A76F4A">
      <w:pPr>
        <w:autoSpaceDE w:val="0"/>
        <w:autoSpaceDN w:val="0"/>
        <w:adjustRightInd w:val="0"/>
        <w:ind w:right="12"/>
        <w:jc w:val="both"/>
      </w:pPr>
      <w:r>
        <w:t xml:space="preserve">La plainte pourra se faire sur la hotline téléphonique de l’UCP du projet ou bien au travers du formulaire disponible. Les plaintes peuvent prendre la forme de plaintes spécifiques à propos du salaire, des conditions de travail, des incidents ou accidents, de dommages ou préjudices réels, de requêtes de corrections, de préoccupations générales sur les travaux, d’incidents et impacts perçus ou réels (numéro de la hotline à insérer). La priorité sera accordée à la négociation et à la conciliation à l’amiable. Les travailleurs seront informés, au travers de leur contrat, de la procédure à suivre pour exprimer leur mécontentement et présenter leurs plaintes. Bien que la gestion de la réception des plaintes des travailleurs se fait par le bureau </w:t>
      </w:r>
      <w:r>
        <w:lastRenderedPageBreak/>
        <w:t xml:space="preserve">l’UCP, un travailleur peut choisir librement de s’adresser directement à la FAO. Le registre des plaintes sera accessible auprès du UCP </w:t>
      </w:r>
      <w:r w:rsidR="00080485">
        <w:t xml:space="preserve">ou de LA DGA, </w:t>
      </w:r>
      <w:r>
        <w:t xml:space="preserve">sera actualisé mensuellement. </w:t>
      </w:r>
    </w:p>
    <w:p w:rsidR="00BB09FC" w:rsidRDefault="00BB09FC" w:rsidP="00A76F4A">
      <w:pPr>
        <w:autoSpaceDE w:val="0"/>
        <w:autoSpaceDN w:val="0"/>
        <w:adjustRightInd w:val="0"/>
        <w:ind w:right="12"/>
        <w:jc w:val="both"/>
      </w:pPr>
      <w:r>
        <w:t>Si les négociations s</w:t>
      </w:r>
      <w:r w:rsidR="00080485">
        <w:t>’avèrent difficiles, l’UGP et la FAO</w:t>
      </w:r>
      <w:r>
        <w:t xml:space="preserve"> se chargeront, en coordination, de conduire les négociations à travers son mécanisme élargi de gestion des plaintes présenté dans le Plan de Mobilisation des Parties Prenan</w:t>
      </w:r>
      <w:r w:rsidR="00080485">
        <w:t>tes (PMPP) du projet PUSA</w:t>
      </w:r>
      <w:r>
        <w:t>. En dehors de ces mécanismes internes, les travailleurs pourront avoir recours aux mécanismes étatiques de règlement de litige (autorités administratives et judiciaires). Dans ce dernier cas, le projet doit leur garantir un accompagnement, en fournissant des conseils et en prenant en charge les frais de procédure.</w:t>
      </w:r>
    </w:p>
    <w:p w:rsidR="00080485" w:rsidRDefault="00080485" w:rsidP="00A76F4A">
      <w:pPr>
        <w:ind w:left="-284" w:right="12"/>
        <w:jc w:val="both"/>
      </w:pPr>
    </w:p>
    <w:p w:rsidR="00080485" w:rsidRPr="00252B4C" w:rsidRDefault="00080485" w:rsidP="00CD3CF4">
      <w:pPr>
        <w:ind w:right="12"/>
        <w:jc w:val="both"/>
        <w:rPr>
          <w:b/>
        </w:rPr>
      </w:pPr>
      <w:r w:rsidRPr="00252B4C">
        <w:rPr>
          <w:b/>
        </w:rPr>
        <w:t xml:space="preserve">Procédure, recours et traitement des plaintes </w:t>
      </w:r>
    </w:p>
    <w:p w:rsidR="00080485" w:rsidRDefault="00080485" w:rsidP="00A76F4A">
      <w:pPr>
        <w:autoSpaceDE w:val="0"/>
        <w:autoSpaceDN w:val="0"/>
        <w:adjustRightInd w:val="0"/>
        <w:ind w:right="12"/>
        <w:jc w:val="both"/>
      </w:pPr>
      <w:r>
        <w:t>Les différentes étapes de la procédure de résolution des plaintes des travailleurs sont présentées ci-après. Chaque réclamation ou plainte, qu’elle soit ou non fondée, devra passer à travers le processus de résolution. De manière générale, lorsqu’un travailleur arrive à se plaindre, cela signifie que le problème soulevé constitue un inconvénient, un risque ou un impact p</w:t>
      </w:r>
      <w:r w:rsidR="006F085D">
        <w:t>ertinent qui nécessite que la</w:t>
      </w:r>
      <w:r>
        <w:t xml:space="preserve"> FAO et l´UGP y apporte une solution. Que la plainte soit réelle ou qu’elle résulte d’une mauvaise interprétation, elle doit être enregistrée selon la procédure mise en place qui est basée sur les principes fondamentaux suivants : </w:t>
      </w:r>
    </w:p>
    <w:p w:rsidR="00080485" w:rsidRDefault="00080485" w:rsidP="00A76F4A">
      <w:pPr>
        <w:autoSpaceDE w:val="0"/>
        <w:autoSpaceDN w:val="0"/>
        <w:adjustRightInd w:val="0"/>
        <w:ind w:right="12"/>
        <w:jc w:val="both"/>
      </w:pPr>
      <w:r>
        <w:sym w:font="Symbol" w:char="F0B7"/>
      </w:r>
      <w:r>
        <w:t xml:space="preserve"> La procédure de résolution des plaintes doit être transparente et en harmonie avec la culture locale </w:t>
      </w:r>
    </w:p>
    <w:p w:rsidR="00080485" w:rsidRDefault="00080485" w:rsidP="00A76F4A">
      <w:pPr>
        <w:autoSpaceDE w:val="0"/>
        <w:autoSpaceDN w:val="0"/>
        <w:adjustRightInd w:val="0"/>
        <w:ind w:right="12"/>
        <w:jc w:val="both"/>
      </w:pPr>
      <w:r>
        <w:sym w:font="Symbol" w:char="F0B7"/>
      </w:r>
      <w:r>
        <w:t xml:space="preserve"> L’enregistrement des plaintes tiendra compte du niveau académique des travailleurs et privilégiera la langue créole et leurs résolutions devront être communiquées aux plaignants verbalement et par écrit ;</w:t>
      </w:r>
    </w:p>
    <w:p w:rsidR="00080485" w:rsidRDefault="00080485" w:rsidP="00A76F4A">
      <w:pPr>
        <w:autoSpaceDE w:val="0"/>
        <w:autoSpaceDN w:val="0"/>
        <w:adjustRightInd w:val="0"/>
        <w:ind w:right="12"/>
        <w:jc w:val="both"/>
      </w:pPr>
      <w:r>
        <w:sym w:font="Symbol" w:char="F0B7"/>
      </w:r>
      <w:r>
        <w:t xml:space="preserve"> Les travailleurs doivent avoir un accès équitable à la procédure (hommes ou femmes, </w:t>
      </w:r>
      <w:r w:rsidR="006F085D">
        <w:t>main-d’œuvre</w:t>
      </w:r>
      <w:r>
        <w:t xml:space="preserve"> spécialisée ou non) ; </w:t>
      </w:r>
    </w:p>
    <w:p w:rsidR="00080485" w:rsidRDefault="00080485" w:rsidP="00A76F4A">
      <w:pPr>
        <w:autoSpaceDE w:val="0"/>
        <w:autoSpaceDN w:val="0"/>
        <w:adjustRightInd w:val="0"/>
        <w:ind w:right="12"/>
        <w:jc w:val="both"/>
      </w:pPr>
      <w:r>
        <w:sym w:font="Symbol" w:char="F0B7"/>
      </w:r>
      <w:r>
        <w:t xml:space="preserve"> Les plaintes et réclamations, réelles ou irréelles, doivent être enregistrées selon la procédure de résolution des plaintes ;</w:t>
      </w:r>
    </w:p>
    <w:p w:rsidR="00080485" w:rsidRDefault="00080485" w:rsidP="00A76F4A">
      <w:pPr>
        <w:autoSpaceDE w:val="0"/>
        <w:autoSpaceDN w:val="0"/>
        <w:adjustRightInd w:val="0"/>
        <w:ind w:right="12"/>
        <w:jc w:val="both"/>
      </w:pPr>
      <w:r>
        <w:t xml:space="preserve"> </w:t>
      </w:r>
      <w:r>
        <w:sym w:font="Symbol" w:char="F0B7"/>
      </w:r>
      <w:r>
        <w:t xml:space="preserve"> Les plaintes enregistrées doivent </w:t>
      </w:r>
      <w:r w:rsidR="006F085D">
        <w:t xml:space="preserve">être communiquées à l’UGP et à FAO dans les meilleurs délais </w:t>
      </w:r>
    </w:p>
    <w:p w:rsidR="00080485" w:rsidRDefault="00080485" w:rsidP="00A76F4A">
      <w:pPr>
        <w:autoSpaceDE w:val="0"/>
        <w:autoSpaceDN w:val="0"/>
        <w:adjustRightInd w:val="0"/>
        <w:ind w:right="12"/>
        <w:jc w:val="both"/>
      </w:pPr>
      <w:r>
        <w:sym w:font="Symbol" w:char="F0B7"/>
      </w:r>
      <w:r>
        <w:t xml:space="preserve"> Les plaintes doivent déboucher sur des discussions avec le(la) plaignant(e) afin de mieux saisir la nature du problème.</w:t>
      </w:r>
    </w:p>
    <w:p w:rsidR="00080485" w:rsidRDefault="00080485" w:rsidP="00A76F4A">
      <w:pPr>
        <w:autoSpaceDE w:val="0"/>
        <w:autoSpaceDN w:val="0"/>
        <w:adjustRightInd w:val="0"/>
        <w:ind w:right="12"/>
        <w:jc w:val="both"/>
      </w:pPr>
    </w:p>
    <w:p w:rsidR="006F085D" w:rsidRPr="00252B4C" w:rsidRDefault="006F085D" w:rsidP="00CD3CF4">
      <w:pPr>
        <w:ind w:left="142" w:right="12"/>
        <w:jc w:val="both"/>
        <w:rPr>
          <w:b/>
        </w:rPr>
      </w:pPr>
      <w:r w:rsidRPr="00252B4C">
        <w:rPr>
          <w:b/>
        </w:rPr>
        <w:t xml:space="preserve"> Étape 1 : Réception, Enregistrement de la plainte </w:t>
      </w:r>
    </w:p>
    <w:p w:rsidR="00EA69FA" w:rsidRDefault="006F085D" w:rsidP="00A76F4A">
      <w:pPr>
        <w:autoSpaceDE w:val="0"/>
        <w:autoSpaceDN w:val="0"/>
        <w:adjustRightInd w:val="0"/>
        <w:ind w:right="12"/>
        <w:jc w:val="both"/>
      </w:pPr>
      <w:r>
        <w:t>La plainte peut être déposée par téléphone d</w:t>
      </w:r>
      <w:r w:rsidR="00EC652E">
        <w:t>irectement sur la hotline de l’UCP et da la FAO</w:t>
      </w:r>
      <w:r>
        <w:t xml:space="preserve"> actuellement habilitée, ou bien par écrit ou oral. Si la plainte est déposée oralement, il </w:t>
      </w:r>
      <w:r w:rsidR="00EC652E">
        <w:t>est demandé au personnel de l’UCP ou de la FAO</w:t>
      </w:r>
      <w:r>
        <w:t xml:space="preserve"> de remplir le formulaire et de le faire signer par le plaignant. Un dossier sera créé pour chaque plainte qui comprendra, entre autres, les éléments suivants :</w:t>
      </w:r>
    </w:p>
    <w:p w:rsidR="00EA69FA" w:rsidRDefault="006F085D" w:rsidP="00A76F4A">
      <w:pPr>
        <w:autoSpaceDE w:val="0"/>
        <w:autoSpaceDN w:val="0"/>
        <w:adjustRightInd w:val="0"/>
        <w:ind w:right="12"/>
        <w:jc w:val="both"/>
      </w:pPr>
      <w:r>
        <w:t xml:space="preserve"> </w:t>
      </w:r>
      <w:r>
        <w:sym w:font="Symbol" w:char="F0B7"/>
      </w:r>
      <w:r>
        <w:t xml:space="preserve"> Une fiche sur la plainte initiale comprenant la date de réception de la plainte, les coordonnées du plaignant et une description de la </w:t>
      </w:r>
      <w:r w:rsidR="00EA69FA">
        <w:t>plainte ;</w:t>
      </w:r>
      <w:r>
        <w:t xml:space="preserve"> </w:t>
      </w:r>
    </w:p>
    <w:p w:rsidR="00EA69FA" w:rsidRDefault="006F085D" w:rsidP="00A76F4A">
      <w:pPr>
        <w:autoSpaceDE w:val="0"/>
        <w:autoSpaceDN w:val="0"/>
        <w:adjustRightInd w:val="0"/>
        <w:ind w:right="12"/>
        <w:jc w:val="both"/>
      </w:pPr>
      <w:r>
        <w:sym w:font="Symbol" w:char="F0B7"/>
      </w:r>
      <w:r>
        <w:t xml:space="preserve"> Un accusé de réception de la plainte est remis au plaignant à la suite de l’enregistrement ;</w:t>
      </w:r>
    </w:p>
    <w:p w:rsidR="00EA69FA" w:rsidRDefault="006F085D" w:rsidP="00A76F4A">
      <w:pPr>
        <w:autoSpaceDE w:val="0"/>
        <w:autoSpaceDN w:val="0"/>
        <w:adjustRightInd w:val="0"/>
        <w:ind w:right="12"/>
        <w:jc w:val="both"/>
      </w:pPr>
      <w:r>
        <w:sym w:font="Symbol" w:char="F0B7"/>
      </w:r>
      <w:r>
        <w:t xml:space="preserve"> Une fiche de suivi de la plainte pour le suivi des mesures prises (enquête, mesures correctives) ;</w:t>
      </w:r>
    </w:p>
    <w:p w:rsidR="006F085D" w:rsidRDefault="006F085D" w:rsidP="00A76F4A">
      <w:pPr>
        <w:autoSpaceDE w:val="0"/>
        <w:autoSpaceDN w:val="0"/>
        <w:adjustRightInd w:val="0"/>
        <w:ind w:right="12"/>
        <w:jc w:val="both"/>
      </w:pPr>
      <w:r>
        <w:sym w:font="Symbol" w:char="F0B7"/>
      </w:r>
      <w:r>
        <w:t xml:space="preserve"> Une fiche de clôture du dossier, dont une copie sera remise à l’UGP/</w:t>
      </w:r>
      <w:r w:rsidR="00EA69FA">
        <w:t>FAO</w:t>
      </w:r>
      <w:r>
        <w:t xml:space="preserve"> et au plaignant après que ce dernier ait accepté la clôture et ait signé la fiche.</w:t>
      </w:r>
    </w:p>
    <w:p w:rsidR="00EA69FA" w:rsidRDefault="00EA69FA" w:rsidP="00A76F4A">
      <w:pPr>
        <w:ind w:left="-284" w:right="12"/>
        <w:jc w:val="both"/>
      </w:pPr>
    </w:p>
    <w:p w:rsidR="00EA69FA" w:rsidRPr="00252B4C" w:rsidRDefault="00EA69FA" w:rsidP="00CD3CF4">
      <w:pPr>
        <w:ind w:right="12"/>
        <w:jc w:val="both"/>
        <w:rPr>
          <w:b/>
        </w:rPr>
      </w:pPr>
      <w:r w:rsidRPr="00252B4C">
        <w:rPr>
          <w:b/>
        </w:rPr>
        <w:t>Étape 2 : Traitement de la plainte</w:t>
      </w:r>
    </w:p>
    <w:p w:rsidR="00EA69FA" w:rsidRDefault="00EA69FA" w:rsidP="00A76F4A">
      <w:pPr>
        <w:autoSpaceDE w:val="0"/>
        <w:autoSpaceDN w:val="0"/>
        <w:adjustRightInd w:val="0"/>
        <w:ind w:right="12"/>
        <w:jc w:val="both"/>
      </w:pPr>
      <w:r>
        <w:t xml:space="preserve"> Le SSES de l´UGP, en coordination avec la FAO, procèdera au traitement de la plainte à travers les activités suivantes : </w:t>
      </w:r>
    </w:p>
    <w:p w:rsidR="00EA69FA" w:rsidRDefault="00EA69FA" w:rsidP="00A76F4A">
      <w:pPr>
        <w:autoSpaceDE w:val="0"/>
        <w:autoSpaceDN w:val="0"/>
        <w:adjustRightInd w:val="0"/>
        <w:ind w:right="12"/>
        <w:jc w:val="both"/>
      </w:pPr>
      <w:r>
        <w:lastRenderedPageBreak/>
        <w:sym w:font="Symbol" w:char="F0B7"/>
      </w:r>
      <w:r>
        <w:t xml:space="preserve"> Rencontrer et discuter avec le(la) plaignant(e) ; </w:t>
      </w:r>
    </w:p>
    <w:p w:rsidR="00EA69FA" w:rsidRDefault="00EA69FA" w:rsidP="00A76F4A">
      <w:pPr>
        <w:autoSpaceDE w:val="0"/>
        <w:autoSpaceDN w:val="0"/>
        <w:adjustRightInd w:val="0"/>
        <w:ind w:right="12"/>
        <w:jc w:val="both"/>
      </w:pPr>
      <w:r>
        <w:sym w:font="Symbol" w:char="F0B7"/>
      </w:r>
      <w:r>
        <w:t xml:space="preserve"> Déterminer la légitimité de la plainte ; </w:t>
      </w:r>
    </w:p>
    <w:p w:rsidR="00EA69FA" w:rsidRDefault="00EA69FA" w:rsidP="00A76F4A">
      <w:pPr>
        <w:autoSpaceDE w:val="0"/>
        <w:autoSpaceDN w:val="0"/>
        <w:adjustRightInd w:val="0"/>
        <w:ind w:right="12"/>
        <w:jc w:val="both"/>
      </w:pPr>
      <w:r>
        <w:sym w:font="Symbol" w:char="F0B7"/>
      </w:r>
      <w:r>
        <w:t xml:space="preserve"> Informer le PAM de la plainte reçue ainsi que de sa légitimité ; </w:t>
      </w:r>
    </w:p>
    <w:p w:rsidR="00EA69FA" w:rsidRDefault="00EA69FA" w:rsidP="00A76F4A">
      <w:pPr>
        <w:autoSpaceDE w:val="0"/>
        <w:autoSpaceDN w:val="0"/>
        <w:adjustRightInd w:val="0"/>
        <w:ind w:right="12"/>
        <w:jc w:val="both"/>
      </w:pPr>
      <w:r>
        <w:sym w:font="Symbol" w:char="F0B7"/>
      </w:r>
      <w:r>
        <w:t xml:space="preserve"> Clôturer la plainte si elle n’est pas fondée par exemple. L’UGP fournira une réponse verbale et/ou écrite au (à la) plaignant(e). Le cas contraire ;</w:t>
      </w:r>
    </w:p>
    <w:p w:rsidR="00EA69FA" w:rsidRDefault="00EA69FA" w:rsidP="00A76F4A">
      <w:pPr>
        <w:autoSpaceDE w:val="0"/>
        <w:autoSpaceDN w:val="0"/>
        <w:adjustRightInd w:val="0"/>
        <w:ind w:right="12"/>
        <w:jc w:val="both"/>
      </w:pPr>
      <w:r>
        <w:sym w:font="Symbol" w:char="F0B7"/>
      </w:r>
      <w:r>
        <w:t xml:space="preserve"> Classifier la plainte en fonction de son ampleur : mineure, modérée, sérieuse, majeure ou catastrophique et proposer une solution ; </w:t>
      </w:r>
    </w:p>
    <w:p w:rsidR="00EA69FA" w:rsidRDefault="00EA69FA" w:rsidP="00A76F4A">
      <w:pPr>
        <w:autoSpaceDE w:val="0"/>
        <w:autoSpaceDN w:val="0"/>
        <w:adjustRightInd w:val="0"/>
        <w:ind w:right="12"/>
        <w:jc w:val="both"/>
      </w:pPr>
      <w:r>
        <w:sym w:font="Symbol" w:char="F0B7"/>
      </w:r>
      <w:r>
        <w:t xml:space="preserve"> Clôturer la plainte si le/la (les) plaignant/e(s) est (sont) d’accord avec la solution proposée. Le cas contraire ; </w:t>
      </w:r>
    </w:p>
    <w:p w:rsidR="00EA69FA" w:rsidRDefault="00EA69FA" w:rsidP="00A76F4A">
      <w:pPr>
        <w:autoSpaceDE w:val="0"/>
        <w:autoSpaceDN w:val="0"/>
        <w:adjustRightInd w:val="0"/>
        <w:ind w:right="12"/>
        <w:jc w:val="both"/>
      </w:pPr>
      <w:r>
        <w:sym w:font="Symbol" w:char="F0B7"/>
      </w:r>
      <w:r>
        <w:t xml:space="preserve"> Le/la (les) plaignant/e(s) peuvent recourir à des procédures d’appel qui nécessiteront de nouveaux examens, enquêtes, consultations et traitements. </w:t>
      </w:r>
    </w:p>
    <w:p w:rsidR="00EA69FA" w:rsidRDefault="00EA69FA" w:rsidP="00A76F4A">
      <w:pPr>
        <w:autoSpaceDE w:val="0"/>
        <w:autoSpaceDN w:val="0"/>
        <w:adjustRightInd w:val="0"/>
        <w:ind w:right="12"/>
        <w:jc w:val="both"/>
      </w:pPr>
    </w:p>
    <w:p w:rsidR="00EA69FA" w:rsidRPr="00252B4C" w:rsidRDefault="00EA69FA" w:rsidP="00CD3CF4">
      <w:pPr>
        <w:ind w:right="12"/>
        <w:jc w:val="both"/>
        <w:rPr>
          <w:b/>
        </w:rPr>
      </w:pPr>
      <w:r w:rsidRPr="00252B4C">
        <w:rPr>
          <w:b/>
        </w:rPr>
        <w:t xml:space="preserve">Étape 3 : Recours à la justice </w:t>
      </w:r>
    </w:p>
    <w:p w:rsidR="00EA69FA" w:rsidRDefault="00EA69FA" w:rsidP="00A76F4A">
      <w:pPr>
        <w:autoSpaceDE w:val="0"/>
        <w:autoSpaceDN w:val="0"/>
        <w:adjustRightInd w:val="0"/>
        <w:ind w:right="12"/>
        <w:jc w:val="both"/>
      </w:pPr>
      <w:r>
        <w:t xml:space="preserve">Le fait qu’un travailleur ait soumis une plainte ou une réclamation au projet ne lui enlève pas le droit de recourir à la justice pour ses revendications. Ainsi, en cas de non-satisfaction à l’issue du traitement de sa plainte, un travailleur peut saisir l’Autorité Étatique compétente, incluant, entre autres, le Ministère du Travail, les tribunaux de première instance et d’appel si nécessaire, auxquels il soumet ses réclamations. </w:t>
      </w:r>
    </w:p>
    <w:p w:rsidR="00EA69FA" w:rsidRDefault="00EA69FA" w:rsidP="00A76F4A">
      <w:pPr>
        <w:autoSpaceDE w:val="0"/>
        <w:autoSpaceDN w:val="0"/>
        <w:adjustRightInd w:val="0"/>
        <w:ind w:right="12"/>
        <w:jc w:val="both"/>
      </w:pPr>
    </w:p>
    <w:p w:rsidR="00EA69FA" w:rsidRDefault="00EA69FA" w:rsidP="00A76F4A">
      <w:pPr>
        <w:autoSpaceDE w:val="0"/>
        <w:autoSpaceDN w:val="0"/>
        <w:adjustRightInd w:val="0"/>
        <w:ind w:right="12"/>
        <w:jc w:val="both"/>
      </w:pPr>
      <w:r>
        <w:t>Le projet doit assister matériellement et financièrement le travailleur à faire valoir ses droits devant toute juridiction qu’il aura saisie de sa plainte. Si la décision sur le litige soumis par le travailleur était de nature à changer ou à influencer la manière dont l’activité du projet est mise en œuvre, ou à modifier ses résultats ; la Coordination de l’UGP doit ordonner l’arrêt provisoire des activités jusqu’à la prise de décision finale sur ce litige. Les décisions rendues par les juridictions nationales sur les demandes du travailleur s’imposent à la FAO et à l´UGP, et à tous les autres contractants qui travaillent en vertu d’un contrat avec le projet PUSA.</w:t>
      </w:r>
    </w:p>
    <w:p w:rsidR="0057150A" w:rsidRPr="00681EC7" w:rsidRDefault="0057150A" w:rsidP="00A76F4A">
      <w:pPr>
        <w:ind w:left="-284" w:right="12"/>
        <w:rPr>
          <w:rFonts w:eastAsia="Calibri"/>
          <w:sz w:val="21"/>
          <w:szCs w:val="21"/>
        </w:rPr>
      </w:pPr>
    </w:p>
    <w:p w:rsidR="00681EC7" w:rsidRPr="00CD3CF4" w:rsidRDefault="00681EC7" w:rsidP="00CD3CF4">
      <w:pPr>
        <w:ind w:right="12"/>
        <w:contextualSpacing/>
        <w:outlineLvl w:val="1"/>
        <w:rPr>
          <w:rFonts w:eastAsia="Times New Roman"/>
          <w:b/>
          <w:bCs/>
          <w:lang w:eastAsia="es-ES"/>
        </w:rPr>
      </w:pPr>
      <w:bookmarkStart w:id="544" w:name="_Toc67508589"/>
      <w:bookmarkStart w:id="545" w:name="_Toc69918777"/>
      <w:bookmarkStart w:id="546" w:name="_Toc73459823"/>
      <w:bookmarkStart w:id="547" w:name="_Toc75432375"/>
      <w:r w:rsidRPr="00CD3CF4">
        <w:rPr>
          <w:rFonts w:eastAsia="Times New Roman"/>
          <w:b/>
          <w:bCs/>
          <w:lang w:eastAsia="es-ES"/>
        </w:rPr>
        <w:t>GESTION DES FOURNISSEURS ET PRESTATAIRES</w:t>
      </w:r>
      <w:bookmarkEnd w:id="544"/>
      <w:bookmarkEnd w:id="545"/>
      <w:bookmarkEnd w:id="546"/>
      <w:bookmarkEnd w:id="547"/>
      <w:r w:rsidRPr="00CD3CF4">
        <w:rPr>
          <w:rFonts w:eastAsia="Times New Roman"/>
          <w:b/>
          <w:bCs/>
          <w:lang w:eastAsia="es-ES"/>
        </w:rPr>
        <w:t> </w:t>
      </w:r>
    </w:p>
    <w:p w:rsidR="00681EC7" w:rsidRPr="006D0904" w:rsidRDefault="00681EC7" w:rsidP="00A76F4A">
      <w:pPr>
        <w:autoSpaceDE w:val="0"/>
        <w:autoSpaceDN w:val="0"/>
        <w:adjustRightInd w:val="0"/>
        <w:ind w:right="12"/>
        <w:jc w:val="both"/>
      </w:pPr>
      <w:r w:rsidRPr="006D0904">
        <w:t xml:space="preserve">Les fournisseurs de biens et prestataires de services seront sélectionnés selon les procédures d’appel à concurrence précisées dans le plan de passation des marchés du projet. Les prestations seront régies par le code du travail de Guinée Bissau et le code des impôts et seront exécutées dans le respect des NES de la Banque mondiale. </w:t>
      </w:r>
    </w:p>
    <w:p w:rsidR="00681EC7" w:rsidRPr="006D0904" w:rsidRDefault="00681EC7" w:rsidP="00A76F4A">
      <w:pPr>
        <w:autoSpaceDE w:val="0"/>
        <w:autoSpaceDN w:val="0"/>
        <w:adjustRightInd w:val="0"/>
        <w:ind w:right="12"/>
        <w:jc w:val="both"/>
      </w:pPr>
    </w:p>
    <w:p w:rsidR="00681EC7" w:rsidRPr="006D0904" w:rsidRDefault="00681EC7" w:rsidP="00A76F4A">
      <w:pPr>
        <w:autoSpaceDE w:val="0"/>
        <w:autoSpaceDN w:val="0"/>
        <w:adjustRightInd w:val="0"/>
        <w:ind w:right="12"/>
        <w:jc w:val="both"/>
      </w:pPr>
      <w:r w:rsidRPr="006D0904">
        <w:t xml:space="preserve">L’UGP mettra en œuvre des procédures pour s’assurer que les tiers qui engagent des travailleurs contractuels sont des entités légalement constituées et fiables et ont mis au point des procédures de gestion de la main-d’œuvre adaptées au projet qui leur permettront d’exercer leurs activités en conformité aux dispositions de la NES no2 de la Banque mondiale. Sous la supervision de l’UGP, les fournisseurs et prestataires de services seront appelés à mettre en œuvre leurs services selon les normes établies dans le CGES du projet PUSA. Ils doivent s’approprier d’abord à la législation environnementale en Guinée Bissau et aux NES du CES de la Banque recommandées dans la phase d’exécution du projet. Des clauses de gestion environnementale et sociale, en particulier de santé et sécurité au travail (SST) seront systématiquement introduites dans les dossiers d’appel d’offre et les contrats des prestataires de service. </w:t>
      </w:r>
    </w:p>
    <w:p w:rsidR="00681EC7" w:rsidRPr="006D0904" w:rsidRDefault="00681EC7" w:rsidP="00A76F4A">
      <w:pPr>
        <w:autoSpaceDE w:val="0"/>
        <w:autoSpaceDN w:val="0"/>
        <w:adjustRightInd w:val="0"/>
        <w:ind w:right="12"/>
        <w:jc w:val="both"/>
      </w:pPr>
    </w:p>
    <w:p w:rsidR="00681EC7" w:rsidRPr="006D0904" w:rsidRDefault="00681EC7" w:rsidP="00A76F4A">
      <w:pPr>
        <w:autoSpaceDE w:val="0"/>
        <w:autoSpaceDN w:val="0"/>
        <w:adjustRightInd w:val="0"/>
        <w:ind w:right="12"/>
        <w:jc w:val="both"/>
      </w:pPr>
      <w:r w:rsidRPr="006D0904">
        <w:t xml:space="preserve">Les bonnes pratiques d’hygiène doivent être appliquées sur les activités du projet : chaque entrepreneur doit mettre à la disposition des travailleurs des toilettes, savonnettes, papiers et eau de bonne qualité et en quantité nécessaire pour le lavage des mains, ainsi que des cache-nez (masques). </w:t>
      </w:r>
    </w:p>
    <w:p w:rsidR="00681EC7" w:rsidRPr="006D0904" w:rsidRDefault="00681EC7" w:rsidP="00A76F4A">
      <w:pPr>
        <w:autoSpaceDE w:val="0"/>
        <w:autoSpaceDN w:val="0"/>
        <w:adjustRightInd w:val="0"/>
        <w:ind w:right="12"/>
        <w:jc w:val="both"/>
      </w:pPr>
    </w:p>
    <w:p w:rsidR="00681EC7" w:rsidRPr="006D0904" w:rsidRDefault="00681EC7" w:rsidP="00A76F4A">
      <w:pPr>
        <w:autoSpaceDE w:val="0"/>
        <w:autoSpaceDN w:val="0"/>
        <w:adjustRightInd w:val="0"/>
        <w:ind w:right="12"/>
        <w:jc w:val="both"/>
      </w:pPr>
      <w:r w:rsidRPr="006D0904">
        <w:t xml:space="preserve">L’UGP mettra en place des procédures pour la gestion et le suivi de la performance de ces tiers en relation avec les obligations de la NES no 2 de la Banque mondiale. En outre, l’UGP intégrera lesdites exigences dans les dispositions contractuelles avec ces tiers, ainsi que des mécanismes de recours appropriés en cas de non-conformité. S’agissant de sous-traitance, l’UGP exigera de ces tiers qu’ils incluent des dispositions équivalentes et des mécanismes de recours en cas de non-conformité dans leurs accords contractuels avec les sous-traitants. </w:t>
      </w:r>
    </w:p>
    <w:p w:rsidR="00681EC7" w:rsidRPr="006D0904" w:rsidRDefault="00681EC7" w:rsidP="00A76F4A">
      <w:pPr>
        <w:autoSpaceDE w:val="0"/>
        <w:autoSpaceDN w:val="0"/>
        <w:adjustRightInd w:val="0"/>
        <w:ind w:right="12"/>
        <w:jc w:val="both"/>
      </w:pPr>
      <w:r w:rsidRPr="006D0904">
        <w:t xml:space="preserve">Comme précise le mécanisme de gestion des plaintes au chapitre IX, les travailleurs contractuels auront accès au mécanisme de gestion des plaintes du projet à travers les principaux canaux sites ci-dessus. Dans tous les cas, les plaintes seront acheminées à l’UGP et au FAO pour les suites nécessaires. Les plaintes qui sont liées aux conditions de travail ou aux salaires et qui sont gérées à la satisfaction du (de la) plaignant(e), doivent être communiquées formellement à l’UGP pour suivi et évaluation. Tous les contrats seront revus afin d’être certain qu’ils intègrent l ́information du mécanisme de gestion des plaintes des travailleurs (MGP). Le spécialiste sauvegarde de l’UGP s’assurera que les contrats sont conformes aux présentes procédures de gestion de la main-d’œuvre. </w:t>
      </w:r>
    </w:p>
    <w:p w:rsidR="00CE62A1" w:rsidRPr="00681EC7" w:rsidRDefault="00CE62A1" w:rsidP="00A76F4A">
      <w:pPr>
        <w:ind w:left="-284" w:right="12"/>
        <w:jc w:val="both"/>
        <w:rPr>
          <w:rFonts w:eastAsia="Calibri"/>
          <w:sz w:val="21"/>
          <w:szCs w:val="21"/>
        </w:rPr>
      </w:pPr>
    </w:p>
    <w:p w:rsidR="00681EC7" w:rsidRPr="00252B4C" w:rsidRDefault="00681EC7" w:rsidP="00CD3CF4">
      <w:pPr>
        <w:ind w:right="12"/>
        <w:contextualSpacing/>
        <w:outlineLvl w:val="1"/>
        <w:rPr>
          <w:rFonts w:eastAsia="Times New Roman"/>
          <w:b/>
          <w:bCs/>
          <w:sz w:val="22"/>
          <w:szCs w:val="22"/>
          <w:lang w:eastAsia="es-ES"/>
        </w:rPr>
      </w:pPr>
      <w:bookmarkStart w:id="548" w:name="_Toc67508590"/>
      <w:bookmarkStart w:id="549" w:name="_Toc69918778"/>
      <w:bookmarkStart w:id="550" w:name="_Toc73459824"/>
      <w:bookmarkStart w:id="551" w:name="_Toc75432376"/>
      <w:r w:rsidRPr="00252B4C">
        <w:rPr>
          <w:rFonts w:eastAsia="Times New Roman"/>
          <w:b/>
          <w:bCs/>
          <w:sz w:val="22"/>
          <w:szCs w:val="22"/>
          <w:lang w:eastAsia="es-ES"/>
        </w:rPr>
        <w:t>GESTION DES FOURNISSEURS ET PRESTATAIRES</w:t>
      </w:r>
      <w:bookmarkEnd w:id="548"/>
      <w:bookmarkEnd w:id="549"/>
      <w:bookmarkEnd w:id="550"/>
      <w:bookmarkEnd w:id="551"/>
      <w:r w:rsidRPr="00252B4C">
        <w:rPr>
          <w:rFonts w:eastAsia="Times New Roman"/>
          <w:b/>
          <w:bCs/>
          <w:sz w:val="22"/>
          <w:szCs w:val="22"/>
          <w:lang w:eastAsia="es-ES"/>
        </w:rPr>
        <w:t> </w:t>
      </w:r>
    </w:p>
    <w:p w:rsidR="00681EC7" w:rsidRPr="006D0904" w:rsidRDefault="00681EC7" w:rsidP="00A76F4A">
      <w:pPr>
        <w:autoSpaceDE w:val="0"/>
        <w:autoSpaceDN w:val="0"/>
        <w:adjustRightInd w:val="0"/>
        <w:ind w:right="12"/>
        <w:jc w:val="both"/>
      </w:pPr>
      <w:r w:rsidRPr="006D0904">
        <w:t xml:space="preserve">Il appartient à l’unité de coordination du projet de la FAO de mettre en place des procédures de sélection, des dispositions contractuelles et des procédures </w:t>
      </w:r>
      <w:r w:rsidR="005E613E" w:rsidRPr="006D0904">
        <w:t>des gestions</w:t>
      </w:r>
      <w:r w:rsidRPr="006D0904">
        <w:t xml:space="preserve"> et de suivi pour que les fournisseurs et les prestataires puissant se conformer à la législation nationale et aux normes NES 2 de la Banque Mondiale.</w:t>
      </w:r>
    </w:p>
    <w:p w:rsidR="00681EC7" w:rsidRPr="00681EC7" w:rsidRDefault="00681EC7" w:rsidP="00A76F4A">
      <w:pPr>
        <w:ind w:left="-284" w:right="12"/>
        <w:jc w:val="both"/>
        <w:rPr>
          <w:rFonts w:eastAsia="Calibri"/>
          <w:sz w:val="21"/>
          <w:szCs w:val="21"/>
        </w:rPr>
      </w:pPr>
    </w:p>
    <w:p w:rsidR="00681EC7" w:rsidRPr="00C62222" w:rsidRDefault="00681EC7" w:rsidP="00CD3CF4">
      <w:pPr>
        <w:ind w:right="12"/>
        <w:contextualSpacing/>
        <w:outlineLvl w:val="1"/>
        <w:rPr>
          <w:rFonts w:eastAsia="Times New Roman"/>
          <w:b/>
          <w:bCs/>
          <w:sz w:val="22"/>
          <w:szCs w:val="22"/>
          <w:lang w:eastAsia="es-ES"/>
        </w:rPr>
      </w:pPr>
      <w:bookmarkStart w:id="552" w:name="_Toc67508591"/>
      <w:bookmarkStart w:id="553" w:name="_Toc69918779"/>
      <w:bookmarkStart w:id="554" w:name="_Toc73459825"/>
      <w:bookmarkStart w:id="555" w:name="_Toc75432377"/>
      <w:r w:rsidRPr="00C62222">
        <w:rPr>
          <w:rFonts w:eastAsia="Times New Roman"/>
          <w:b/>
          <w:bCs/>
          <w:sz w:val="22"/>
          <w:szCs w:val="22"/>
          <w:lang w:eastAsia="es-ES"/>
        </w:rPr>
        <w:t>TRAVAILLEURS COMMUNAUTAIRES</w:t>
      </w:r>
      <w:bookmarkEnd w:id="552"/>
      <w:bookmarkEnd w:id="553"/>
      <w:bookmarkEnd w:id="554"/>
      <w:bookmarkEnd w:id="555"/>
    </w:p>
    <w:p w:rsidR="00FB762F" w:rsidRPr="006D0904" w:rsidRDefault="00681EC7" w:rsidP="00A76F4A">
      <w:pPr>
        <w:autoSpaceDE w:val="0"/>
        <w:autoSpaceDN w:val="0"/>
        <w:adjustRightInd w:val="0"/>
        <w:ind w:right="12"/>
        <w:jc w:val="both"/>
      </w:pPr>
      <w:r w:rsidRPr="006D0904">
        <w:t>Le travail communautaire n’est pas applicable sur le projet</w:t>
      </w:r>
    </w:p>
    <w:p w:rsidR="00556FEF" w:rsidRDefault="00556FEF" w:rsidP="00A76F4A">
      <w:pPr>
        <w:spacing w:after="160" w:line="259" w:lineRule="auto"/>
        <w:ind w:right="12"/>
        <w:rPr>
          <w:b/>
          <w:bCs/>
          <w:kern w:val="32"/>
          <w:sz w:val="28"/>
          <w:szCs w:val="28"/>
        </w:rPr>
      </w:pPr>
      <w:r>
        <w:rPr>
          <w:sz w:val="28"/>
          <w:szCs w:val="28"/>
        </w:rPr>
        <w:br w:type="page"/>
      </w:r>
    </w:p>
    <w:p w:rsidR="007418E7" w:rsidRPr="00D47C37" w:rsidRDefault="007418E7" w:rsidP="00A76F4A">
      <w:pPr>
        <w:pStyle w:val="Cabealho1"/>
        <w:numPr>
          <w:ilvl w:val="0"/>
          <w:numId w:val="0"/>
        </w:numPr>
        <w:pBdr>
          <w:bottom w:val="thickThinSmallGap" w:sz="24" w:space="1" w:color="auto"/>
        </w:pBdr>
        <w:spacing w:after="120"/>
        <w:ind w:right="12"/>
        <w:rPr>
          <w:rFonts w:ascii="Times New Roman" w:hAnsi="Times New Roman"/>
          <w:sz w:val="24"/>
          <w:szCs w:val="24"/>
        </w:rPr>
      </w:pPr>
      <w:bookmarkStart w:id="556" w:name="_Toc75432378"/>
      <w:r w:rsidRPr="00D47C37">
        <w:rPr>
          <w:rFonts w:ascii="Times New Roman" w:hAnsi="Times New Roman"/>
          <w:sz w:val="24"/>
          <w:szCs w:val="24"/>
        </w:rPr>
        <w:lastRenderedPageBreak/>
        <w:t xml:space="preserve">ANNEXE </w:t>
      </w:r>
      <w:r w:rsidR="00064F08" w:rsidRPr="00D47C37">
        <w:rPr>
          <w:rFonts w:ascii="Times New Roman" w:hAnsi="Times New Roman"/>
          <w:sz w:val="24"/>
          <w:szCs w:val="24"/>
        </w:rPr>
        <w:t>5 :</w:t>
      </w:r>
      <w:r w:rsidR="00BF27DC" w:rsidRPr="00D47C37">
        <w:rPr>
          <w:rFonts w:ascii="Times New Roman" w:hAnsi="Times New Roman"/>
          <w:sz w:val="24"/>
          <w:szCs w:val="24"/>
        </w:rPr>
        <w:t xml:space="preserve"> </w:t>
      </w:r>
      <w:r w:rsidRPr="00D47C37">
        <w:rPr>
          <w:rFonts w:ascii="Times New Roman" w:hAnsi="Times New Roman"/>
          <w:sz w:val="24"/>
          <w:szCs w:val="24"/>
        </w:rPr>
        <w:t>PLAN DE GESTION DES PESTES ET DES PESTICIDES</w:t>
      </w:r>
      <w:bookmarkEnd w:id="556"/>
    </w:p>
    <w:p w:rsidR="007418E7" w:rsidRPr="00D47C37" w:rsidRDefault="007418E7" w:rsidP="00A76F4A">
      <w:pPr>
        <w:keepNext/>
        <w:spacing w:line="276" w:lineRule="auto"/>
        <w:ind w:left="426" w:right="12"/>
        <w:jc w:val="both"/>
        <w:outlineLvl w:val="1"/>
        <w:rPr>
          <w:rFonts w:eastAsia="Calibri"/>
          <w:b/>
        </w:rPr>
      </w:pPr>
      <w:bookmarkStart w:id="557" w:name="_Toc521939534"/>
      <w:bookmarkStart w:id="558" w:name="_Toc62927861"/>
      <w:bookmarkStart w:id="559" w:name="_Toc63695103"/>
      <w:bookmarkStart w:id="560" w:name="_Toc67508593"/>
      <w:bookmarkStart w:id="561" w:name="_Toc69918781"/>
      <w:bookmarkStart w:id="562" w:name="_Toc73459827"/>
      <w:bookmarkStart w:id="563" w:name="_Toc75432379"/>
      <w:r w:rsidRPr="00D47C37">
        <w:rPr>
          <w:rFonts w:eastAsia="Calibri"/>
          <w:b/>
        </w:rPr>
        <w:t>Objectif du PGPP</w:t>
      </w:r>
      <w:bookmarkEnd w:id="557"/>
      <w:bookmarkEnd w:id="558"/>
      <w:bookmarkEnd w:id="559"/>
      <w:bookmarkEnd w:id="560"/>
      <w:bookmarkEnd w:id="561"/>
      <w:bookmarkEnd w:id="562"/>
      <w:bookmarkEnd w:id="563"/>
    </w:p>
    <w:p w:rsidR="007418E7" w:rsidRPr="006D0904" w:rsidRDefault="00BF27DC" w:rsidP="00A76F4A">
      <w:pPr>
        <w:autoSpaceDE w:val="0"/>
        <w:autoSpaceDN w:val="0"/>
        <w:adjustRightInd w:val="0"/>
        <w:ind w:right="12"/>
        <w:jc w:val="both"/>
      </w:pPr>
      <w:r w:rsidRPr="006D0904">
        <w:t xml:space="preserve">L’objectif </w:t>
      </w:r>
      <w:r w:rsidR="007B7194" w:rsidRPr="006D0904">
        <w:t>global</w:t>
      </w:r>
      <w:r w:rsidR="00846935" w:rsidRPr="006D0904">
        <w:t xml:space="preserve"> est de mettre en place</w:t>
      </w:r>
      <w:r w:rsidR="000A40F2" w:rsidRPr="006D0904">
        <w:t xml:space="preserve"> des mesures de lutte contre les nuisibles, aux approches de gestion intégrée des nuisibles (GIN) </w:t>
      </w:r>
      <w:r w:rsidR="009F20F8" w:rsidRPr="006D0904">
        <w:t xml:space="preserve">mais aussi </w:t>
      </w:r>
      <w:r w:rsidR="007B7194" w:rsidRPr="006D0904">
        <w:t>de promouvoir l’utilisation des méthodes de contrôle biologique ou</w:t>
      </w:r>
      <w:r w:rsidR="007418E7" w:rsidRPr="006D0904">
        <w:t xml:space="preserve"> environnemental afin de réduire la dépendance </w:t>
      </w:r>
      <w:r w:rsidR="007B7194" w:rsidRPr="006D0904">
        <w:t>aux pesticides</w:t>
      </w:r>
      <w:r w:rsidR="007418E7" w:rsidRPr="006D0904">
        <w:t xml:space="preserve"> synthétiques chimiques et de s’assurer que les risques sanitaires et environnementaux associés aux </w:t>
      </w:r>
      <w:r w:rsidR="007B7194" w:rsidRPr="006D0904">
        <w:t>pesticides sont</w:t>
      </w:r>
      <w:r w:rsidR="007418E7" w:rsidRPr="006D0904">
        <w:t xml:space="preserve"> minimisés.  Les objectifs spécifiques du PGPP incluront les mesures suivantes :</w:t>
      </w:r>
    </w:p>
    <w:p w:rsidR="007418E7" w:rsidRPr="004C6EA1" w:rsidRDefault="007B7194" w:rsidP="00A76F4A">
      <w:pPr>
        <w:pStyle w:val="PargrafodaLista"/>
        <w:numPr>
          <w:ilvl w:val="0"/>
          <w:numId w:val="135"/>
        </w:numPr>
        <w:ind w:left="993" w:right="12"/>
        <w:jc w:val="both"/>
        <w:rPr>
          <w:rFonts w:ascii="Times New Roman" w:hAnsi="Times New Roman"/>
          <w:sz w:val="21"/>
          <w:szCs w:val="21"/>
        </w:rPr>
      </w:pPr>
      <w:r w:rsidRPr="004C6EA1">
        <w:rPr>
          <w:rFonts w:ascii="Times New Roman" w:hAnsi="Times New Roman"/>
          <w:sz w:val="21"/>
          <w:szCs w:val="21"/>
        </w:rPr>
        <w:t>Améliorer les systèmes d’utilisation et de gestion des pesticides pour protéger</w:t>
      </w:r>
      <w:r w:rsidR="007418E7" w:rsidRPr="004C6EA1">
        <w:rPr>
          <w:rFonts w:ascii="Times New Roman" w:hAnsi="Times New Roman"/>
          <w:sz w:val="21"/>
          <w:szCs w:val="21"/>
        </w:rPr>
        <w:t xml:space="preserve"> l’environnement et la santé des manipulateurs et des populations ;</w:t>
      </w:r>
    </w:p>
    <w:p w:rsidR="007418E7" w:rsidRPr="004C6EA1" w:rsidRDefault="007B7194" w:rsidP="00A76F4A">
      <w:pPr>
        <w:pStyle w:val="PargrafodaLista"/>
        <w:numPr>
          <w:ilvl w:val="0"/>
          <w:numId w:val="135"/>
        </w:numPr>
        <w:ind w:left="993" w:right="12"/>
        <w:jc w:val="both"/>
        <w:rPr>
          <w:rFonts w:ascii="Times New Roman" w:hAnsi="Times New Roman"/>
          <w:sz w:val="21"/>
          <w:szCs w:val="21"/>
        </w:rPr>
      </w:pPr>
      <w:r w:rsidRPr="004C6EA1">
        <w:rPr>
          <w:rFonts w:ascii="Times New Roman" w:hAnsi="Times New Roman"/>
          <w:sz w:val="21"/>
          <w:szCs w:val="21"/>
        </w:rPr>
        <w:t>Renforcer les capacités des acteurs et des communautés dans la gestion des pestes</w:t>
      </w:r>
      <w:r w:rsidR="007418E7" w:rsidRPr="004C6EA1">
        <w:rPr>
          <w:rFonts w:ascii="Times New Roman" w:hAnsi="Times New Roman"/>
          <w:sz w:val="21"/>
          <w:szCs w:val="21"/>
        </w:rPr>
        <w:t xml:space="preserve"> </w:t>
      </w:r>
      <w:r w:rsidRPr="004C6EA1">
        <w:rPr>
          <w:rFonts w:ascii="Times New Roman" w:hAnsi="Times New Roman"/>
          <w:sz w:val="21"/>
          <w:szCs w:val="21"/>
        </w:rPr>
        <w:t>et des</w:t>
      </w:r>
      <w:r w:rsidR="007418E7" w:rsidRPr="004C6EA1">
        <w:rPr>
          <w:rFonts w:ascii="Times New Roman" w:hAnsi="Times New Roman"/>
          <w:sz w:val="21"/>
          <w:szCs w:val="21"/>
        </w:rPr>
        <w:t xml:space="preserve"> pesticides ; </w:t>
      </w:r>
    </w:p>
    <w:p w:rsidR="007418E7" w:rsidRPr="004C6EA1" w:rsidRDefault="007418E7" w:rsidP="00A76F4A">
      <w:pPr>
        <w:pStyle w:val="PargrafodaLista"/>
        <w:numPr>
          <w:ilvl w:val="0"/>
          <w:numId w:val="135"/>
        </w:numPr>
        <w:ind w:left="993" w:right="12"/>
        <w:jc w:val="both"/>
        <w:rPr>
          <w:rFonts w:ascii="Times New Roman" w:hAnsi="Times New Roman"/>
          <w:sz w:val="21"/>
          <w:szCs w:val="21"/>
        </w:rPr>
      </w:pPr>
      <w:r w:rsidRPr="004C6EA1">
        <w:rPr>
          <w:rFonts w:ascii="Times New Roman" w:hAnsi="Times New Roman"/>
          <w:sz w:val="21"/>
          <w:szCs w:val="21"/>
        </w:rPr>
        <w:t>Sensibiliser les populations sur les risques liés aux pesticides et impliquer les communautés dans la mise en œuvre des activités ;</w:t>
      </w:r>
    </w:p>
    <w:p w:rsidR="007418E7" w:rsidRPr="004C6EA1" w:rsidRDefault="007B7194" w:rsidP="00A76F4A">
      <w:pPr>
        <w:pStyle w:val="PargrafodaLista"/>
        <w:numPr>
          <w:ilvl w:val="0"/>
          <w:numId w:val="135"/>
        </w:numPr>
        <w:ind w:left="993" w:right="12"/>
        <w:jc w:val="both"/>
        <w:rPr>
          <w:rFonts w:ascii="Times New Roman" w:hAnsi="Times New Roman"/>
          <w:sz w:val="21"/>
          <w:szCs w:val="21"/>
        </w:rPr>
      </w:pPr>
      <w:r w:rsidRPr="004C6EA1">
        <w:rPr>
          <w:rFonts w:ascii="Times New Roman" w:hAnsi="Times New Roman"/>
          <w:sz w:val="21"/>
          <w:szCs w:val="21"/>
        </w:rPr>
        <w:t>Assurer le suivi et l’évaluation de la mise en œuvre du plan de gestion des pestes et des</w:t>
      </w:r>
      <w:r w:rsidR="007418E7" w:rsidRPr="004C6EA1">
        <w:rPr>
          <w:rFonts w:ascii="Times New Roman" w:hAnsi="Times New Roman"/>
          <w:sz w:val="21"/>
          <w:szCs w:val="21"/>
        </w:rPr>
        <w:t xml:space="preserve"> pesticides</w:t>
      </w:r>
    </w:p>
    <w:p w:rsidR="009847D7" w:rsidRPr="003F5F8A" w:rsidRDefault="007B7194" w:rsidP="00A76F4A">
      <w:pPr>
        <w:pStyle w:val="PargrafodaLista"/>
        <w:numPr>
          <w:ilvl w:val="0"/>
          <w:numId w:val="135"/>
        </w:numPr>
        <w:ind w:left="993" w:right="12"/>
        <w:jc w:val="both"/>
        <w:rPr>
          <w:rFonts w:ascii="Times New Roman" w:hAnsi="Times New Roman"/>
          <w:sz w:val="21"/>
          <w:szCs w:val="21"/>
        </w:rPr>
      </w:pPr>
      <w:r w:rsidRPr="004C6EA1">
        <w:rPr>
          <w:rFonts w:ascii="Times New Roman" w:hAnsi="Times New Roman"/>
          <w:sz w:val="21"/>
          <w:szCs w:val="21"/>
        </w:rPr>
        <w:t>Etablir le budget prévisionnel à pourvoir par le projet pour mettre en œuvre les conditions</w:t>
      </w:r>
      <w:r w:rsidR="007418E7" w:rsidRPr="004C6EA1">
        <w:rPr>
          <w:rFonts w:ascii="Times New Roman" w:hAnsi="Times New Roman"/>
          <w:sz w:val="21"/>
          <w:szCs w:val="21"/>
        </w:rPr>
        <w:t xml:space="preserve"> requises par le PGPP.</w:t>
      </w:r>
    </w:p>
    <w:p w:rsidR="00C94E7A" w:rsidRPr="00D47C37" w:rsidRDefault="00C94E7A" w:rsidP="00A76F4A">
      <w:pPr>
        <w:keepNext/>
        <w:spacing w:line="276" w:lineRule="auto"/>
        <w:ind w:left="426" w:right="12"/>
        <w:jc w:val="both"/>
        <w:outlineLvl w:val="1"/>
        <w:rPr>
          <w:rFonts w:eastAsia="Calibri"/>
          <w:b/>
        </w:rPr>
      </w:pPr>
      <w:bookmarkStart w:id="564" w:name="_Toc67508594"/>
      <w:bookmarkStart w:id="565" w:name="_Toc69918782"/>
      <w:bookmarkStart w:id="566" w:name="_Toc73459828"/>
      <w:bookmarkStart w:id="567" w:name="_Toc75432380"/>
      <w:r w:rsidRPr="00D47C37">
        <w:rPr>
          <w:rFonts w:eastAsia="Calibri"/>
          <w:b/>
        </w:rPr>
        <w:t>Cadre réglementaire</w:t>
      </w:r>
      <w:bookmarkEnd w:id="564"/>
      <w:bookmarkEnd w:id="565"/>
      <w:bookmarkEnd w:id="566"/>
      <w:bookmarkEnd w:id="567"/>
      <w:r w:rsidRPr="00D47C37">
        <w:rPr>
          <w:rFonts w:eastAsia="Calibri"/>
          <w:b/>
        </w:rPr>
        <w:t xml:space="preserve"> </w:t>
      </w:r>
    </w:p>
    <w:p w:rsidR="00C94E7A" w:rsidRPr="006D0904" w:rsidRDefault="00C94E7A" w:rsidP="00A76F4A">
      <w:pPr>
        <w:autoSpaceDE w:val="0"/>
        <w:autoSpaceDN w:val="0"/>
        <w:adjustRightInd w:val="0"/>
        <w:ind w:right="12"/>
        <w:jc w:val="both"/>
      </w:pPr>
      <w:r w:rsidRPr="006D0904">
        <w:t>Internationales et régionales : La Guinée Bissau est partie prenante des conventions internationales et régionales ci-après, qui touchent plus ou moins aux aspects gestion des Pesticides, à savoir :</w:t>
      </w:r>
    </w:p>
    <w:p w:rsidR="00C94E7A" w:rsidRPr="003F5F8A"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Code de bonne conduite en matière de gestion des pesticides de la FAO </w:t>
      </w:r>
    </w:p>
    <w:p w:rsidR="00C94E7A" w:rsidRPr="003F5F8A"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Réglementation Commune sur l’Homologation des Pesticides aux Etats membre du CILSS en 1999; </w:t>
      </w:r>
    </w:p>
    <w:p w:rsidR="007B54D6"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Stockholm sur les Polluants Organiques Persistants adoptée le 2</w:t>
      </w:r>
      <w:r w:rsidR="00E07CC0">
        <w:rPr>
          <w:rFonts w:ascii="Times New Roman" w:hAnsi="Times New Roman"/>
          <w:sz w:val="21"/>
          <w:szCs w:val="21"/>
        </w:rPr>
        <w:t>2 Mai 2001 à Stockholm, Suède</w:t>
      </w:r>
    </w:p>
    <w:p w:rsidR="00C94E7A" w:rsidRPr="003F5F8A" w:rsidRDefault="00E07CC0" w:rsidP="00A76F4A">
      <w:pPr>
        <w:pStyle w:val="PargrafodaLista"/>
        <w:ind w:left="993" w:right="12"/>
        <w:jc w:val="both"/>
        <w:rPr>
          <w:rFonts w:ascii="Times New Roman" w:hAnsi="Times New Roman"/>
          <w:sz w:val="21"/>
          <w:szCs w:val="21"/>
        </w:rPr>
      </w:pPr>
      <w:r>
        <w:rPr>
          <w:rFonts w:ascii="Times New Roman" w:hAnsi="Times New Roman"/>
          <w:sz w:val="21"/>
          <w:szCs w:val="21"/>
        </w:rPr>
        <w:t xml:space="preserve"> </w:t>
      </w:r>
      <w:r w:rsidR="00C94E7A" w:rsidRPr="003F5F8A">
        <w:rPr>
          <w:rFonts w:ascii="Symbol" w:eastAsia="Symbol" w:hAnsi="Symbol" w:cs="Symbol"/>
          <w:sz w:val="21"/>
          <w:szCs w:val="21"/>
        </w:rPr>
        <w:sym w:font="Symbol" w:char="F0B7"/>
      </w:r>
      <w:r w:rsidR="00C94E7A" w:rsidRPr="003F5F8A">
        <w:rPr>
          <w:rFonts w:ascii="Times New Roman" w:hAnsi="Times New Roman"/>
          <w:sz w:val="21"/>
          <w:szCs w:val="21"/>
        </w:rPr>
        <w:t xml:space="preserve"> Protocole de Montréal relatif à des substances qui appauvrissent la couche d’ozone, entrée en vigueur le 1er Janvier 1989 et ratifié par 183 pays ; </w:t>
      </w:r>
    </w:p>
    <w:p w:rsidR="00C94E7A" w:rsidRPr="003F5F8A"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International pour la Protection des Végétaux ‘’CIPV’’ ; </w:t>
      </w:r>
    </w:p>
    <w:p w:rsidR="00C94E7A" w:rsidRPr="003F5F8A"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Berne sur la conservation de la faune et de la flore sauvage Européennes et de leurs Habitats naturels</w:t>
      </w: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Bonn sur les espèces migratrices de faune ;</w:t>
      </w:r>
    </w:p>
    <w:p w:rsidR="00C94E7A" w:rsidRPr="003F5F8A"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Ramsar sur les zones humides ; </w:t>
      </w:r>
    </w:p>
    <w:p w:rsidR="00C94E7A" w:rsidRPr="003F5F8A"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Bâle sur le contrôle des mouvements transfrontaliers les déchets dangereux et de leur élimination, conclue à Bâle, Suisse, le 22 Mars 1989 et entrée en vigueur en Mai 1992 ;</w:t>
      </w:r>
    </w:p>
    <w:p w:rsidR="00C94E7A" w:rsidRPr="003F5F8A"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Rotterdam sur la procédure de consentement préalable en connaissance de cause applicable à certains produits chimiques et pesticides dangereux qui fait l’objet d’un commerce International signé en 1999; </w:t>
      </w:r>
    </w:p>
    <w:p w:rsidR="00C94E7A" w:rsidRPr="003F5F8A"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sur la diversité biologique adoptée au Sommet de la Terre de 1992 à Rio de Janeiro, Brésil ; </w:t>
      </w:r>
    </w:p>
    <w:p w:rsidR="00C94E7A" w:rsidRDefault="00C94E7A" w:rsidP="00A76F4A">
      <w:pPr>
        <w:pStyle w:val="PargrafodaLista"/>
        <w:ind w:left="993"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 Convention de Bamako sur l’interdiction d’importer des déchets dangereux et le contrôle de leurs mouvements transfrontaliers en Afrique, adoptée le 30 Janvier 1991. Par rapport à la Gestion des Pesticides, toutes les conventions citées ci-dessus sont ratifiées, mais leur traduction dans la législation nationale n’est pas effective dans leur totalité. Aussi, tenant compte de l’absence d’un Plan National de Gestion Intégrée des Rongeurs, proposer l’élaboration de ce plan dans un bref délai afin d'atténuer les effets néfastes liés à l'utilisation des pesticides. </w:t>
      </w:r>
    </w:p>
    <w:p w:rsidR="00CD3CF4" w:rsidRPr="003F5F8A" w:rsidRDefault="00CD3CF4" w:rsidP="00A76F4A">
      <w:pPr>
        <w:pStyle w:val="PargrafodaLista"/>
        <w:ind w:left="993" w:right="12"/>
        <w:jc w:val="both"/>
        <w:rPr>
          <w:rFonts w:ascii="Times New Roman" w:hAnsi="Times New Roman"/>
          <w:sz w:val="21"/>
          <w:szCs w:val="21"/>
        </w:rPr>
      </w:pPr>
    </w:p>
    <w:p w:rsidR="00C94E7A" w:rsidRPr="00D47C37" w:rsidRDefault="00C94E7A" w:rsidP="00A76F4A">
      <w:pPr>
        <w:ind w:left="426" w:right="12"/>
        <w:jc w:val="both"/>
        <w:rPr>
          <w:b/>
        </w:rPr>
      </w:pPr>
      <w:r w:rsidRPr="00D47C37">
        <w:rPr>
          <w:b/>
        </w:rPr>
        <w:t xml:space="preserve">Réglementation nationale </w:t>
      </w:r>
    </w:p>
    <w:p w:rsidR="00C94E7A" w:rsidRPr="003F5F8A" w:rsidRDefault="00C94E7A" w:rsidP="00A76F4A">
      <w:pPr>
        <w:pStyle w:val="PargrafodaLista"/>
        <w:ind w:right="12"/>
        <w:jc w:val="both"/>
        <w:rPr>
          <w:rFonts w:ascii="Times New Roman" w:hAnsi="Times New Roman"/>
          <w:sz w:val="21"/>
          <w:szCs w:val="21"/>
        </w:rPr>
      </w:pPr>
      <w:r w:rsidRPr="003F5F8A">
        <w:rPr>
          <w:rFonts w:ascii="Symbol" w:eastAsia="Symbol" w:hAnsi="Symbol" w:cs="Symbol"/>
          <w:sz w:val="21"/>
          <w:szCs w:val="21"/>
        </w:rPr>
        <w:sym w:font="Symbol" w:char="F0B7"/>
      </w:r>
      <w:r w:rsidR="00E07CC0" w:rsidRPr="003F5F8A">
        <w:rPr>
          <w:rFonts w:ascii="Times New Roman" w:hAnsi="Times New Roman"/>
          <w:sz w:val="21"/>
          <w:szCs w:val="21"/>
        </w:rPr>
        <w:t>Décret-Loi</w:t>
      </w:r>
      <w:r w:rsidRPr="003F5F8A">
        <w:rPr>
          <w:rFonts w:ascii="Times New Roman" w:hAnsi="Times New Roman"/>
          <w:sz w:val="21"/>
          <w:szCs w:val="21"/>
        </w:rPr>
        <w:t xml:space="preserve"> n° 7/2000 du 24 aout qui définit un encadrement technique et scientifique de l'utilisation des produits phytopharmaceutiques ; </w:t>
      </w:r>
    </w:p>
    <w:p w:rsidR="00C94E7A" w:rsidRPr="003F5F8A" w:rsidRDefault="00C94E7A" w:rsidP="00A76F4A">
      <w:pPr>
        <w:pStyle w:val="PargrafodaLista"/>
        <w:ind w:right="12"/>
        <w:jc w:val="both"/>
        <w:rPr>
          <w:rFonts w:ascii="Times New Roman" w:hAnsi="Times New Roman"/>
          <w:sz w:val="21"/>
          <w:szCs w:val="21"/>
        </w:rPr>
      </w:pPr>
      <w:r w:rsidRPr="003F5F8A">
        <w:rPr>
          <w:rFonts w:ascii="Symbol" w:eastAsia="Symbol" w:hAnsi="Symbol" w:cs="Symbol"/>
          <w:sz w:val="21"/>
          <w:szCs w:val="21"/>
        </w:rPr>
        <w:sym w:font="Symbol" w:char="F0B7"/>
      </w:r>
      <w:r w:rsidRPr="003F5F8A">
        <w:rPr>
          <w:rFonts w:ascii="Times New Roman" w:hAnsi="Times New Roman"/>
          <w:sz w:val="21"/>
          <w:szCs w:val="21"/>
        </w:rPr>
        <w:t xml:space="preserve">Les directives contenues dans la convention de Rotterdam qui permettent au pays de sélectionnés les types de pesticides dont il autorise l’importation ; </w:t>
      </w:r>
    </w:p>
    <w:p w:rsidR="003A39C7" w:rsidRDefault="00C94E7A" w:rsidP="00A76F4A">
      <w:pPr>
        <w:pStyle w:val="PargrafodaLista"/>
        <w:ind w:right="12"/>
        <w:jc w:val="both"/>
        <w:rPr>
          <w:sz w:val="22"/>
          <w:szCs w:val="22"/>
        </w:rPr>
      </w:pPr>
      <w:r w:rsidRPr="003F5F8A">
        <w:rPr>
          <w:rFonts w:ascii="Symbol" w:eastAsia="Symbol" w:hAnsi="Symbol" w:cs="Symbol"/>
          <w:sz w:val="21"/>
          <w:szCs w:val="21"/>
        </w:rPr>
        <w:sym w:font="Symbol" w:char="F0B7"/>
      </w:r>
      <w:r w:rsidR="0027003D" w:rsidRPr="0027003D">
        <w:rPr>
          <w:rFonts w:ascii="Times New Roman" w:eastAsiaTheme="minorHAnsi" w:hAnsi="Times New Roman"/>
          <w:sz w:val="24"/>
          <w:szCs w:val="24"/>
        </w:rPr>
        <w:t xml:space="preserve"> </w:t>
      </w:r>
      <w:r w:rsidR="0027003D" w:rsidRPr="0027003D">
        <w:rPr>
          <w:rFonts w:ascii="Times New Roman" w:hAnsi="Times New Roman"/>
          <w:sz w:val="21"/>
          <w:szCs w:val="21"/>
        </w:rPr>
        <w:t>le projet doit respecter strictement le Code international de conduite pour la gestion des pesticides de la FAO et le Code et le Manuel sanitaire pour les animaux terrestres de l'Office international des épizooties (OIE)</w:t>
      </w:r>
    </w:p>
    <w:p w:rsidR="003A39C7" w:rsidRPr="00D47C37" w:rsidRDefault="003A39C7" w:rsidP="00A76F4A">
      <w:pPr>
        <w:ind w:left="426" w:right="12"/>
        <w:jc w:val="both"/>
        <w:rPr>
          <w:b/>
        </w:rPr>
      </w:pPr>
      <w:r w:rsidRPr="00D47C37">
        <w:rPr>
          <w:b/>
        </w:rPr>
        <w:t xml:space="preserve">Cadre institutionnel de gestion des pesticides </w:t>
      </w:r>
    </w:p>
    <w:p w:rsidR="00F9328C" w:rsidRPr="00D3585B" w:rsidRDefault="00F9328C" w:rsidP="00A76F4A">
      <w:pPr>
        <w:ind w:right="12"/>
        <w:jc w:val="both"/>
        <w:rPr>
          <w:sz w:val="21"/>
          <w:szCs w:val="21"/>
        </w:rPr>
      </w:pPr>
    </w:p>
    <w:p w:rsidR="00F9328C" w:rsidRPr="006D0904" w:rsidRDefault="003A39C7" w:rsidP="00A76F4A">
      <w:pPr>
        <w:autoSpaceDE w:val="0"/>
        <w:autoSpaceDN w:val="0"/>
        <w:adjustRightInd w:val="0"/>
        <w:ind w:right="12"/>
        <w:jc w:val="both"/>
      </w:pPr>
      <w:r w:rsidRPr="006D0904">
        <w:t xml:space="preserve">La gestion des pesticides interpelle principalement le Ministère de l’Agriculture et du développement Rural, mais d’autre institutions et catégories d’acteurs sont aussi concernées dans cette gestion, notamment : le Ministère de l’Environnement ; le Ministère de la Santé ; les Instituions d’encadrement Agricole ; Les Organisations de Producteurs agricoles ; l'ANAG, les ONG, les Associations etc. </w:t>
      </w:r>
    </w:p>
    <w:p w:rsidR="001A41C8" w:rsidRPr="00D3585B" w:rsidRDefault="001A41C8" w:rsidP="00A76F4A">
      <w:pPr>
        <w:ind w:right="12"/>
        <w:jc w:val="both"/>
        <w:rPr>
          <w:rFonts w:eastAsia="Calibri"/>
          <w:sz w:val="21"/>
          <w:szCs w:val="21"/>
        </w:rPr>
      </w:pPr>
    </w:p>
    <w:p w:rsidR="001A41C8" w:rsidRPr="00D3585B" w:rsidRDefault="003A39C7" w:rsidP="00A76F4A">
      <w:pPr>
        <w:pStyle w:val="PargrafodaLista"/>
        <w:numPr>
          <w:ilvl w:val="0"/>
          <w:numId w:val="170"/>
        </w:numPr>
        <w:spacing w:after="0" w:line="240" w:lineRule="auto"/>
        <w:ind w:right="12"/>
        <w:jc w:val="both"/>
        <w:rPr>
          <w:rFonts w:ascii="Times" w:hAnsi="Times"/>
          <w:sz w:val="21"/>
          <w:szCs w:val="21"/>
        </w:rPr>
      </w:pPr>
      <w:r w:rsidRPr="00D3585B">
        <w:rPr>
          <w:rFonts w:ascii="Times" w:hAnsi="Times"/>
          <w:sz w:val="21"/>
          <w:szCs w:val="21"/>
        </w:rPr>
        <w:t xml:space="preserve">Les services </w:t>
      </w:r>
      <w:r w:rsidR="001A41C8" w:rsidRPr="00D3585B">
        <w:rPr>
          <w:rFonts w:ascii="Times" w:hAnsi="Times"/>
          <w:sz w:val="21"/>
          <w:szCs w:val="21"/>
        </w:rPr>
        <w:t xml:space="preserve">du Ministère de l’Agriculture </w:t>
      </w:r>
    </w:p>
    <w:p w:rsidR="006B0122" w:rsidRDefault="003A39C7" w:rsidP="00A76F4A">
      <w:pPr>
        <w:ind w:left="709" w:right="12"/>
        <w:jc w:val="both"/>
        <w:rPr>
          <w:rFonts w:eastAsia="Calibri"/>
          <w:sz w:val="21"/>
          <w:szCs w:val="21"/>
        </w:rPr>
      </w:pPr>
      <w:r w:rsidRPr="00D3585B">
        <w:rPr>
          <w:rFonts w:eastAsia="Calibri"/>
          <w:sz w:val="21"/>
          <w:szCs w:val="21"/>
        </w:rPr>
        <w:t xml:space="preserve">Ce département ministériel, à travers le Service de la Direction de la Protection des Végétaux (SDPV), est concerné à titre principal par la gestion des pesticides, notamment à usage agricole. Dans le domaine du contrôle des produits phytosanitaires, la SDPV s’appuie essentiellement sur les Services de contrôle phytosanitaire et de mise en quarantaine des produits et sur le Comité National de Gestion des Pesticides (GNPC). Cependant, le dernier nommé, bien que les dispositions législatives soit prises à travers l'article 11 du Décret – Loi n° 7/2000 du 24 aout 2000, la GNPC n'est pas encore institué dans l'arsenal institutionnel de la Guinée Bissau. </w:t>
      </w:r>
    </w:p>
    <w:p w:rsidR="006B0122" w:rsidRDefault="006B0122" w:rsidP="00A76F4A">
      <w:pPr>
        <w:ind w:right="12"/>
        <w:jc w:val="both"/>
        <w:rPr>
          <w:rFonts w:eastAsia="Calibri"/>
          <w:sz w:val="21"/>
          <w:szCs w:val="21"/>
        </w:rPr>
      </w:pPr>
    </w:p>
    <w:p w:rsidR="006B0122" w:rsidRPr="00D3585B" w:rsidRDefault="003A39C7" w:rsidP="00A76F4A">
      <w:pPr>
        <w:pStyle w:val="PargrafodaLista"/>
        <w:numPr>
          <w:ilvl w:val="0"/>
          <w:numId w:val="170"/>
        </w:numPr>
        <w:spacing w:after="0" w:line="240" w:lineRule="auto"/>
        <w:ind w:right="12"/>
        <w:jc w:val="both"/>
        <w:rPr>
          <w:rFonts w:ascii="Times" w:hAnsi="Times"/>
          <w:sz w:val="21"/>
          <w:szCs w:val="21"/>
        </w:rPr>
      </w:pPr>
      <w:r w:rsidRPr="00D3585B">
        <w:rPr>
          <w:rFonts w:ascii="Times" w:hAnsi="Times"/>
          <w:sz w:val="21"/>
          <w:szCs w:val="21"/>
        </w:rPr>
        <w:t xml:space="preserve">Le Comité National de Gestion des Pesticides (CNGP) Guinée Bissau </w:t>
      </w:r>
    </w:p>
    <w:p w:rsidR="006B0122" w:rsidRDefault="003A39C7" w:rsidP="00A76F4A">
      <w:pPr>
        <w:ind w:left="709" w:right="12"/>
        <w:jc w:val="both"/>
        <w:rPr>
          <w:rFonts w:eastAsia="Calibri"/>
          <w:sz w:val="21"/>
          <w:szCs w:val="21"/>
        </w:rPr>
      </w:pPr>
      <w:r w:rsidRPr="00D3585B">
        <w:rPr>
          <w:rFonts w:eastAsia="Calibri"/>
          <w:sz w:val="21"/>
          <w:szCs w:val="21"/>
        </w:rPr>
        <w:t xml:space="preserve">La vente des spécialités antiparasitaires à usage Agricole en Guinée Bissau est interdite sans autorisation préalable accordée par le Département du Développement Rural et de l’Agriculture. La plupart des Pesticides périmés, détériorés font l’objet de vente. Ainsi ces pesticides mal gérés causent un danger pour l’homme et les animaux, en plus des risques pour l’environnement en général. Afin de palier à tous ces problèmes, en partant de la Réglementation Commune sur l’Homologation des Pesticides entre les Etats membres du CILSS , il est mis en place le Décret – Loi n° 7/2000 du 24 aout 2000 en son article 11 la création du Comité National de Gestion des Pesticides (CNGP) en Guinée Bissau. </w:t>
      </w:r>
    </w:p>
    <w:p w:rsidR="006B0122" w:rsidRDefault="006B0122" w:rsidP="00A76F4A">
      <w:pPr>
        <w:ind w:right="12"/>
        <w:jc w:val="both"/>
        <w:rPr>
          <w:rFonts w:eastAsia="Calibri"/>
          <w:sz w:val="21"/>
          <w:szCs w:val="21"/>
        </w:rPr>
      </w:pPr>
    </w:p>
    <w:p w:rsidR="007A2BAF" w:rsidRDefault="003A39C7" w:rsidP="00A76F4A">
      <w:pPr>
        <w:ind w:left="709" w:right="12"/>
        <w:jc w:val="both"/>
        <w:rPr>
          <w:rFonts w:eastAsia="Calibri"/>
          <w:sz w:val="21"/>
          <w:szCs w:val="21"/>
        </w:rPr>
      </w:pPr>
      <w:r w:rsidRPr="00D3585B">
        <w:rPr>
          <w:rFonts w:eastAsia="Calibri"/>
          <w:sz w:val="21"/>
          <w:szCs w:val="21"/>
        </w:rPr>
        <w:t xml:space="preserve">Le CNGP est chargé de proposer et de surveiller le respect des principes et des orientations générales de la réglementation des pesticides et des agréments professionnels. Toutes les demandes d’agrément doivent être adressées au CNGP, chargé d'étudier les dossiers et de décider des demandes. </w:t>
      </w:r>
    </w:p>
    <w:p w:rsidR="007811A6" w:rsidRPr="00D3585B" w:rsidRDefault="003A39C7" w:rsidP="00A76F4A">
      <w:pPr>
        <w:pStyle w:val="PargrafodaLista"/>
        <w:numPr>
          <w:ilvl w:val="0"/>
          <w:numId w:val="170"/>
        </w:numPr>
        <w:spacing w:after="0" w:line="240" w:lineRule="auto"/>
        <w:ind w:right="12"/>
        <w:jc w:val="both"/>
        <w:rPr>
          <w:rFonts w:ascii="Times" w:hAnsi="Times"/>
          <w:sz w:val="21"/>
          <w:szCs w:val="21"/>
        </w:rPr>
      </w:pPr>
      <w:r w:rsidRPr="00D3585B">
        <w:rPr>
          <w:rFonts w:ascii="Times" w:hAnsi="Times"/>
          <w:sz w:val="21"/>
          <w:szCs w:val="21"/>
        </w:rPr>
        <w:t xml:space="preserve">Les Services de la Direction de la Protection des Végétaux (SDPV) </w:t>
      </w:r>
    </w:p>
    <w:p w:rsidR="007811A6" w:rsidRDefault="003A39C7" w:rsidP="00A76F4A">
      <w:pPr>
        <w:ind w:left="709" w:right="12"/>
        <w:jc w:val="both"/>
        <w:rPr>
          <w:rFonts w:eastAsia="Calibri"/>
          <w:sz w:val="21"/>
          <w:szCs w:val="21"/>
        </w:rPr>
      </w:pPr>
      <w:r w:rsidRPr="00D3585B">
        <w:rPr>
          <w:rFonts w:eastAsia="Calibri"/>
          <w:sz w:val="21"/>
          <w:szCs w:val="21"/>
        </w:rPr>
        <w:t xml:space="preserve">Les Services DPV est chargée de contrôler les agréments professionnels et les produits phytopharmaceutiques importés et distribués. Le service de la DPV </w:t>
      </w:r>
      <w:r w:rsidR="007811A6" w:rsidRPr="007811A6">
        <w:rPr>
          <w:rFonts w:eastAsia="Calibri"/>
          <w:sz w:val="21"/>
          <w:szCs w:val="21"/>
        </w:rPr>
        <w:t>dispose</w:t>
      </w:r>
      <w:r w:rsidRPr="00D3585B">
        <w:rPr>
          <w:rFonts w:eastAsia="Calibri"/>
          <w:sz w:val="21"/>
          <w:szCs w:val="21"/>
        </w:rPr>
        <w:t xml:space="preserve"> d'antennes régionales antennes </w:t>
      </w:r>
      <w:r w:rsidR="001C23CF" w:rsidRPr="001C23CF">
        <w:rPr>
          <w:rFonts w:eastAsia="Calibri"/>
          <w:sz w:val="21"/>
          <w:szCs w:val="21"/>
        </w:rPr>
        <w:t>aux neuves régions</w:t>
      </w:r>
      <w:r w:rsidRPr="00D3585B">
        <w:rPr>
          <w:rFonts w:eastAsia="Calibri"/>
          <w:sz w:val="21"/>
          <w:szCs w:val="21"/>
        </w:rPr>
        <w:t xml:space="preserve">. Ces derniers assurent pour le compte de la DPV </w:t>
      </w:r>
      <w:r w:rsidR="007811A6" w:rsidRPr="007811A6">
        <w:rPr>
          <w:rFonts w:eastAsia="Calibri"/>
          <w:sz w:val="21"/>
          <w:szCs w:val="21"/>
        </w:rPr>
        <w:t>un contrôle phytosanitaire</w:t>
      </w:r>
      <w:r w:rsidRPr="00D3585B">
        <w:rPr>
          <w:rFonts w:eastAsia="Calibri"/>
          <w:sz w:val="21"/>
          <w:szCs w:val="21"/>
        </w:rPr>
        <w:t xml:space="preserve"> des pesticides utilisés dans la région. Les contrôles prioritaires sont le contrôle de l'étiquetage et de l'emballage qui, doivent être réalisés au niveau des magasins de stockage ou des points de distribution des produits (contrôle des formulations et de leur conformité aux </w:t>
      </w:r>
      <w:r w:rsidR="001C23CF" w:rsidRPr="001C23CF">
        <w:rPr>
          <w:rFonts w:eastAsia="Calibri"/>
          <w:sz w:val="21"/>
          <w:szCs w:val="21"/>
        </w:rPr>
        <w:t>étiquettes ;</w:t>
      </w:r>
      <w:r w:rsidRPr="00D3585B">
        <w:rPr>
          <w:rFonts w:eastAsia="Calibri"/>
          <w:sz w:val="21"/>
          <w:szCs w:val="21"/>
        </w:rPr>
        <w:t xml:space="preserve"> contrôle des résidus dans les produits agricoles surtout par rapport aux Limites Maximales de Résidus admises par la Commission du Codex Alimentation de la FAO et de l'OMS; contrôle des agréments des produits ou homologation). </w:t>
      </w:r>
    </w:p>
    <w:p w:rsidR="007811A6" w:rsidRDefault="007811A6" w:rsidP="00A76F4A">
      <w:pPr>
        <w:ind w:right="12"/>
        <w:jc w:val="both"/>
        <w:rPr>
          <w:rFonts w:eastAsia="Calibri"/>
          <w:sz w:val="21"/>
          <w:szCs w:val="21"/>
        </w:rPr>
      </w:pPr>
    </w:p>
    <w:p w:rsidR="001C23CF" w:rsidRPr="00D3585B" w:rsidRDefault="003A39C7" w:rsidP="00A76F4A">
      <w:pPr>
        <w:pStyle w:val="PargrafodaLista"/>
        <w:numPr>
          <w:ilvl w:val="0"/>
          <w:numId w:val="170"/>
        </w:numPr>
        <w:spacing w:after="0" w:line="240" w:lineRule="auto"/>
        <w:ind w:right="12"/>
        <w:jc w:val="both"/>
        <w:rPr>
          <w:rFonts w:ascii="Times" w:hAnsi="Times"/>
          <w:sz w:val="21"/>
          <w:szCs w:val="21"/>
        </w:rPr>
      </w:pPr>
      <w:r w:rsidRPr="00D3585B">
        <w:rPr>
          <w:rFonts w:ascii="Times" w:hAnsi="Times"/>
          <w:sz w:val="21"/>
          <w:szCs w:val="21"/>
        </w:rPr>
        <w:t>La Direction des Servi</w:t>
      </w:r>
      <w:r w:rsidR="001C23CF" w:rsidRPr="00D3585B">
        <w:rPr>
          <w:rFonts w:ascii="Times" w:hAnsi="Times"/>
          <w:sz w:val="21"/>
          <w:szCs w:val="21"/>
        </w:rPr>
        <w:t xml:space="preserve">ces de protection des végétaux </w:t>
      </w:r>
    </w:p>
    <w:p w:rsidR="00B27921" w:rsidRDefault="003A39C7" w:rsidP="00A76F4A">
      <w:pPr>
        <w:ind w:left="709" w:right="12"/>
        <w:jc w:val="both"/>
        <w:rPr>
          <w:rFonts w:eastAsia="Calibri"/>
          <w:sz w:val="21"/>
          <w:szCs w:val="21"/>
        </w:rPr>
      </w:pPr>
      <w:r w:rsidRPr="00D3585B">
        <w:rPr>
          <w:rFonts w:eastAsia="Calibri"/>
          <w:sz w:val="21"/>
          <w:szCs w:val="21"/>
        </w:rPr>
        <w:lastRenderedPageBreak/>
        <w:t>La Direction des Services de protection des végétaux est chargée de coordonner les opérations de surveillance des végétaux et des cultures en vue notamment de signaler l’existence, l’apparition et la propagation des ennemis des végétaux et produits végétaux</w:t>
      </w:r>
      <w:r w:rsidR="00253AAC">
        <w:rPr>
          <w:rFonts w:eastAsia="Calibri"/>
          <w:sz w:val="21"/>
          <w:szCs w:val="21"/>
        </w:rPr>
        <w:t>.</w:t>
      </w:r>
      <w:r w:rsidRPr="00D3585B">
        <w:rPr>
          <w:rFonts w:eastAsia="Calibri"/>
          <w:sz w:val="21"/>
          <w:szCs w:val="21"/>
        </w:rPr>
        <w:t xml:space="preserve"> La direction ne dispose pas spécifiquement d’expériences dans la gestion environnementale et sociale de projets. Cependant, elle a participé activement à l'accomp</w:t>
      </w:r>
      <w:r w:rsidR="00253AAC" w:rsidRPr="00253AAC">
        <w:rPr>
          <w:rFonts w:eastAsia="Calibri"/>
          <w:sz w:val="21"/>
          <w:szCs w:val="21"/>
        </w:rPr>
        <w:t xml:space="preserve">agnement de la mise en œuvre de certain projet </w:t>
      </w:r>
      <w:r w:rsidRPr="00D3585B">
        <w:rPr>
          <w:rFonts w:eastAsia="Calibri"/>
          <w:sz w:val="21"/>
          <w:szCs w:val="21"/>
        </w:rPr>
        <w:t>à travers des conseils pour l'acquisition de produits phytosanitaires et l'élaboration d'un manuel de bonnes pratiques sur l'utilisation des pesticides par le</w:t>
      </w:r>
      <w:r w:rsidR="00253AAC" w:rsidRPr="00B27921">
        <w:rPr>
          <w:rFonts w:eastAsia="Calibri"/>
          <w:sz w:val="21"/>
          <w:szCs w:val="21"/>
        </w:rPr>
        <w:t>s producteurs et les techniciens</w:t>
      </w:r>
      <w:r w:rsidRPr="00D3585B">
        <w:rPr>
          <w:rFonts w:eastAsia="Calibri"/>
          <w:sz w:val="21"/>
          <w:szCs w:val="21"/>
        </w:rPr>
        <w:t xml:space="preserve">. </w:t>
      </w:r>
    </w:p>
    <w:p w:rsidR="00B27921" w:rsidRDefault="003A39C7" w:rsidP="00A76F4A">
      <w:pPr>
        <w:ind w:left="709" w:right="12"/>
        <w:jc w:val="both"/>
        <w:rPr>
          <w:rFonts w:eastAsia="Calibri"/>
          <w:sz w:val="21"/>
          <w:szCs w:val="21"/>
        </w:rPr>
      </w:pPr>
      <w:r w:rsidRPr="00D3585B">
        <w:rPr>
          <w:rFonts w:eastAsia="Calibri"/>
          <w:sz w:val="21"/>
          <w:szCs w:val="21"/>
        </w:rPr>
        <w:t xml:space="preserve">Par ailleurs, la direction manque de moyens techniques et matériels pour suivre et évaluer les aspects relatifs à la santé et à l’environnement des différentes campagnes. </w:t>
      </w:r>
    </w:p>
    <w:p w:rsidR="00196A07" w:rsidRPr="006D0904" w:rsidRDefault="003A39C7" w:rsidP="00A76F4A">
      <w:pPr>
        <w:autoSpaceDE w:val="0"/>
        <w:autoSpaceDN w:val="0"/>
        <w:adjustRightInd w:val="0"/>
        <w:ind w:right="12"/>
        <w:jc w:val="both"/>
      </w:pPr>
      <w:r w:rsidRPr="006D0904">
        <w:t xml:space="preserve">Depuis la crise politique intervenu en 2012 la direction n'a mené aucune activité faute de moyens financiers, techniques et humains. </w:t>
      </w:r>
    </w:p>
    <w:p w:rsidR="00196A07" w:rsidRPr="006D0904" w:rsidRDefault="00196A07" w:rsidP="00A76F4A">
      <w:pPr>
        <w:autoSpaceDE w:val="0"/>
        <w:autoSpaceDN w:val="0"/>
        <w:adjustRightInd w:val="0"/>
        <w:ind w:right="12"/>
        <w:jc w:val="both"/>
      </w:pPr>
    </w:p>
    <w:p w:rsidR="00196A07" w:rsidRPr="00D3585B" w:rsidRDefault="003A39C7" w:rsidP="00A76F4A">
      <w:pPr>
        <w:ind w:left="709" w:right="12"/>
        <w:jc w:val="both"/>
        <w:rPr>
          <w:b/>
          <w:sz w:val="21"/>
          <w:szCs w:val="21"/>
        </w:rPr>
      </w:pPr>
      <w:r w:rsidRPr="00D3585B">
        <w:rPr>
          <w:b/>
          <w:sz w:val="21"/>
          <w:szCs w:val="21"/>
        </w:rPr>
        <w:t xml:space="preserve">Contraintes institutionnelles dans la gestion des pesticides </w:t>
      </w:r>
    </w:p>
    <w:p w:rsidR="00196A07" w:rsidRPr="006D0904" w:rsidRDefault="003A39C7" w:rsidP="00A76F4A">
      <w:pPr>
        <w:autoSpaceDE w:val="0"/>
        <w:autoSpaceDN w:val="0"/>
        <w:adjustRightInd w:val="0"/>
        <w:ind w:right="12"/>
        <w:jc w:val="both"/>
      </w:pPr>
      <w:r w:rsidRPr="006D0904">
        <w:t xml:space="preserve">L’activité phytosanitaire est entravée par plusieurs contraintes, dont les plus frappants sont : </w:t>
      </w:r>
    </w:p>
    <w:p w:rsidR="00196A07" w:rsidRDefault="003A39C7" w:rsidP="00A76F4A">
      <w:pPr>
        <w:ind w:left="1418" w:right="12"/>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Le manque de personnel qualifié et assermenté, d’où la priorité dans la formation des cadres du Ministère de l’Agriculture ; </w:t>
      </w:r>
    </w:p>
    <w:p w:rsidR="00196A07" w:rsidRDefault="003A39C7" w:rsidP="00A76F4A">
      <w:pPr>
        <w:ind w:left="1418" w:right="12"/>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Le manque de matériel de travail (moyens logistiques et technique) ; </w:t>
      </w:r>
    </w:p>
    <w:p w:rsidR="00196A07" w:rsidRDefault="003A39C7" w:rsidP="00A76F4A">
      <w:pPr>
        <w:ind w:left="1418" w:right="12"/>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Le manque de mise en application effective des textes régissant l’activité phytosanitaire ; </w:t>
      </w:r>
    </w:p>
    <w:p w:rsidR="00196A07" w:rsidRDefault="003A39C7" w:rsidP="00A76F4A">
      <w:pPr>
        <w:ind w:left="1418" w:right="12"/>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La non maîtrise des structures de production, vente et distribution de </w:t>
      </w:r>
      <w:r w:rsidR="00196A07" w:rsidRPr="00196A07">
        <w:rPr>
          <w:rFonts w:eastAsia="Calibri"/>
          <w:sz w:val="21"/>
          <w:szCs w:val="21"/>
        </w:rPr>
        <w:t>pesticides ;</w:t>
      </w:r>
      <w:r w:rsidRPr="00D3585B">
        <w:rPr>
          <w:rFonts w:eastAsia="Calibri"/>
          <w:sz w:val="21"/>
          <w:szCs w:val="21"/>
        </w:rPr>
        <w:t xml:space="preserve"> </w:t>
      </w:r>
    </w:p>
    <w:p w:rsidR="003A39C7" w:rsidRDefault="003A39C7" w:rsidP="00A76F4A">
      <w:pPr>
        <w:ind w:left="1418" w:right="12"/>
        <w:jc w:val="both"/>
        <w:rPr>
          <w:rFonts w:eastAsia="Calibri"/>
          <w:sz w:val="21"/>
          <w:szCs w:val="21"/>
        </w:rPr>
      </w:pPr>
      <w:r w:rsidRPr="00D3585B">
        <w:rPr>
          <w:rFonts w:ascii="Symbol" w:eastAsia="Symbol" w:hAnsi="Symbol" w:cs="Symbol"/>
          <w:sz w:val="21"/>
          <w:szCs w:val="21"/>
        </w:rPr>
        <w:sym w:font="Symbol" w:char="F0B7"/>
      </w:r>
      <w:r w:rsidRPr="00D3585B">
        <w:rPr>
          <w:rFonts w:eastAsia="Calibri"/>
          <w:sz w:val="21"/>
          <w:szCs w:val="21"/>
        </w:rPr>
        <w:t xml:space="preserve"> Le manque de laboratoire d’analyse des données récoltées.</w:t>
      </w:r>
    </w:p>
    <w:p w:rsidR="00C96645" w:rsidRDefault="00C96645" w:rsidP="00A76F4A">
      <w:pPr>
        <w:ind w:left="426" w:right="12"/>
        <w:jc w:val="both"/>
        <w:rPr>
          <w:rFonts w:eastAsia="Calibri"/>
          <w:sz w:val="21"/>
          <w:szCs w:val="21"/>
        </w:rPr>
      </w:pPr>
    </w:p>
    <w:p w:rsidR="001C599E" w:rsidRPr="00D47C37" w:rsidRDefault="001C599E" w:rsidP="00A76F4A">
      <w:pPr>
        <w:keepNext/>
        <w:spacing w:line="276" w:lineRule="auto"/>
        <w:ind w:left="426" w:right="12"/>
        <w:jc w:val="both"/>
        <w:outlineLvl w:val="1"/>
        <w:rPr>
          <w:rFonts w:eastAsia="Calibri"/>
          <w:b/>
        </w:rPr>
      </w:pPr>
      <w:bookmarkStart w:id="568" w:name="_Toc69918783"/>
      <w:bookmarkStart w:id="569" w:name="_Toc73459829"/>
      <w:bookmarkStart w:id="570" w:name="_Toc75432381"/>
      <w:r w:rsidRPr="00D47C37">
        <w:rPr>
          <w:rFonts w:eastAsia="Calibri"/>
          <w:b/>
        </w:rPr>
        <w:t>Synthèse des risques et impacts liés aux pesticides</w:t>
      </w:r>
      <w:bookmarkEnd w:id="568"/>
      <w:bookmarkEnd w:id="569"/>
      <w:bookmarkEnd w:id="570"/>
      <w:r w:rsidRPr="00D47C37">
        <w:rPr>
          <w:rFonts w:eastAsia="Calibri"/>
          <w:b/>
        </w:rPr>
        <w:t xml:space="preserve"> </w:t>
      </w:r>
    </w:p>
    <w:p w:rsidR="001C599E" w:rsidRPr="006D0904" w:rsidRDefault="001C599E" w:rsidP="00A76F4A">
      <w:pPr>
        <w:autoSpaceDE w:val="0"/>
        <w:autoSpaceDN w:val="0"/>
        <w:adjustRightInd w:val="0"/>
        <w:ind w:right="12"/>
        <w:jc w:val="both"/>
      </w:pPr>
      <w:r w:rsidRPr="006D0904">
        <w:t>Les impacts possibles sur l’environnement biophysique touchent le sol, la qualité de l’air, les eaux de surface et souterraines et la faune et la flore. Concernant les effets négatifs sur la santé humaine, ce sont surtout les agriculteurs et les ouvriers préparant les mélanges et réalisant les traitements qui sont les plus exposés aux risques toxicologiques. Ainsi, ces troubles de santé des personnes exposées présentent un impact négatif sur l’économie locale particulièrement.</w:t>
      </w:r>
    </w:p>
    <w:p w:rsidR="002B1363" w:rsidRPr="006D0904" w:rsidRDefault="002B1363" w:rsidP="00A76F4A">
      <w:pPr>
        <w:autoSpaceDE w:val="0"/>
        <w:autoSpaceDN w:val="0"/>
        <w:adjustRightInd w:val="0"/>
        <w:ind w:right="12"/>
        <w:jc w:val="both"/>
      </w:pPr>
    </w:p>
    <w:p w:rsidR="00223198" w:rsidRPr="003204A0" w:rsidRDefault="00223198" w:rsidP="00A76F4A">
      <w:pPr>
        <w:ind w:left="709" w:right="12"/>
        <w:jc w:val="both"/>
        <w:rPr>
          <w:rFonts w:eastAsia="Calibri"/>
          <w:sz w:val="21"/>
          <w:szCs w:val="21"/>
        </w:rPr>
      </w:pPr>
      <w:r w:rsidRPr="003204A0">
        <w:rPr>
          <w:rFonts w:eastAsia="Calibri"/>
          <w:sz w:val="21"/>
          <w:szCs w:val="21"/>
        </w:rPr>
        <w:t xml:space="preserve">Tableau </w:t>
      </w:r>
      <w:r w:rsidR="0014229F" w:rsidRPr="003204A0">
        <w:rPr>
          <w:rFonts w:eastAsia="Calibri"/>
          <w:sz w:val="21"/>
          <w:szCs w:val="21"/>
        </w:rPr>
        <w:t>des synthèses</w:t>
      </w:r>
      <w:r w:rsidR="002B1363" w:rsidRPr="003204A0">
        <w:rPr>
          <w:rFonts w:eastAsia="Calibri"/>
          <w:sz w:val="21"/>
          <w:szCs w:val="21"/>
        </w:rPr>
        <w:t xml:space="preserve"> des impacts et les mesures d’atténuation </w:t>
      </w:r>
    </w:p>
    <w:p w:rsidR="002B1363" w:rsidRPr="002F3DC8" w:rsidRDefault="002B1363" w:rsidP="00A76F4A">
      <w:pPr>
        <w:ind w:right="12"/>
        <w:jc w:val="both"/>
        <w:rPr>
          <w:sz w:val="21"/>
          <w:szCs w:val="21"/>
        </w:rPr>
      </w:pPr>
    </w:p>
    <w:tbl>
      <w:tblPr>
        <w:tblW w:w="10039" w:type="dxa"/>
        <w:jc w:val="center"/>
        <w:tblLayout w:type="fixed"/>
        <w:tblCellMar>
          <w:left w:w="0" w:type="dxa"/>
          <w:right w:w="0" w:type="dxa"/>
        </w:tblCellMar>
        <w:tblLook w:val="04A0" w:firstRow="1" w:lastRow="0" w:firstColumn="1" w:lastColumn="0" w:noHBand="0" w:noVBand="1"/>
      </w:tblPr>
      <w:tblGrid>
        <w:gridCol w:w="1040"/>
        <w:gridCol w:w="360"/>
        <w:gridCol w:w="760"/>
        <w:gridCol w:w="120"/>
        <w:gridCol w:w="300"/>
        <w:gridCol w:w="360"/>
        <w:gridCol w:w="200"/>
        <w:gridCol w:w="600"/>
        <w:gridCol w:w="6299"/>
      </w:tblGrid>
      <w:tr w:rsidR="00223198" w:rsidTr="003204A0">
        <w:trPr>
          <w:trHeight w:val="238"/>
          <w:jc w:val="center"/>
        </w:trPr>
        <w:tc>
          <w:tcPr>
            <w:tcW w:w="1040" w:type="dxa"/>
            <w:tcBorders>
              <w:top w:val="single" w:sz="8" w:space="0" w:color="auto"/>
              <w:left w:val="single" w:sz="8" w:space="0" w:color="auto"/>
              <w:bottom w:val="single" w:sz="8" w:space="0" w:color="auto"/>
            </w:tcBorders>
            <w:vAlign w:val="bottom"/>
          </w:tcPr>
          <w:p w:rsidR="00223198" w:rsidRDefault="00223198" w:rsidP="00A76F4A">
            <w:pPr>
              <w:ind w:left="420" w:right="12"/>
              <w:rPr>
                <w:sz w:val="20"/>
                <w:szCs w:val="20"/>
              </w:rPr>
            </w:pPr>
            <w:r>
              <w:rPr>
                <w:rFonts w:eastAsia="Times New Roman"/>
                <w:b/>
                <w:bCs/>
                <w:sz w:val="20"/>
                <w:szCs w:val="20"/>
              </w:rPr>
              <w:t>Milieu</w:t>
            </w:r>
          </w:p>
        </w:tc>
        <w:tc>
          <w:tcPr>
            <w:tcW w:w="360" w:type="dxa"/>
            <w:tcBorders>
              <w:top w:val="single" w:sz="8" w:space="0" w:color="auto"/>
              <w:bottom w:val="single" w:sz="8" w:space="0" w:color="auto"/>
              <w:right w:val="single" w:sz="8" w:space="0" w:color="auto"/>
            </w:tcBorders>
            <w:vAlign w:val="bottom"/>
          </w:tcPr>
          <w:p w:rsidR="00223198" w:rsidRDefault="00223198" w:rsidP="00A76F4A">
            <w:pPr>
              <w:ind w:right="12"/>
              <w:rPr>
                <w:sz w:val="20"/>
                <w:szCs w:val="20"/>
              </w:rPr>
            </w:pPr>
          </w:p>
        </w:tc>
        <w:tc>
          <w:tcPr>
            <w:tcW w:w="2340" w:type="dxa"/>
            <w:gridSpan w:val="6"/>
            <w:tcBorders>
              <w:top w:val="single" w:sz="8" w:space="0" w:color="auto"/>
              <w:bottom w:val="single" w:sz="8" w:space="0" w:color="auto"/>
              <w:right w:val="single" w:sz="8" w:space="0" w:color="auto"/>
            </w:tcBorders>
            <w:vAlign w:val="bottom"/>
          </w:tcPr>
          <w:p w:rsidR="00223198" w:rsidRDefault="00223198" w:rsidP="00A76F4A">
            <w:pPr>
              <w:ind w:left="340" w:right="12"/>
              <w:rPr>
                <w:sz w:val="20"/>
                <w:szCs w:val="20"/>
              </w:rPr>
            </w:pPr>
            <w:r>
              <w:rPr>
                <w:rFonts w:eastAsia="Times New Roman"/>
                <w:b/>
                <w:bCs/>
                <w:sz w:val="20"/>
                <w:szCs w:val="20"/>
              </w:rPr>
              <w:t>Nature de l’impact</w:t>
            </w:r>
          </w:p>
        </w:tc>
        <w:tc>
          <w:tcPr>
            <w:tcW w:w="6299" w:type="dxa"/>
            <w:tcBorders>
              <w:top w:val="single" w:sz="8" w:space="0" w:color="auto"/>
              <w:bottom w:val="single" w:sz="8" w:space="0" w:color="auto"/>
              <w:right w:val="single" w:sz="8" w:space="0" w:color="auto"/>
            </w:tcBorders>
            <w:vAlign w:val="bottom"/>
          </w:tcPr>
          <w:p w:rsidR="00223198" w:rsidRDefault="00223198" w:rsidP="00A76F4A">
            <w:pPr>
              <w:ind w:left="1800" w:right="12"/>
              <w:rPr>
                <w:sz w:val="20"/>
                <w:szCs w:val="20"/>
              </w:rPr>
            </w:pPr>
            <w:r>
              <w:rPr>
                <w:rFonts w:eastAsia="Times New Roman"/>
                <w:b/>
                <w:bCs/>
                <w:sz w:val="20"/>
                <w:szCs w:val="20"/>
              </w:rPr>
              <w:t>Mesure d’atténuation</w:t>
            </w:r>
          </w:p>
        </w:tc>
      </w:tr>
      <w:tr w:rsidR="002B1363" w:rsidTr="003204A0">
        <w:trPr>
          <w:trHeight w:val="213"/>
          <w:jc w:val="center"/>
        </w:trPr>
        <w:tc>
          <w:tcPr>
            <w:tcW w:w="1040" w:type="dxa"/>
            <w:vMerge w:val="restart"/>
            <w:tcBorders>
              <w:left w:val="single" w:sz="8" w:space="0" w:color="auto"/>
            </w:tcBorders>
            <w:vAlign w:val="center"/>
          </w:tcPr>
          <w:p w:rsidR="002B1363" w:rsidRDefault="002B1363" w:rsidP="00A76F4A">
            <w:pPr>
              <w:spacing w:line="213" w:lineRule="exact"/>
              <w:ind w:left="120" w:right="12"/>
              <w:jc w:val="center"/>
              <w:rPr>
                <w:sz w:val="20"/>
                <w:szCs w:val="20"/>
              </w:rPr>
            </w:pPr>
            <w:r>
              <w:rPr>
                <w:rFonts w:eastAsia="Times New Roman"/>
                <w:sz w:val="20"/>
                <w:szCs w:val="20"/>
              </w:rPr>
              <w:t>sol</w:t>
            </w:r>
          </w:p>
        </w:tc>
        <w:tc>
          <w:tcPr>
            <w:tcW w:w="360" w:type="dxa"/>
            <w:tcBorders>
              <w:right w:val="single" w:sz="8" w:space="0" w:color="auto"/>
            </w:tcBorders>
            <w:vAlign w:val="bottom"/>
          </w:tcPr>
          <w:p w:rsidR="002B1363" w:rsidRDefault="002B1363" w:rsidP="00A76F4A">
            <w:pPr>
              <w:ind w:right="12"/>
              <w:rPr>
                <w:sz w:val="18"/>
                <w:szCs w:val="18"/>
              </w:rPr>
            </w:pPr>
          </w:p>
        </w:tc>
        <w:tc>
          <w:tcPr>
            <w:tcW w:w="1740" w:type="dxa"/>
            <w:gridSpan w:val="5"/>
            <w:vAlign w:val="bottom"/>
          </w:tcPr>
          <w:p w:rsidR="002B1363" w:rsidRDefault="002B1363" w:rsidP="00A76F4A">
            <w:pPr>
              <w:spacing w:line="213" w:lineRule="exact"/>
              <w:ind w:left="80" w:right="12"/>
              <w:rPr>
                <w:sz w:val="20"/>
                <w:szCs w:val="20"/>
              </w:rPr>
            </w:pPr>
            <w:r>
              <w:rPr>
                <w:rFonts w:eastAsia="Times New Roman"/>
                <w:sz w:val="20"/>
                <w:szCs w:val="20"/>
              </w:rPr>
              <w:t>Baisse de la fertilité</w:t>
            </w:r>
          </w:p>
        </w:tc>
        <w:tc>
          <w:tcPr>
            <w:tcW w:w="600" w:type="dxa"/>
            <w:tcBorders>
              <w:right w:val="single" w:sz="8" w:space="0" w:color="auto"/>
            </w:tcBorders>
            <w:vAlign w:val="bottom"/>
          </w:tcPr>
          <w:p w:rsidR="002B1363" w:rsidRDefault="002B1363" w:rsidP="00A76F4A">
            <w:pPr>
              <w:ind w:right="12"/>
              <w:rPr>
                <w:sz w:val="18"/>
                <w:szCs w:val="18"/>
              </w:rPr>
            </w:pPr>
          </w:p>
        </w:tc>
        <w:tc>
          <w:tcPr>
            <w:tcW w:w="6299" w:type="dxa"/>
            <w:tcBorders>
              <w:right w:val="single" w:sz="8" w:space="0" w:color="auto"/>
            </w:tcBorders>
            <w:vAlign w:val="bottom"/>
          </w:tcPr>
          <w:p w:rsidR="002B1363" w:rsidRDefault="002B1363" w:rsidP="00A76F4A">
            <w:pPr>
              <w:spacing w:line="213" w:lineRule="exact"/>
              <w:ind w:left="80" w:right="12"/>
              <w:rPr>
                <w:sz w:val="20"/>
                <w:szCs w:val="20"/>
              </w:rPr>
            </w:pPr>
            <w:r>
              <w:rPr>
                <w:rFonts w:eastAsia="Times New Roman"/>
                <w:sz w:val="20"/>
                <w:szCs w:val="20"/>
              </w:rPr>
              <w:t>Apport de matière organique</w:t>
            </w:r>
          </w:p>
        </w:tc>
      </w:tr>
      <w:tr w:rsidR="002B1363" w:rsidTr="003204A0">
        <w:trPr>
          <w:trHeight w:val="230"/>
          <w:jc w:val="center"/>
        </w:trPr>
        <w:tc>
          <w:tcPr>
            <w:tcW w:w="1040" w:type="dxa"/>
            <w:vMerge/>
            <w:tcBorders>
              <w:left w:val="single" w:sz="8" w:space="0" w:color="auto"/>
            </w:tcBorders>
            <w:vAlign w:val="bottom"/>
          </w:tcPr>
          <w:p w:rsidR="002B1363" w:rsidRDefault="002B1363" w:rsidP="00A76F4A">
            <w:pPr>
              <w:ind w:right="12"/>
              <w:rPr>
                <w:sz w:val="20"/>
                <w:szCs w:val="20"/>
              </w:rPr>
            </w:pPr>
          </w:p>
        </w:tc>
        <w:tc>
          <w:tcPr>
            <w:tcW w:w="360" w:type="dxa"/>
            <w:tcBorders>
              <w:right w:val="single" w:sz="8" w:space="0" w:color="auto"/>
            </w:tcBorders>
            <w:vAlign w:val="bottom"/>
          </w:tcPr>
          <w:p w:rsidR="002B1363" w:rsidRDefault="002B1363" w:rsidP="00A76F4A">
            <w:pPr>
              <w:ind w:right="12"/>
              <w:rPr>
                <w:sz w:val="20"/>
                <w:szCs w:val="20"/>
              </w:rPr>
            </w:pPr>
          </w:p>
        </w:tc>
        <w:tc>
          <w:tcPr>
            <w:tcW w:w="760" w:type="dxa"/>
            <w:vAlign w:val="bottom"/>
          </w:tcPr>
          <w:p w:rsidR="002B1363" w:rsidRDefault="002B1363" w:rsidP="00A76F4A">
            <w:pPr>
              <w:ind w:right="12"/>
              <w:rPr>
                <w:sz w:val="20"/>
                <w:szCs w:val="20"/>
              </w:rPr>
            </w:pPr>
          </w:p>
        </w:tc>
        <w:tc>
          <w:tcPr>
            <w:tcW w:w="120" w:type="dxa"/>
            <w:vAlign w:val="bottom"/>
          </w:tcPr>
          <w:p w:rsidR="002B1363" w:rsidRDefault="002B1363" w:rsidP="00A76F4A">
            <w:pPr>
              <w:ind w:right="12"/>
              <w:rPr>
                <w:sz w:val="20"/>
                <w:szCs w:val="20"/>
              </w:rPr>
            </w:pPr>
          </w:p>
        </w:tc>
        <w:tc>
          <w:tcPr>
            <w:tcW w:w="300" w:type="dxa"/>
            <w:vAlign w:val="bottom"/>
          </w:tcPr>
          <w:p w:rsidR="002B1363" w:rsidRDefault="002B1363" w:rsidP="00A76F4A">
            <w:pPr>
              <w:ind w:right="12"/>
              <w:rPr>
                <w:sz w:val="20"/>
                <w:szCs w:val="20"/>
              </w:rPr>
            </w:pPr>
          </w:p>
        </w:tc>
        <w:tc>
          <w:tcPr>
            <w:tcW w:w="360" w:type="dxa"/>
            <w:vAlign w:val="bottom"/>
          </w:tcPr>
          <w:p w:rsidR="002B1363" w:rsidRDefault="002B1363" w:rsidP="00A76F4A">
            <w:pPr>
              <w:ind w:right="12"/>
              <w:rPr>
                <w:sz w:val="20"/>
                <w:szCs w:val="20"/>
              </w:rPr>
            </w:pPr>
          </w:p>
        </w:tc>
        <w:tc>
          <w:tcPr>
            <w:tcW w:w="200" w:type="dxa"/>
            <w:vAlign w:val="bottom"/>
          </w:tcPr>
          <w:p w:rsidR="002B1363" w:rsidRDefault="002B1363" w:rsidP="00A76F4A">
            <w:pPr>
              <w:ind w:right="12"/>
              <w:rPr>
                <w:sz w:val="20"/>
                <w:szCs w:val="20"/>
              </w:rPr>
            </w:pPr>
          </w:p>
        </w:tc>
        <w:tc>
          <w:tcPr>
            <w:tcW w:w="600" w:type="dxa"/>
            <w:tcBorders>
              <w:right w:val="single" w:sz="8" w:space="0" w:color="auto"/>
            </w:tcBorders>
            <w:vAlign w:val="bottom"/>
          </w:tcPr>
          <w:p w:rsidR="002B1363" w:rsidRDefault="002B1363" w:rsidP="00A76F4A">
            <w:pPr>
              <w:ind w:right="12"/>
              <w:rPr>
                <w:sz w:val="20"/>
                <w:szCs w:val="20"/>
              </w:rPr>
            </w:pPr>
          </w:p>
        </w:tc>
        <w:tc>
          <w:tcPr>
            <w:tcW w:w="6299" w:type="dxa"/>
            <w:tcBorders>
              <w:right w:val="single" w:sz="8" w:space="0" w:color="auto"/>
            </w:tcBorders>
            <w:vAlign w:val="bottom"/>
          </w:tcPr>
          <w:p w:rsidR="002B1363" w:rsidRDefault="002B1363" w:rsidP="00A76F4A">
            <w:pPr>
              <w:ind w:left="80" w:right="12"/>
              <w:rPr>
                <w:sz w:val="20"/>
                <w:szCs w:val="20"/>
              </w:rPr>
            </w:pPr>
            <w:r>
              <w:rPr>
                <w:rFonts w:eastAsia="Times New Roman"/>
                <w:sz w:val="20"/>
                <w:szCs w:val="20"/>
              </w:rPr>
              <w:t>Vulgarisation de l’emploi de fumier ou de compost</w:t>
            </w:r>
          </w:p>
        </w:tc>
      </w:tr>
      <w:tr w:rsidR="002B1363" w:rsidTr="003204A0">
        <w:trPr>
          <w:trHeight w:val="230"/>
          <w:jc w:val="center"/>
        </w:trPr>
        <w:tc>
          <w:tcPr>
            <w:tcW w:w="1040" w:type="dxa"/>
            <w:vMerge/>
            <w:tcBorders>
              <w:left w:val="single" w:sz="8" w:space="0" w:color="auto"/>
            </w:tcBorders>
            <w:vAlign w:val="bottom"/>
          </w:tcPr>
          <w:p w:rsidR="002B1363" w:rsidRDefault="002B1363" w:rsidP="00A76F4A">
            <w:pPr>
              <w:ind w:right="12"/>
              <w:rPr>
                <w:sz w:val="20"/>
                <w:szCs w:val="20"/>
              </w:rPr>
            </w:pPr>
          </w:p>
        </w:tc>
        <w:tc>
          <w:tcPr>
            <w:tcW w:w="360" w:type="dxa"/>
            <w:tcBorders>
              <w:right w:val="single" w:sz="8" w:space="0" w:color="auto"/>
            </w:tcBorders>
            <w:vAlign w:val="bottom"/>
          </w:tcPr>
          <w:p w:rsidR="002B1363" w:rsidRDefault="002B1363" w:rsidP="00A76F4A">
            <w:pPr>
              <w:ind w:right="12"/>
              <w:rPr>
                <w:sz w:val="20"/>
                <w:szCs w:val="20"/>
              </w:rPr>
            </w:pPr>
          </w:p>
        </w:tc>
        <w:tc>
          <w:tcPr>
            <w:tcW w:w="760" w:type="dxa"/>
            <w:vAlign w:val="bottom"/>
          </w:tcPr>
          <w:p w:rsidR="002B1363" w:rsidRDefault="002B1363" w:rsidP="00A76F4A">
            <w:pPr>
              <w:ind w:right="12"/>
              <w:rPr>
                <w:sz w:val="20"/>
                <w:szCs w:val="20"/>
              </w:rPr>
            </w:pPr>
          </w:p>
        </w:tc>
        <w:tc>
          <w:tcPr>
            <w:tcW w:w="120" w:type="dxa"/>
            <w:vAlign w:val="bottom"/>
          </w:tcPr>
          <w:p w:rsidR="002B1363" w:rsidRDefault="002B1363" w:rsidP="00A76F4A">
            <w:pPr>
              <w:ind w:right="12"/>
              <w:rPr>
                <w:sz w:val="20"/>
                <w:szCs w:val="20"/>
              </w:rPr>
            </w:pPr>
          </w:p>
        </w:tc>
        <w:tc>
          <w:tcPr>
            <w:tcW w:w="300" w:type="dxa"/>
            <w:vAlign w:val="bottom"/>
          </w:tcPr>
          <w:p w:rsidR="002B1363" w:rsidRDefault="002B1363" w:rsidP="00A76F4A">
            <w:pPr>
              <w:ind w:right="12"/>
              <w:rPr>
                <w:sz w:val="20"/>
                <w:szCs w:val="20"/>
              </w:rPr>
            </w:pPr>
          </w:p>
        </w:tc>
        <w:tc>
          <w:tcPr>
            <w:tcW w:w="360" w:type="dxa"/>
            <w:vAlign w:val="bottom"/>
          </w:tcPr>
          <w:p w:rsidR="002B1363" w:rsidRDefault="002B1363" w:rsidP="00A76F4A">
            <w:pPr>
              <w:ind w:right="12"/>
              <w:rPr>
                <w:sz w:val="20"/>
                <w:szCs w:val="20"/>
              </w:rPr>
            </w:pPr>
          </w:p>
        </w:tc>
        <w:tc>
          <w:tcPr>
            <w:tcW w:w="200" w:type="dxa"/>
            <w:vAlign w:val="bottom"/>
          </w:tcPr>
          <w:p w:rsidR="002B1363" w:rsidRDefault="002B1363" w:rsidP="00A76F4A">
            <w:pPr>
              <w:ind w:right="12"/>
              <w:rPr>
                <w:sz w:val="20"/>
                <w:szCs w:val="20"/>
              </w:rPr>
            </w:pPr>
          </w:p>
        </w:tc>
        <w:tc>
          <w:tcPr>
            <w:tcW w:w="600" w:type="dxa"/>
            <w:tcBorders>
              <w:right w:val="single" w:sz="8" w:space="0" w:color="auto"/>
            </w:tcBorders>
            <w:vAlign w:val="bottom"/>
          </w:tcPr>
          <w:p w:rsidR="002B1363" w:rsidRDefault="002B1363" w:rsidP="00A76F4A">
            <w:pPr>
              <w:ind w:right="12"/>
              <w:rPr>
                <w:sz w:val="20"/>
                <w:szCs w:val="20"/>
              </w:rPr>
            </w:pPr>
          </w:p>
        </w:tc>
        <w:tc>
          <w:tcPr>
            <w:tcW w:w="6299" w:type="dxa"/>
            <w:tcBorders>
              <w:right w:val="single" w:sz="8" w:space="0" w:color="auto"/>
            </w:tcBorders>
            <w:vAlign w:val="bottom"/>
          </w:tcPr>
          <w:p w:rsidR="002B1363" w:rsidRDefault="002B1363" w:rsidP="00A76F4A">
            <w:pPr>
              <w:ind w:left="80" w:right="12"/>
              <w:rPr>
                <w:sz w:val="20"/>
                <w:szCs w:val="20"/>
              </w:rPr>
            </w:pPr>
            <w:r>
              <w:rPr>
                <w:rFonts w:eastAsia="Times New Roman"/>
                <w:sz w:val="20"/>
                <w:szCs w:val="20"/>
              </w:rPr>
              <w:t>Meilleure utilisation de la fumure minérale</w:t>
            </w:r>
          </w:p>
        </w:tc>
      </w:tr>
      <w:tr w:rsidR="002B1363" w:rsidTr="003204A0">
        <w:trPr>
          <w:trHeight w:val="230"/>
          <w:jc w:val="center"/>
        </w:trPr>
        <w:tc>
          <w:tcPr>
            <w:tcW w:w="1040" w:type="dxa"/>
            <w:vMerge/>
            <w:tcBorders>
              <w:left w:val="single" w:sz="8" w:space="0" w:color="auto"/>
            </w:tcBorders>
            <w:vAlign w:val="bottom"/>
          </w:tcPr>
          <w:p w:rsidR="002B1363" w:rsidRDefault="002B1363" w:rsidP="00A76F4A">
            <w:pPr>
              <w:ind w:right="12"/>
              <w:rPr>
                <w:sz w:val="20"/>
                <w:szCs w:val="20"/>
              </w:rPr>
            </w:pPr>
          </w:p>
        </w:tc>
        <w:tc>
          <w:tcPr>
            <w:tcW w:w="360" w:type="dxa"/>
            <w:tcBorders>
              <w:right w:val="single" w:sz="8" w:space="0" w:color="auto"/>
            </w:tcBorders>
            <w:vAlign w:val="bottom"/>
          </w:tcPr>
          <w:p w:rsidR="002B1363" w:rsidRDefault="002B1363" w:rsidP="00A76F4A">
            <w:pPr>
              <w:ind w:right="12"/>
              <w:rPr>
                <w:sz w:val="20"/>
                <w:szCs w:val="20"/>
              </w:rPr>
            </w:pPr>
          </w:p>
        </w:tc>
        <w:tc>
          <w:tcPr>
            <w:tcW w:w="760" w:type="dxa"/>
            <w:vAlign w:val="bottom"/>
          </w:tcPr>
          <w:p w:rsidR="002B1363" w:rsidRDefault="002B1363" w:rsidP="00A76F4A">
            <w:pPr>
              <w:ind w:right="12"/>
              <w:rPr>
                <w:sz w:val="20"/>
                <w:szCs w:val="20"/>
              </w:rPr>
            </w:pPr>
          </w:p>
        </w:tc>
        <w:tc>
          <w:tcPr>
            <w:tcW w:w="120" w:type="dxa"/>
            <w:vAlign w:val="bottom"/>
          </w:tcPr>
          <w:p w:rsidR="002B1363" w:rsidRDefault="002B1363" w:rsidP="00A76F4A">
            <w:pPr>
              <w:ind w:right="12"/>
              <w:rPr>
                <w:sz w:val="20"/>
                <w:szCs w:val="20"/>
              </w:rPr>
            </w:pPr>
          </w:p>
        </w:tc>
        <w:tc>
          <w:tcPr>
            <w:tcW w:w="300" w:type="dxa"/>
            <w:vAlign w:val="bottom"/>
          </w:tcPr>
          <w:p w:rsidR="002B1363" w:rsidRDefault="002B1363" w:rsidP="00A76F4A">
            <w:pPr>
              <w:ind w:right="12"/>
              <w:rPr>
                <w:sz w:val="20"/>
                <w:szCs w:val="20"/>
              </w:rPr>
            </w:pPr>
          </w:p>
        </w:tc>
        <w:tc>
          <w:tcPr>
            <w:tcW w:w="360" w:type="dxa"/>
            <w:vAlign w:val="bottom"/>
          </w:tcPr>
          <w:p w:rsidR="002B1363" w:rsidRDefault="002B1363" w:rsidP="00A76F4A">
            <w:pPr>
              <w:ind w:right="12"/>
              <w:rPr>
                <w:sz w:val="20"/>
                <w:szCs w:val="20"/>
              </w:rPr>
            </w:pPr>
          </w:p>
        </w:tc>
        <w:tc>
          <w:tcPr>
            <w:tcW w:w="200" w:type="dxa"/>
            <w:vAlign w:val="bottom"/>
          </w:tcPr>
          <w:p w:rsidR="002B1363" w:rsidRDefault="002B1363" w:rsidP="00A76F4A">
            <w:pPr>
              <w:ind w:right="12"/>
              <w:rPr>
                <w:sz w:val="20"/>
                <w:szCs w:val="20"/>
              </w:rPr>
            </w:pPr>
          </w:p>
        </w:tc>
        <w:tc>
          <w:tcPr>
            <w:tcW w:w="600" w:type="dxa"/>
            <w:tcBorders>
              <w:right w:val="single" w:sz="8" w:space="0" w:color="auto"/>
            </w:tcBorders>
            <w:vAlign w:val="bottom"/>
          </w:tcPr>
          <w:p w:rsidR="002B1363" w:rsidRDefault="002B1363" w:rsidP="00A76F4A">
            <w:pPr>
              <w:ind w:right="12"/>
              <w:rPr>
                <w:sz w:val="20"/>
                <w:szCs w:val="20"/>
              </w:rPr>
            </w:pPr>
          </w:p>
        </w:tc>
        <w:tc>
          <w:tcPr>
            <w:tcW w:w="6299" w:type="dxa"/>
            <w:tcBorders>
              <w:right w:val="single" w:sz="8" w:space="0" w:color="auto"/>
            </w:tcBorders>
            <w:vAlign w:val="bottom"/>
          </w:tcPr>
          <w:p w:rsidR="002B1363" w:rsidRDefault="002B1363" w:rsidP="00A76F4A">
            <w:pPr>
              <w:ind w:left="80" w:right="12"/>
              <w:rPr>
                <w:sz w:val="20"/>
                <w:szCs w:val="20"/>
              </w:rPr>
            </w:pPr>
            <w:r>
              <w:rPr>
                <w:rFonts w:eastAsia="Times New Roman"/>
                <w:sz w:val="20"/>
                <w:szCs w:val="20"/>
              </w:rPr>
              <w:t>Techniques culturales (jachères, rotation des cultures)</w:t>
            </w:r>
          </w:p>
        </w:tc>
      </w:tr>
      <w:tr w:rsidR="002B1363" w:rsidTr="003204A0">
        <w:trPr>
          <w:trHeight w:val="233"/>
          <w:jc w:val="center"/>
        </w:trPr>
        <w:tc>
          <w:tcPr>
            <w:tcW w:w="1040" w:type="dxa"/>
            <w:vMerge/>
            <w:tcBorders>
              <w:left w:val="single" w:sz="8" w:space="0" w:color="auto"/>
            </w:tcBorders>
            <w:vAlign w:val="bottom"/>
          </w:tcPr>
          <w:p w:rsidR="002B1363" w:rsidRDefault="002B1363" w:rsidP="00A76F4A">
            <w:pPr>
              <w:ind w:right="12"/>
              <w:rPr>
                <w:sz w:val="20"/>
                <w:szCs w:val="20"/>
              </w:rPr>
            </w:pPr>
          </w:p>
        </w:tc>
        <w:tc>
          <w:tcPr>
            <w:tcW w:w="360" w:type="dxa"/>
            <w:tcBorders>
              <w:right w:val="single" w:sz="8" w:space="0" w:color="auto"/>
            </w:tcBorders>
            <w:vAlign w:val="bottom"/>
          </w:tcPr>
          <w:p w:rsidR="002B1363" w:rsidRDefault="002B1363" w:rsidP="00A76F4A">
            <w:pPr>
              <w:ind w:right="12"/>
              <w:rPr>
                <w:sz w:val="20"/>
                <w:szCs w:val="20"/>
              </w:rPr>
            </w:pPr>
          </w:p>
        </w:tc>
        <w:tc>
          <w:tcPr>
            <w:tcW w:w="760" w:type="dxa"/>
            <w:tcBorders>
              <w:bottom w:val="single" w:sz="8" w:space="0" w:color="auto"/>
            </w:tcBorders>
            <w:vAlign w:val="bottom"/>
          </w:tcPr>
          <w:p w:rsidR="002B1363" w:rsidRDefault="002B1363" w:rsidP="00A76F4A">
            <w:pPr>
              <w:ind w:right="12"/>
              <w:rPr>
                <w:sz w:val="20"/>
                <w:szCs w:val="20"/>
              </w:rPr>
            </w:pPr>
          </w:p>
        </w:tc>
        <w:tc>
          <w:tcPr>
            <w:tcW w:w="120" w:type="dxa"/>
            <w:tcBorders>
              <w:bottom w:val="single" w:sz="8" w:space="0" w:color="auto"/>
            </w:tcBorders>
            <w:vAlign w:val="bottom"/>
          </w:tcPr>
          <w:p w:rsidR="002B1363" w:rsidRDefault="002B1363" w:rsidP="00A76F4A">
            <w:pPr>
              <w:ind w:right="12"/>
              <w:rPr>
                <w:sz w:val="20"/>
                <w:szCs w:val="20"/>
              </w:rPr>
            </w:pPr>
          </w:p>
        </w:tc>
        <w:tc>
          <w:tcPr>
            <w:tcW w:w="300" w:type="dxa"/>
            <w:tcBorders>
              <w:bottom w:val="single" w:sz="8" w:space="0" w:color="auto"/>
            </w:tcBorders>
            <w:vAlign w:val="bottom"/>
          </w:tcPr>
          <w:p w:rsidR="002B1363" w:rsidRDefault="002B1363" w:rsidP="00A76F4A">
            <w:pPr>
              <w:ind w:right="12"/>
              <w:rPr>
                <w:sz w:val="20"/>
                <w:szCs w:val="20"/>
              </w:rPr>
            </w:pPr>
          </w:p>
        </w:tc>
        <w:tc>
          <w:tcPr>
            <w:tcW w:w="360" w:type="dxa"/>
            <w:tcBorders>
              <w:bottom w:val="single" w:sz="8" w:space="0" w:color="auto"/>
            </w:tcBorders>
            <w:vAlign w:val="bottom"/>
          </w:tcPr>
          <w:p w:rsidR="002B1363" w:rsidRDefault="002B1363" w:rsidP="00A76F4A">
            <w:pPr>
              <w:ind w:right="12"/>
              <w:rPr>
                <w:sz w:val="20"/>
                <w:szCs w:val="20"/>
              </w:rPr>
            </w:pPr>
          </w:p>
        </w:tc>
        <w:tc>
          <w:tcPr>
            <w:tcW w:w="200" w:type="dxa"/>
            <w:tcBorders>
              <w:bottom w:val="single" w:sz="8" w:space="0" w:color="auto"/>
            </w:tcBorders>
            <w:vAlign w:val="bottom"/>
          </w:tcPr>
          <w:p w:rsidR="002B1363" w:rsidRDefault="002B1363" w:rsidP="00A76F4A">
            <w:pPr>
              <w:ind w:right="12"/>
              <w:rPr>
                <w:sz w:val="20"/>
                <w:szCs w:val="20"/>
              </w:rPr>
            </w:pPr>
          </w:p>
        </w:tc>
        <w:tc>
          <w:tcPr>
            <w:tcW w:w="600" w:type="dxa"/>
            <w:tcBorders>
              <w:bottom w:val="single" w:sz="8" w:space="0" w:color="auto"/>
              <w:right w:val="single" w:sz="8" w:space="0" w:color="auto"/>
            </w:tcBorders>
            <w:vAlign w:val="bottom"/>
          </w:tcPr>
          <w:p w:rsidR="002B1363" w:rsidRDefault="002B1363" w:rsidP="00A76F4A">
            <w:pPr>
              <w:ind w:right="12"/>
              <w:rPr>
                <w:sz w:val="20"/>
                <w:szCs w:val="20"/>
              </w:rPr>
            </w:pPr>
          </w:p>
        </w:tc>
        <w:tc>
          <w:tcPr>
            <w:tcW w:w="6299" w:type="dxa"/>
            <w:tcBorders>
              <w:bottom w:val="single" w:sz="8" w:space="0" w:color="auto"/>
              <w:right w:val="single" w:sz="8" w:space="0" w:color="auto"/>
            </w:tcBorders>
            <w:vAlign w:val="bottom"/>
          </w:tcPr>
          <w:p w:rsidR="002B1363" w:rsidRDefault="002B1363" w:rsidP="00A76F4A">
            <w:pPr>
              <w:ind w:left="80" w:right="12"/>
              <w:rPr>
                <w:sz w:val="20"/>
                <w:szCs w:val="20"/>
              </w:rPr>
            </w:pPr>
            <w:r>
              <w:rPr>
                <w:rFonts w:eastAsia="Times New Roman"/>
                <w:sz w:val="20"/>
                <w:szCs w:val="20"/>
              </w:rPr>
              <w:t>Lutte contre la déforestation et l’érosion</w:t>
            </w:r>
          </w:p>
        </w:tc>
      </w:tr>
      <w:tr w:rsidR="002B1363" w:rsidTr="003204A0">
        <w:trPr>
          <w:trHeight w:val="215"/>
          <w:jc w:val="center"/>
        </w:trPr>
        <w:tc>
          <w:tcPr>
            <w:tcW w:w="1040" w:type="dxa"/>
            <w:vMerge/>
            <w:tcBorders>
              <w:left w:val="single" w:sz="8" w:space="0" w:color="auto"/>
            </w:tcBorders>
            <w:vAlign w:val="bottom"/>
          </w:tcPr>
          <w:p w:rsidR="002B1363" w:rsidRDefault="002B1363" w:rsidP="00A76F4A">
            <w:pPr>
              <w:ind w:right="12"/>
              <w:rPr>
                <w:sz w:val="18"/>
                <w:szCs w:val="18"/>
              </w:rPr>
            </w:pPr>
          </w:p>
        </w:tc>
        <w:tc>
          <w:tcPr>
            <w:tcW w:w="360" w:type="dxa"/>
            <w:tcBorders>
              <w:right w:val="single" w:sz="8" w:space="0" w:color="auto"/>
            </w:tcBorders>
            <w:vAlign w:val="bottom"/>
          </w:tcPr>
          <w:p w:rsidR="002B1363" w:rsidRDefault="002B1363" w:rsidP="00A76F4A">
            <w:pPr>
              <w:ind w:right="12"/>
              <w:rPr>
                <w:sz w:val="18"/>
                <w:szCs w:val="18"/>
              </w:rPr>
            </w:pPr>
          </w:p>
        </w:tc>
        <w:tc>
          <w:tcPr>
            <w:tcW w:w="1180" w:type="dxa"/>
            <w:gridSpan w:val="3"/>
            <w:vAlign w:val="bottom"/>
          </w:tcPr>
          <w:p w:rsidR="002B1363" w:rsidRDefault="002B1363" w:rsidP="00A76F4A">
            <w:pPr>
              <w:spacing w:line="214" w:lineRule="exact"/>
              <w:ind w:left="80" w:right="12"/>
              <w:rPr>
                <w:sz w:val="20"/>
                <w:szCs w:val="20"/>
              </w:rPr>
            </w:pPr>
            <w:r>
              <w:rPr>
                <w:rFonts w:eastAsia="Times New Roman"/>
                <w:sz w:val="20"/>
                <w:szCs w:val="20"/>
              </w:rPr>
              <w:t>Acidification</w:t>
            </w:r>
          </w:p>
        </w:tc>
        <w:tc>
          <w:tcPr>
            <w:tcW w:w="360" w:type="dxa"/>
            <w:vAlign w:val="bottom"/>
          </w:tcPr>
          <w:p w:rsidR="002B1363" w:rsidRDefault="002B1363" w:rsidP="00A76F4A">
            <w:pPr>
              <w:ind w:right="12"/>
              <w:rPr>
                <w:sz w:val="18"/>
                <w:szCs w:val="18"/>
              </w:rPr>
            </w:pPr>
          </w:p>
        </w:tc>
        <w:tc>
          <w:tcPr>
            <w:tcW w:w="200" w:type="dxa"/>
            <w:vAlign w:val="bottom"/>
          </w:tcPr>
          <w:p w:rsidR="002B1363" w:rsidRDefault="002B1363" w:rsidP="00A76F4A">
            <w:pPr>
              <w:ind w:right="12"/>
              <w:rPr>
                <w:sz w:val="18"/>
                <w:szCs w:val="18"/>
              </w:rPr>
            </w:pPr>
          </w:p>
        </w:tc>
        <w:tc>
          <w:tcPr>
            <w:tcW w:w="600" w:type="dxa"/>
            <w:tcBorders>
              <w:right w:val="single" w:sz="8" w:space="0" w:color="auto"/>
            </w:tcBorders>
            <w:vAlign w:val="bottom"/>
          </w:tcPr>
          <w:p w:rsidR="002B1363" w:rsidRDefault="002B1363" w:rsidP="00A76F4A">
            <w:pPr>
              <w:ind w:right="12"/>
              <w:rPr>
                <w:sz w:val="18"/>
                <w:szCs w:val="18"/>
              </w:rPr>
            </w:pPr>
          </w:p>
        </w:tc>
        <w:tc>
          <w:tcPr>
            <w:tcW w:w="6299" w:type="dxa"/>
            <w:tcBorders>
              <w:right w:val="single" w:sz="8" w:space="0" w:color="auto"/>
            </w:tcBorders>
            <w:vAlign w:val="bottom"/>
          </w:tcPr>
          <w:p w:rsidR="002B1363" w:rsidRDefault="002B1363" w:rsidP="00A76F4A">
            <w:pPr>
              <w:spacing w:line="214" w:lineRule="exact"/>
              <w:ind w:left="80" w:right="12"/>
              <w:rPr>
                <w:sz w:val="20"/>
                <w:szCs w:val="20"/>
              </w:rPr>
            </w:pPr>
            <w:r>
              <w:rPr>
                <w:rFonts w:eastAsia="Times New Roman"/>
                <w:sz w:val="20"/>
                <w:szCs w:val="20"/>
              </w:rPr>
              <w:t>Minimiser l’emploi d’engrais azotés</w:t>
            </w:r>
          </w:p>
        </w:tc>
      </w:tr>
      <w:tr w:rsidR="002B1363" w:rsidTr="003204A0">
        <w:trPr>
          <w:trHeight w:val="235"/>
          <w:jc w:val="center"/>
        </w:trPr>
        <w:tc>
          <w:tcPr>
            <w:tcW w:w="1040" w:type="dxa"/>
            <w:vMerge/>
            <w:tcBorders>
              <w:left w:val="single" w:sz="8" w:space="0" w:color="auto"/>
            </w:tcBorders>
            <w:vAlign w:val="bottom"/>
          </w:tcPr>
          <w:p w:rsidR="002B1363" w:rsidRDefault="002B1363" w:rsidP="00A76F4A">
            <w:pPr>
              <w:ind w:right="12"/>
              <w:rPr>
                <w:sz w:val="20"/>
                <w:szCs w:val="20"/>
              </w:rPr>
            </w:pPr>
          </w:p>
        </w:tc>
        <w:tc>
          <w:tcPr>
            <w:tcW w:w="360" w:type="dxa"/>
            <w:tcBorders>
              <w:right w:val="single" w:sz="8" w:space="0" w:color="auto"/>
            </w:tcBorders>
            <w:vAlign w:val="bottom"/>
          </w:tcPr>
          <w:p w:rsidR="002B1363" w:rsidRDefault="002B1363" w:rsidP="00A76F4A">
            <w:pPr>
              <w:ind w:right="12"/>
              <w:rPr>
                <w:sz w:val="20"/>
                <w:szCs w:val="20"/>
              </w:rPr>
            </w:pPr>
          </w:p>
        </w:tc>
        <w:tc>
          <w:tcPr>
            <w:tcW w:w="760" w:type="dxa"/>
            <w:tcBorders>
              <w:bottom w:val="single" w:sz="8" w:space="0" w:color="auto"/>
            </w:tcBorders>
            <w:vAlign w:val="bottom"/>
          </w:tcPr>
          <w:p w:rsidR="002B1363" w:rsidRDefault="002B1363" w:rsidP="00A76F4A">
            <w:pPr>
              <w:ind w:right="12"/>
              <w:rPr>
                <w:sz w:val="20"/>
                <w:szCs w:val="20"/>
              </w:rPr>
            </w:pPr>
          </w:p>
        </w:tc>
        <w:tc>
          <w:tcPr>
            <w:tcW w:w="120" w:type="dxa"/>
            <w:tcBorders>
              <w:bottom w:val="single" w:sz="8" w:space="0" w:color="auto"/>
            </w:tcBorders>
            <w:vAlign w:val="bottom"/>
          </w:tcPr>
          <w:p w:rsidR="002B1363" w:rsidRDefault="002B1363" w:rsidP="00A76F4A">
            <w:pPr>
              <w:ind w:right="12"/>
              <w:rPr>
                <w:sz w:val="20"/>
                <w:szCs w:val="20"/>
              </w:rPr>
            </w:pPr>
          </w:p>
        </w:tc>
        <w:tc>
          <w:tcPr>
            <w:tcW w:w="300" w:type="dxa"/>
            <w:tcBorders>
              <w:bottom w:val="single" w:sz="8" w:space="0" w:color="auto"/>
            </w:tcBorders>
            <w:vAlign w:val="bottom"/>
          </w:tcPr>
          <w:p w:rsidR="002B1363" w:rsidRDefault="002B1363" w:rsidP="00A76F4A">
            <w:pPr>
              <w:ind w:right="12"/>
              <w:rPr>
                <w:sz w:val="20"/>
                <w:szCs w:val="20"/>
              </w:rPr>
            </w:pPr>
          </w:p>
        </w:tc>
        <w:tc>
          <w:tcPr>
            <w:tcW w:w="360" w:type="dxa"/>
            <w:tcBorders>
              <w:bottom w:val="single" w:sz="8" w:space="0" w:color="auto"/>
            </w:tcBorders>
            <w:vAlign w:val="bottom"/>
          </w:tcPr>
          <w:p w:rsidR="002B1363" w:rsidRDefault="002B1363" w:rsidP="00A76F4A">
            <w:pPr>
              <w:ind w:right="12"/>
              <w:rPr>
                <w:sz w:val="20"/>
                <w:szCs w:val="20"/>
              </w:rPr>
            </w:pPr>
          </w:p>
        </w:tc>
        <w:tc>
          <w:tcPr>
            <w:tcW w:w="200" w:type="dxa"/>
            <w:tcBorders>
              <w:bottom w:val="single" w:sz="8" w:space="0" w:color="auto"/>
            </w:tcBorders>
            <w:vAlign w:val="bottom"/>
          </w:tcPr>
          <w:p w:rsidR="002B1363" w:rsidRDefault="002B1363" w:rsidP="00A76F4A">
            <w:pPr>
              <w:ind w:right="12"/>
              <w:rPr>
                <w:sz w:val="20"/>
                <w:szCs w:val="20"/>
              </w:rPr>
            </w:pPr>
          </w:p>
        </w:tc>
        <w:tc>
          <w:tcPr>
            <w:tcW w:w="600" w:type="dxa"/>
            <w:tcBorders>
              <w:bottom w:val="single" w:sz="8" w:space="0" w:color="auto"/>
              <w:right w:val="single" w:sz="8" w:space="0" w:color="auto"/>
            </w:tcBorders>
            <w:vAlign w:val="bottom"/>
          </w:tcPr>
          <w:p w:rsidR="002B1363" w:rsidRDefault="002B1363" w:rsidP="00A76F4A">
            <w:pPr>
              <w:ind w:right="12"/>
              <w:rPr>
                <w:sz w:val="20"/>
                <w:szCs w:val="20"/>
              </w:rPr>
            </w:pPr>
          </w:p>
        </w:tc>
        <w:tc>
          <w:tcPr>
            <w:tcW w:w="6299" w:type="dxa"/>
            <w:tcBorders>
              <w:bottom w:val="single" w:sz="8" w:space="0" w:color="auto"/>
              <w:right w:val="single" w:sz="8" w:space="0" w:color="auto"/>
            </w:tcBorders>
            <w:vAlign w:val="bottom"/>
          </w:tcPr>
          <w:p w:rsidR="002B1363" w:rsidRDefault="002B1363" w:rsidP="00A76F4A">
            <w:pPr>
              <w:ind w:left="80" w:right="12"/>
              <w:rPr>
                <w:sz w:val="20"/>
                <w:szCs w:val="20"/>
              </w:rPr>
            </w:pPr>
            <w:r>
              <w:rPr>
                <w:rFonts w:eastAsia="Times New Roman"/>
                <w:sz w:val="20"/>
                <w:szCs w:val="20"/>
              </w:rPr>
              <w:t>Techniques culturales (jachères –rotation des cultures)</w:t>
            </w:r>
          </w:p>
        </w:tc>
      </w:tr>
      <w:tr w:rsidR="002B1363" w:rsidTr="003204A0">
        <w:trPr>
          <w:trHeight w:val="216"/>
          <w:jc w:val="center"/>
        </w:trPr>
        <w:tc>
          <w:tcPr>
            <w:tcW w:w="1040" w:type="dxa"/>
            <w:vMerge/>
            <w:tcBorders>
              <w:left w:val="single" w:sz="8" w:space="0" w:color="auto"/>
            </w:tcBorders>
            <w:vAlign w:val="bottom"/>
          </w:tcPr>
          <w:p w:rsidR="002B1363" w:rsidRDefault="002B1363" w:rsidP="00A76F4A">
            <w:pPr>
              <w:ind w:right="12"/>
              <w:rPr>
                <w:sz w:val="18"/>
                <w:szCs w:val="18"/>
              </w:rPr>
            </w:pPr>
          </w:p>
        </w:tc>
        <w:tc>
          <w:tcPr>
            <w:tcW w:w="360" w:type="dxa"/>
            <w:tcBorders>
              <w:right w:val="single" w:sz="8" w:space="0" w:color="auto"/>
            </w:tcBorders>
            <w:vAlign w:val="bottom"/>
          </w:tcPr>
          <w:p w:rsidR="002B1363" w:rsidRDefault="002B1363" w:rsidP="00A76F4A">
            <w:pPr>
              <w:ind w:right="12"/>
              <w:rPr>
                <w:sz w:val="18"/>
                <w:szCs w:val="18"/>
              </w:rPr>
            </w:pPr>
          </w:p>
        </w:tc>
        <w:tc>
          <w:tcPr>
            <w:tcW w:w="880" w:type="dxa"/>
            <w:gridSpan w:val="2"/>
            <w:vAlign w:val="bottom"/>
          </w:tcPr>
          <w:p w:rsidR="002B1363" w:rsidRDefault="002B1363" w:rsidP="00A76F4A">
            <w:pPr>
              <w:spacing w:line="216" w:lineRule="exact"/>
              <w:ind w:left="80" w:right="12"/>
              <w:rPr>
                <w:sz w:val="20"/>
                <w:szCs w:val="20"/>
              </w:rPr>
            </w:pPr>
            <w:r>
              <w:rPr>
                <w:rFonts w:eastAsia="Times New Roman"/>
                <w:sz w:val="20"/>
                <w:szCs w:val="20"/>
              </w:rPr>
              <w:t>Pollution</w:t>
            </w:r>
          </w:p>
        </w:tc>
        <w:tc>
          <w:tcPr>
            <w:tcW w:w="300" w:type="dxa"/>
            <w:vAlign w:val="bottom"/>
          </w:tcPr>
          <w:p w:rsidR="002B1363" w:rsidRDefault="002B1363" w:rsidP="00A76F4A">
            <w:pPr>
              <w:ind w:right="12"/>
              <w:rPr>
                <w:sz w:val="18"/>
                <w:szCs w:val="18"/>
              </w:rPr>
            </w:pPr>
          </w:p>
        </w:tc>
        <w:tc>
          <w:tcPr>
            <w:tcW w:w="360" w:type="dxa"/>
            <w:vAlign w:val="bottom"/>
          </w:tcPr>
          <w:p w:rsidR="002B1363" w:rsidRDefault="002B1363" w:rsidP="00A76F4A">
            <w:pPr>
              <w:spacing w:line="216" w:lineRule="exact"/>
              <w:ind w:left="100" w:right="12"/>
              <w:rPr>
                <w:sz w:val="20"/>
                <w:szCs w:val="20"/>
              </w:rPr>
            </w:pPr>
            <w:r>
              <w:rPr>
                <w:rFonts w:eastAsia="Times New Roman"/>
                <w:w w:val="93"/>
                <w:sz w:val="20"/>
                <w:szCs w:val="20"/>
              </w:rPr>
              <w:t>par</w:t>
            </w:r>
          </w:p>
        </w:tc>
        <w:tc>
          <w:tcPr>
            <w:tcW w:w="200" w:type="dxa"/>
            <w:vAlign w:val="bottom"/>
          </w:tcPr>
          <w:p w:rsidR="002B1363" w:rsidRDefault="002B1363" w:rsidP="00A76F4A">
            <w:pPr>
              <w:ind w:right="12"/>
              <w:rPr>
                <w:sz w:val="18"/>
                <w:szCs w:val="18"/>
              </w:rPr>
            </w:pPr>
          </w:p>
        </w:tc>
        <w:tc>
          <w:tcPr>
            <w:tcW w:w="600" w:type="dxa"/>
            <w:tcBorders>
              <w:right w:val="single" w:sz="8" w:space="0" w:color="auto"/>
            </w:tcBorders>
            <w:vAlign w:val="bottom"/>
          </w:tcPr>
          <w:p w:rsidR="002B1363" w:rsidRDefault="002B1363" w:rsidP="00A76F4A">
            <w:pPr>
              <w:spacing w:line="216" w:lineRule="exact"/>
              <w:ind w:right="12"/>
              <w:jc w:val="right"/>
              <w:rPr>
                <w:sz w:val="20"/>
                <w:szCs w:val="20"/>
              </w:rPr>
            </w:pPr>
            <w:r>
              <w:rPr>
                <w:rFonts w:eastAsia="Times New Roman"/>
                <w:sz w:val="20"/>
                <w:szCs w:val="20"/>
              </w:rPr>
              <w:t>les</w:t>
            </w:r>
          </w:p>
        </w:tc>
        <w:tc>
          <w:tcPr>
            <w:tcW w:w="6299" w:type="dxa"/>
            <w:tcBorders>
              <w:right w:val="single" w:sz="8" w:space="0" w:color="auto"/>
            </w:tcBorders>
            <w:vAlign w:val="bottom"/>
          </w:tcPr>
          <w:p w:rsidR="002B1363" w:rsidRDefault="002B1363" w:rsidP="00A76F4A">
            <w:pPr>
              <w:spacing w:line="216" w:lineRule="exact"/>
              <w:ind w:left="80" w:right="12"/>
              <w:rPr>
                <w:sz w:val="20"/>
                <w:szCs w:val="20"/>
              </w:rPr>
            </w:pPr>
            <w:r>
              <w:rPr>
                <w:rFonts w:eastAsia="Times New Roman"/>
                <w:sz w:val="20"/>
                <w:szCs w:val="20"/>
              </w:rPr>
              <w:t>Contrôle des pesticides</w:t>
            </w:r>
          </w:p>
        </w:tc>
      </w:tr>
      <w:tr w:rsidR="002B1363" w:rsidTr="003204A0">
        <w:trPr>
          <w:trHeight w:val="214"/>
          <w:jc w:val="center"/>
        </w:trPr>
        <w:tc>
          <w:tcPr>
            <w:tcW w:w="1040" w:type="dxa"/>
            <w:vMerge/>
            <w:tcBorders>
              <w:left w:val="single" w:sz="8" w:space="0" w:color="auto"/>
            </w:tcBorders>
            <w:vAlign w:val="bottom"/>
          </w:tcPr>
          <w:p w:rsidR="002B1363" w:rsidRDefault="002B1363" w:rsidP="00A76F4A">
            <w:pPr>
              <w:ind w:right="12"/>
              <w:rPr>
                <w:sz w:val="18"/>
                <w:szCs w:val="18"/>
              </w:rPr>
            </w:pPr>
          </w:p>
        </w:tc>
        <w:tc>
          <w:tcPr>
            <w:tcW w:w="360" w:type="dxa"/>
            <w:tcBorders>
              <w:right w:val="single" w:sz="8" w:space="0" w:color="auto"/>
            </w:tcBorders>
            <w:vAlign w:val="bottom"/>
          </w:tcPr>
          <w:p w:rsidR="002B1363" w:rsidRDefault="002B1363" w:rsidP="00A76F4A">
            <w:pPr>
              <w:ind w:right="12"/>
              <w:rPr>
                <w:sz w:val="18"/>
                <w:szCs w:val="18"/>
              </w:rPr>
            </w:pPr>
          </w:p>
        </w:tc>
        <w:tc>
          <w:tcPr>
            <w:tcW w:w="1180" w:type="dxa"/>
            <w:gridSpan w:val="3"/>
            <w:vAlign w:val="bottom"/>
          </w:tcPr>
          <w:p w:rsidR="002B1363" w:rsidRDefault="002B1363" w:rsidP="00A76F4A">
            <w:pPr>
              <w:spacing w:line="214" w:lineRule="exact"/>
              <w:ind w:left="80" w:right="12"/>
              <w:rPr>
                <w:sz w:val="20"/>
                <w:szCs w:val="20"/>
              </w:rPr>
            </w:pPr>
            <w:r>
              <w:rPr>
                <w:rFonts w:eastAsia="Times New Roman"/>
                <w:sz w:val="20"/>
                <w:szCs w:val="20"/>
              </w:rPr>
              <w:t>phosphates,</w:t>
            </w:r>
          </w:p>
        </w:tc>
        <w:tc>
          <w:tcPr>
            <w:tcW w:w="360" w:type="dxa"/>
            <w:vAlign w:val="bottom"/>
          </w:tcPr>
          <w:p w:rsidR="002B1363" w:rsidRDefault="002B1363" w:rsidP="00A76F4A">
            <w:pPr>
              <w:spacing w:line="214" w:lineRule="exact"/>
              <w:ind w:left="20" w:right="12"/>
              <w:rPr>
                <w:sz w:val="20"/>
                <w:szCs w:val="20"/>
              </w:rPr>
            </w:pPr>
            <w:r>
              <w:rPr>
                <w:rFonts w:eastAsia="Times New Roman"/>
                <w:sz w:val="20"/>
                <w:szCs w:val="20"/>
              </w:rPr>
              <w:t>les</w:t>
            </w:r>
          </w:p>
        </w:tc>
        <w:tc>
          <w:tcPr>
            <w:tcW w:w="800" w:type="dxa"/>
            <w:gridSpan w:val="2"/>
            <w:tcBorders>
              <w:right w:val="single" w:sz="8" w:space="0" w:color="auto"/>
            </w:tcBorders>
            <w:vAlign w:val="bottom"/>
          </w:tcPr>
          <w:p w:rsidR="002B1363" w:rsidRDefault="002B1363" w:rsidP="00A76F4A">
            <w:pPr>
              <w:spacing w:line="214" w:lineRule="exact"/>
              <w:ind w:right="12"/>
              <w:jc w:val="right"/>
              <w:rPr>
                <w:sz w:val="20"/>
                <w:szCs w:val="20"/>
              </w:rPr>
            </w:pPr>
            <w:r>
              <w:rPr>
                <w:rFonts w:eastAsia="Times New Roman"/>
                <w:sz w:val="20"/>
                <w:szCs w:val="20"/>
              </w:rPr>
              <w:t>métaux</w:t>
            </w:r>
          </w:p>
        </w:tc>
        <w:tc>
          <w:tcPr>
            <w:tcW w:w="6299" w:type="dxa"/>
            <w:tcBorders>
              <w:right w:val="single" w:sz="8" w:space="0" w:color="auto"/>
            </w:tcBorders>
            <w:vAlign w:val="bottom"/>
          </w:tcPr>
          <w:p w:rsidR="002B1363" w:rsidRDefault="002B1363" w:rsidP="00A76F4A">
            <w:pPr>
              <w:spacing w:line="214" w:lineRule="exact"/>
              <w:ind w:left="80" w:right="12"/>
              <w:rPr>
                <w:sz w:val="20"/>
                <w:szCs w:val="20"/>
              </w:rPr>
            </w:pPr>
            <w:r>
              <w:rPr>
                <w:rFonts w:eastAsia="Times New Roman"/>
                <w:sz w:val="20"/>
                <w:szCs w:val="20"/>
              </w:rPr>
              <w:t>Elimination des pesticides obsolètes</w:t>
            </w:r>
          </w:p>
        </w:tc>
      </w:tr>
      <w:tr w:rsidR="002B1363" w:rsidTr="003204A0">
        <w:trPr>
          <w:trHeight w:val="259"/>
          <w:jc w:val="center"/>
        </w:trPr>
        <w:tc>
          <w:tcPr>
            <w:tcW w:w="1040" w:type="dxa"/>
            <w:vMerge/>
            <w:tcBorders>
              <w:left w:val="single" w:sz="8" w:space="0" w:color="auto"/>
            </w:tcBorders>
            <w:vAlign w:val="bottom"/>
          </w:tcPr>
          <w:p w:rsidR="002B1363" w:rsidRDefault="002B1363" w:rsidP="00A76F4A">
            <w:pPr>
              <w:ind w:right="12"/>
            </w:pPr>
          </w:p>
        </w:tc>
        <w:tc>
          <w:tcPr>
            <w:tcW w:w="360" w:type="dxa"/>
            <w:tcBorders>
              <w:right w:val="single" w:sz="8" w:space="0" w:color="auto"/>
            </w:tcBorders>
            <w:vAlign w:val="bottom"/>
          </w:tcPr>
          <w:p w:rsidR="002B1363" w:rsidRDefault="002B1363" w:rsidP="00A76F4A">
            <w:pPr>
              <w:ind w:right="12"/>
            </w:pPr>
          </w:p>
        </w:tc>
        <w:tc>
          <w:tcPr>
            <w:tcW w:w="2340" w:type="dxa"/>
            <w:gridSpan w:val="6"/>
            <w:tcBorders>
              <w:right w:val="single" w:sz="8" w:space="0" w:color="auto"/>
            </w:tcBorders>
            <w:vAlign w:val="bottom"/>
          </w:tcPr>
          <w:p w:rsidR="002B1363" w:rsidRDefault="002B1363" w:rsidP="00A76F4A">
            <w:pPr>
              <w:spacing w:line="258" w:lineRule="exact"/>
              <w:ind w:left="80" w:right="12"/>
              <w:rPr>
                <w:sz w:val="20"/>
                <w:szCs w:val="20"/>
              </w:rPr>
            </w:pPr>
            <w:r>
              <w:rPr>
                <w:rFonts w:eastAsia="Times New Roman"/>
                <w:sz w:val="20"/>
                <w:szCs w:val="20"/>
              </w:rPr>
              <w:t>lourds (Pb</w:t>
            </w:r>
            <w:r>
              <w:rPr>
                <w:rFonts w:eastAsia="Times New Roman"/>
                <w:sz w:val="25"/>
                <w:szCs w:val="25"/>
                <w:vertAlign w:val="superscript"/>
              </w:rPr>
              <w:t>++</w:t>
            </w:r>
            <w:r>
              <w:rPr>
                <w:rFonts w:eastAsia="Times New Roman"/>
                <w:sz w:val="20"/>
                <w:szCs w:val="20"/>
              </w:rPr>
              <w:t>, ZN</w:t>
            </w:r>
            <w:r>
              <w:rPr>
                <w:rFonts w:eastAsia="Times New Roman"/>
                <w:sz w:val="25"/>
                <w:szCs w:val="25"/>
                <w:vertAlign w:val="superscript"/>
              </w:rPr>
              <w:t>++</w:t>
            </w:r>
            <w:r>
              <w:rPr>
                <w:rFonts w:eastAsia="Times New Roman"/>
                <w:sz w:val="20"/>
                <w:szCs w:val="20"/>
              </w:rPr>
              <w:t>, Mn</w:t>
            </w:r>
            <w:r>
              <w:rPr>
                <w:rFonts w:eastAsia="Times New Roman"/>
                <w:sz w:val="25"/>
                <w:szCs w:val="25"/>
                <w:vertAlign w:val="superscript"/>
              </w:rPr>
              <w:t>++</w:t>
            </w:r>
          </w:p>
        </w:tc>
        <w:tc>
          <w:tcPr>
            <w:tcW w:w="6299" w:type="dxa"/>
            <w:tcBorders>
              <w:right w:val="single" w:sz="8" w:space="0" w:color="auto"/>
            </w:tcBorders>
            <w:vAlign w:val="bottom"/>
          </w:tcPr>
          <w:p w:rsidR="002B1363" w:rsidRDefault="002B1363" w:rsidP="00A76F4A">
            <w:pPr>
              <w:ind w:left="80" w:right="12"/>
              <w:rPr>
                <w:sz w:val="20"/>
                <w:szCs w:val="20"/>
              </w:rPr>
            </w:pPr>
            <w:r>
              <w:rPr>
                <w:rFonts w:eastAsia="Times New Roman"/>
                <w:sz w:val="20"/>
                <w:szCs w:val="20"/>
              </w:rPr>
              <w:t>Utilisation rationnelle des pesticides (dose, maîtrise des périodes</w:t>
            </w:r>
          </w:p>
        </w:tc>
      </w:tr>
      <w:tr w:rsidR="002B1363" w:rsidTr="003204A0">
        <w:trPr>
          <w:trHeight w:val="219"/>
          <w:jc w:val="center"/>
        </w:trPr>
        <w:tc>
          <w:tcPr>
            <w:tcW w:w="1040" w:type="dxa"/>
            <w:vMerge/>
            <w:tcBorders>
              <w:left w:val="single" w:sz="8" w:space="0" w:color="auto"/>
            </w:tcBorders>
            <w:vAlign w:val="bottom"/>
          </w:tcPr>
          <w:p w:rsidR="002B1363" w:rsidRDefault="002B1363" w:rsidP="00A76F4A">
            <w:pPr>
              <w:ind w:right="12"/>
              <w:rPr>
                <w:sz w:val="19"/>
                <w:szCs w:val="19"/>
              </w:rPr>
            </w:pPr>
          </w:p>
        </w:tc>
        <w:tc>
          <w:tcPr>
            <w:tcW w:w="360" w:type="dxa"/>
            <w:tcBorders>
              <w:right w:val="single" w:sz="8" w:space="0" w:color="auto"/>
            </w:tcBorders>
            <w:vAlign w:val="bottom"/>
          </w:tcPr>
          <w:p w:rsidR="002B1363" w:rsidRDefault="002B1363" w:rsidP="00A76F4A">
            <w:pPr>
              <w:ind w:right="12"/>
              <w:rPr>
                <w:sz w:val="19"/>
                <w:szCs w:val="19"/>
              </w:rPr>
            </w:pPr>
          </w:p>
        </w:tc>
        <w:tc>
          <w:tcPr>
            <w:tcW w:w="760" w:type="dxa"/>
            <w:vAlign w:val="bottom"/>
          </w:tcPr>
          <w:p w:rsidR="002B1363" w:rsidRDefault="002B1363" w:rsidP="00A76F4A">
            <w:pPr>
              <w:ind w:right="12"/>
              <w:rPr>
                <w:sz w:val="19"/>
                <w:szCs w:val="19"/>
              </w:rPr>
            </w:pPr>
          </w:p>
        </w:tc>
        <w:tc>
          <w:tcPr>
            <w:tcW w:w="120" w:type="dxa"/>
            <w:vAlign w:val="bottom"/>
          </w:tcPr>
          <w:p w:rsidR="002B1363" w:rsidRDefault="002B1363" w:rsidP="00A76F4A">
            <w:pPr>
              <w:ind w:right="12"/>
              <w:rPr>
                <w:sz w:val="19"/>
                <w:szCs w:val="19"/>
              </w:rPr>
            </w:pPr>
          </w:p>
        </w:tc>
        <w:tc>
          <w:tcPr>
            <w:tcW w:w="300" w:type="dxa"/>
            <w:vAlign w:val="bottom"/>
          </w:tcPr>
          <w:p w:rsidR="002B1363" w:rsidRDefault="002B1363" w:rsidP="00A76F4A">
            <w:pPr>
              <w:ind w:right="12"/>
              <w:rPr>
                <w:sz w:val="19"/>
                <w:szCs w:val="19"/>
              </w:rPr>
            </w:pPr>
          </w:p>
        </w:tc>
        <w:tc>
          <w:tcPr>
            <w:tcW w:w="360" w:type="dxa"/>
            <w:vAlign w:val="bottom"/>
          </w:tcPr>
          <w:p w:rsidR="002B1363" w:rsidRDefault="002B1363" w:rsidP="00A76F4A">
            <w:pPr>
              <w:ind w:right="12"/>
              <w:rPr>
                <w:sz w:val="19"/>
                <w:szCs w:val="19"/>
              </w:rPr>
            </w:pPr>
          </w:p>
        </w:tc>
        <w:tc>
          <w:tcPr>
            <w:tcW w:w="200" w:type="dxa"/>
            <w:vAlign w:val="bottom"/>
          </w:tcPr>
          <w:p w:rsidR="002B1363" w:rsidRDefault="002B1363" w:rsidP="00A76F4A">
            <w:pPr>
              <w:ind w:right="12"/>
              <w:rPr>
                <w:sz w:val="19"/>
                <w:szCs w:val="19"/>
              </w:rPr>
            </w:pPr>
          </w:p>
        </w:tc>
        <w:tc>
          <w:tcPr>
            <w:tcW w:w="600" w:type="dxa"/>
            <w:tcBorders>
              <w:right w:val="single" w:sz="8" w:space="0" w:color="auto"/>
            </w:tcBorders>
            <w:vAlign w:val="bottom"/>
          </w:tcPr>
          <w:p w:rsidR="002B1363" w:rsidRDefault="002B1363" w:rsidP="00A76F4A">
            <w:pPr>
              <w:ind w:right="12"/>
              <w:rPr>
                <w:sz w:val="19"/>
                <w:szCs w:val="19"/>
              </w:rPr>
            </w:pPr>
          </w:p>
        </w:tc>
        <w:tc>
          <w:tcPr>
            <w:tcW w:w="6299" w:type="dxa"/>
            <w:tcBorders>
              <w:right w:val="single" w:sz="8" w:space="0" w:color="auto"/>
            </w:tcBorders>
            <w:vAlign w:val="bottom"/>
          </w:tcPr>
          <w:p w:rsidR="002B1363" w:rsidRDefault="00BD6A85" w:rsidP="00A76F4A">
            <w:pPr>
              <w:spacing w:line="219" w:lineRule="exact"/>
              <w:ind w:left="80" w:right="12"/>
              <w:rPr>
                <w:sz w:val="20"/>
                <w:szCs w:val="20"/>
              </w:rPr>
            </w:pPr>
            <w:r>
              <w:rPr>
                <w:rFonts w:eastAsia="Times New Roman"/>
                <w:sz w:val="20"/>
                <w:szCs w:val="20"/>
              </w:rPr>
              <w:t>D’application</w:t>
            </w:r>
            <w:r w:rsidR="002B1363">
              <w:rPr>
                <w:rFonts w:eastAsia="Times New Roman"/>
                <w:sz w:val="20"/>
                <w:szCs w:val="20"/>
              </w:rPr>
              <w:t>)</w:t>
            </w:r>
          </w:p>
        </w:tc>
      </w:tr>
      <w:tr w:rsidR="002B1363" w:rsidTr="003204A0">
        <w:trPr>
          <w:trHeight w:val="230"/>
          <w:jc w:val="center"/>
        </w:trPr>
        <w:tc>
          <w:tcPr>
            <w:tcW w:w="1040" w:type="dxa"/>
            <w:vMerge/>
            <w:tcBorders>
              <w:left w:val="single" w:sz="8" w:space="0" w:color="auto"/>
            </w:tcBorders>
            <w:vAlign w:val="bottom"/>
          </w:tcPr>
          <w:p w:rsidR="002B1363" w:rsidRDefault="002B1363" w:rsidP="00A76F4A">
            <w:pPr>
              <w:ind w:right="12"/>
              <w:rPr>
                <w:sz w:val="20"/>
                <w:szCs w:val="20"/>
              </w:rPr>
            </w:pPr>
          </w:p>
        </w:tc>
        <w:tc>
          <w:tcPr>
            <w:tcW w:w="360" w:type="dxa"/>
            <w:tcBorders>
              <w:right w:val="single" w:sz="8" w:space="0" w:color="auto"/>
            </w:tcBorders>
            <w:vAlign w:val="bottom"/>
          </w:tcPr>
          <w:p w:rsidR="002B1363" w:rsidRDefault="002B1363" w:rsidP="00A76F4A">
            <w:pPr>
              <w:ind w:right="12"/>
              <w:rPr>
                <w:sz w:val="20"/>
                <w:szCs w:val="20"/>
              </w:rPr>
            </w:pPr>
          </w:p>
        </w:tc>
        <w:tc>
          <w:tcPr>
            <w:tcW w:w="760" w:type="dxa"/>
            <w:vAlign w:val="bottom"/>
          </w:tcPr>
          <w:p w:rsidR="002B1363" w:rsidRDefault="002B1363" w:rsidP="00A76F4A">
            <w:pPr>
              <w:ind w:right="12"/>
              <w:rPr>
                <w:sz w:val="20"/>
                <w:szCs w:val="20"/>
              </w:rPr>
            </w:pPr>
          </w:p>
        </w:tc>
        <w:tc>
          <w:tcPr>
            <w:tcW w:w="120" w:type="dxa"/>
            <w:vAlign w:val="bottom"/>
          </w:tcPr>
          <w:p w:rsidR="002B1363" w:rsidRDefault="002B1363" w:rsidP="00A76F4A">
            <w:pPr>
              <w:ind w:right="12"/>
              <w:rPr>
                <w:sz w:val="20"/>
                <w:szCs w:val="20"/>
              </w:rPr>
            </w:pPr>
          </w:p>
        </w:tc>
        <w:tc>
          <w:tcPr>
            <w:tcW w:w="300" w:type="dxa"/>
            <w:vAlign w:val="bottom"/>
          </w:tcPr>
          <w:p w:rsidR="002B1363" w:rsidRDefault="002B1363" w:rsidP="00A76F4A">
            <w:pPr>
              <w:ind w:right="12"/>
              <w:rPr>
                <w:sz w:val="20"/>
                <w:szCs w:val="20"/>
              </w:rPr>
            </w:pPr>
          </w:p>
        </w:tc>
        <w:tc>
          <w:tcPr>
            <w:tcW w:w="360" w:type="dxa"/>
            <w:vAlign w:val="bottom"/>
          </w:tcPr>
          <w:p w:rsidR="002B1363" w:rsidRDefault="002B1363" w:rsidP="00A76F4A">
            <w:pPr>
              <w:ind w:right="12"/>
              <w:rPr>
                <w:sz w:val="20"/>
                <w:szCs w:val="20"/>
              </w:rPr>
            </w:pPr>
          </w:p>
        </w:tc>
        <w:tc>
          <w:tcPr>
            <w:tcW w:w="200" w:type="dxa"/>
            <w:vAlign w:val="bottom"/>
          </w:tcPr>
          <w:p w:rsidR="002B1363" w:rsidRDefault="002B1363" w:rsidP="00A76F4A">
            <w:pPr>
              <w:ind w:right="12"/>
              <w:rPr>
                <w:sz w:val="20"/>
                <w:szCs w:val="20"/>
              </w:rPr>
            </w:pPr>
          </w:p>
        </w:tc>
        <w:tc>
          <w:tcPr>
            <w:tcW w:w="600" w:type="dxa"/>
            <w:tcBorders>
              <w:right w:val="single" w:sz="8" w:space="0" w:color="auto"/>
            </w:tcBorders>
            <w:vAlign w:val="bottom"/>
          </w:tcPr>
          <w:p w:rsidR="002B1363" w:rsidRDefault="002B1363" w:rsidP="00A76F4A">
            <w:pPr>
              <w:ind w:right="12"/>
              <w:rPr>
                <w:sz w:val="20"/>
                <w:szCs w:val="20"/>
              </w:rPr>
            </w:pPr>
          </w:p>
        </w:tc>
        <w:tc>
          <w:tcPr>
            <w:tcW w:w="6299" w:type="dxa"/>
            <w:tcBorders>
              <w:right w:val="single" w:sz="8" w:space="0" w:color="auto"/>
            </w:tcBorders>
            <w:vAlign w:val="bottom"/>
          </w:tcPr>
          <w:p w:rsidR="002B1363" w:rsidRDefault="002B1363" w:rsidP="00A76F4A">
            <w:pPr>
              <w:ind w:left="80" w:right="12"/>
              <w:rPr>
                <w:sz w:val="20"/>
                <w:szCs w:val="20"/>
              </w:rPr>
            </w:pPr>
            <w:r>
              <w:rPr>
                <w:rFonts w:eastAsia="Times New Roman"/>
                <w:sz w:val="20"/>
                <w:szCs w:val="20"/>
              </w:rPr>
              <w:t>Lutte intégrée</w:t>
            </w:r>
          </w:p>
        </w:tc>
      </w:tr>
      <w:tr w:rsidR="002B1363" w:rsidTr="003204A0">
        <w:trPr>
          <w:trHeight w:val="232"/>
          <w:jc w:val="center"/>
        </w:trPr>
        <w:tc>
          <w:tcPr>
            <w:tcW w:w="1040" w:type="dxa"/>
            <w:vMerge/>
            <w:tcBorders>
              <w:left w:val="single" w:sz="8" w:space="0" w:color="auto"/>
              <w:bottom w:val="single" w:sz="8" w:space="0" w:color="auto"/>
            </w:tcBorders>
            <w:vAlign w:val="bottom"/>
          </w:tcPr>
          <w:p w:rsidR="002B1363" w:rsidRDefault="002B1363" w:rsidP="00A76F4A">
            <w:pPr>
              <w:ind w:right="12"/>
              <w:rPr>
                <w:sz w:val="20"/>
                <w:szCs w:val="20"/>
              </w:rPr>
            </w:pPr>
          </w:p>
        </w:tc>
        <w:tc>
          <w:tcPr>
            <w:tcW w:w="360" w:type="dxa"/>
            <w:tcBorders>
              <w:bottom w:val="single" w:sz="8" w:space="0" w:color="auto"/>
              <w:right w:val="single" w:sz="8" w:space="0" w:color="auto"/>
            </w:tcBorders>
            <w:vAlign w:val="bottom"/>
          </w:tcPr>
          <w:p w:rsidR="002B1363" w:rsidRDefault="002B1363" w:rsidP="00A76F4A">
            <w:pPr>
              <w:ind w:right="12"/>
              <w:rPr>
                <w:sz w:val="20"/>
                <w:szCs w:val="20"/>
              </w:rPr>
            </w:pPr>
          </w:p>
        </w:tc>
        <w:tc>
          <w:tcPr>
            <w:tcW w:w="760" w:type="dxa"/>
            <w:tcBorders>
              <w:bottom w:val="single" w:sz="8" w:space="0" w:color="auto"/>
            </w:tcBorders>
            <w:vAlign w:val="bottom"/>
          </w:tcPr>
          <w:p w:rsidR="002B1363" w:rsidRDefault="002B1363" w:rsidP="00A76F4A">
            <w:pPr>
              <w:ind w:right="12"/>
              <w:rPr>
                <w:sz w:val="20"/>
                <w:szCs w:val="20"/>
              </w:rPr>
            </w:pPr>
          </w:p>
        </w:tc>
        <w:tc>
          <w:tcPr>
            <w:tcW w:w="120" w:type="dxa"/>
            <w:tcBorders>
              <w:bottom w:val="single" w:sz="8" w:space="0" w:color="auto"/>
            </w:tcBorders>
            <w:vAlign w:val="bottom"/>
          </w:tcPr>
          <w:p w:rsidR="002B1363" w:rsidRDefault="002B1363" w:rsidP="00A76F4A">
            <w:pPr>
              <w:ind w:right="12"/>
              <w:rPr>
                <w:sz w:val="20"/>
                <w:szCs w:val="20"/>
              </w:rPr>
            </w:pPr>
          </w:p>
        </w:tc>
        <w:tc>
          <w:tcPr>
            <w:tcW w:w="300" w:type="dxa"/>
            <w:tcBorders>
              <w:bottom w:val="single" w:sz="8" w:space="0" w:color="auto"/>
            </w:tcBorders>
            <w:vAlign w:val="bottom"/>
          </w:tcPr>
          <w:p w:rsidR="002B1363" w:rsidRDefault="002B1363" w:rsidP="00A76F4A">
            <w:pPr>
              <w:ind w:right="12"/>
              <w:rPr>
                <w:sz w:val="20"/>
                <w:szCs w:val="20"/>
              </w:rPr>
            </w:pPr>
          </w:p>
        </w:tc>
        <w:tc>
          <w:tcPr>
            <w:tcW w:w="360" w:type="dxa"/>
            <w:tcBorders>
              <w:bottom w:val="single" w:sz="8" w:space="0" w:color="auto"/>
            </w:tcBorders>
            <w:vAlign w:val="bottom"/>
          </w:tcPr>
          <w:p w:rsidR="002B1363" w:rsidRDefault="002B1363" w:rsidP="00A76F4A">
            <w:pPr>
              <w:ind w:right="12"/>
              <w:rPr>
                <w:sz w:val="20"/>
                <w:szCs w:val="20"/>
              </w:rPr>
            </w:pPr>
          </w:p>
        </w:tc>
        <w:tc>
          <w:tcPr>
            <w:tcW w:w="200" w:type="dxa"/>
            <w:tcBorders>
              <w:bottom w:val="single" w:sz="8" w:space="0" w:color="auto"/>
            </w:tcBorders>
            <w:vAlign w:val="bottom"/>
          </w:tcPr>
          <w:p w:rsidR="002B1363" w:rsidRDefault="002B1363" w:rsidP="00A76F4A">
            <w:pPr>
              <w:ind w:right="12"/>
              <w:rPr>
                <w:sz w:val="20"/>
                <w:szCs w:val="20"/>
              </w:rPr>
            </w:pPr>
          </w:p>
        </w:tc>
        <w:tc>
          <w:tcPr>
            <w:tcW w:w="600" w:type="dxa"/>
            <w:tcBorders>
              <w:bottom w:val="single" w:sz="8" w:space="0" w:color="auto"/>
              <w:right w:val="single" w:sz="8" w:space="0" w:color="auto"/>
            </w:tcBorders>
            <w:vAlign w:val="bottom"/>
          </w:tcPr>
          <w:p w:rsidR="002B1363" w:rsidRDefault="002B1363" w:rsidP="00A76F4A">
            <w:pPr>
              <w:ind w:right="12"/>
              <w:rPr>
                <w:sz w:val="20"/>
                <w:szCs w:val="20"/>
              </w:rPr>
            </w:pPr>
          </w:p>
        </w:tc>
        <w:tc>
          <w:tcPr>
            <w:tcW w:w="6299" w:type="dxa"/>
            <w:tcBorders>
              <w:bottom w:val="single" w:sz="8" w:space="0" w:color="auto"/>
              <w:right w:val="single" w:sz="8" w:space="0" w:color="auto"/>
            </w:tcBorders>
            <w:vAlign w:val="bottom"/>
          </w:tcPr>
          <w:p w:rsidR="002B1363" w:rsidRDefault="002B1363" w:rsidP="00A76F4A">
            <w:pPr>
              <w:spacing w:line="228" w:lineRule="exact"/>
              <w:ind w:left="80" w:right="12"/>
              <w:rPr>
                <w:sz w:val="20"/>
                <w:szCs w:val="20"/>
              </w:rPr>
            </w:pPr>
            <w:r>
              <w:rPr>
                <w:rFonts w:eastAsia="Times New Roman"/>
                <w:sz w:val="20"/>
                <w:szCs w:val="20"/>
              </w:rPr>
              <w:t>Meilleure gestion des contenants</w:t>
            </w:r>
          </w:p>
        </w:tc>
      </w:tr>
      <w:tr w:rsidR="00BD6A85" w:rsidTr="003204A0">
        <w:trPr>
          <w:trHeight w:val="216"/>
          <w:jc w:val="center"/>
        </w:trPr>
        <w:tc>
          <w:tcPr>
            <w:tcW w:w="1040" w:type="dxa"/>
            <w:tcBorders>
              <w:left w:val="single" w:sz="8" w:space="0" w:color="auto"/>
            </w:tcBorders>
            <w:vAlign w:val="bottom"/>
          </w:tcPr>
          <w:p w:rsidR="00223198" w:rsidRDefault="00223198" w:rsidP="00A76F4A">
            <w:pPr>
              <w:spacing w:line="216" w:lineRule="exact"/>
              <w:ind w:left="120" w:right="12"/>
              <w:rPr>
                <w:sz w:val="20"/>
                <w:szCs w:val="20"/>
              </w:rPr>
            </w:pPr>
            <w:r>
              <w:rPr>
                <w:rFonts w:eastAsia="Times New Roman"/>
                <w:sz w:val="20"/>
                <w:szCs w:val="20"/>
              </w:rPr>
              <w:t>Eaux</w:t>
            </w:r>
          </w:p>
        </w:tc>
        <w:tc>
          <w:tcPr>
            <w:tcW w:w="360" w:type="dxa"/>
            <w:tcBorders>
              <w:right w:val="single" w:sz="8" w:space="0" w:color="auto"/>
            </w:tcBorders>
            <w:vAlign w:val="bottom"/>
          </w:tcPr>
          <w:p w:rsidR="00223198" w:rsidRDefault="00223198" w:rsidP="00A76F4A">
            <w:pPr>
              <w:spacing w:line="216" w:lineRule="exact"/>
              <w:ind w:right="12"/>
              <w:jc w:val="right"/>
              <w:rPr>
                <w:sz w:val="20"/>
                <w:szCs w:val="20"/>
              </w:rPr>
            </w:pPr>
            <w:r>
              <w:rPr>
                <w:rFonts w:eastAsia="Times New Roman"/>
                <w:sz w:val="20"/>
                <w:szCs w:val="20"/>
              </w:rPr>
              <w:t>de</w:t>
            </w:r>
          </w:p>
        </w:tc>
        <w:tc>
          <w:tcPr>
            <w:tcW w:w="880" w:type="dxa"/>
            <w:gridSpan w:val="2"/>
            <w:vAlign w:val="bottom"/>
          </w:tcPr>
          <w:p w:rsidR="00223198" w:rsidRDefault="00223198" w:rsidP="00A76F4A">
            <w:pPr>
              <w:spacing w:line="216" w:lineRule="exact"/>
              <w:ind w:left="80" w:right="12"/>
              <w:rPr>
                <w:sz w:val="20"/>
                <w:szCs w:val="20"/>
              </w:rPr>
            </w:pPr>
            <w:r>
              <w:rPr>
                <w:rFonts w:eastAsia="Times New Roman"/>
                <w:sz w:val="20"/>
                <w:szCs w:val="20"/>
              </w:rPr>
              <w:t>Pollution</w:t>
            </w:r>
          </w:p>
        </w:tc>
        <w:tc>
          <w:tcPr>
            <w:tcW w:w="300" w:type="dxa"/>
            <w:vAlign w:val="bottom"/>
          </w:tcPr>
          <w:p w:rsidR="00223198" w:rsidRDefault="00223198" w:rsidP="00A76F4A">
            <w:pPr>
              <w:spacing w:line="216" w:lineRule="exact"/>
              <w:ind w:left="20" w:right="12"/>
              <w:rPr>
                <w:sz w:val="20"/>
                <w:szCs w:val="20"/>
              </w:rPr>
            </w:pPr>
            <w:r>
              <w:rPr>
                <w:rFonts w:eastAsia="Times New Roman"/>
                <w:sz w:val="20"/>
                <w:szCs w:val="20"/>
              </w:rPr>
              <w:t>par</w:t>
            </w:r>
          </w:p>
        </w:tc>
        <w:tc>
          <w:tcPr>
            <w:tcW w:w="360" w:type="dxa"/>
            <w:vAlign w:val="bottom"/>
          </w:tcPr>
          <w:p w:rsidR="00223198" w:rsidRDefault="00223198" w:rsidP="00A76F4A">
            <w:pPr>
              <w:spacing w:line="216" w:lineRule="exact"/>
              <w:ind w:left="80" w:right="12"/>
              <w:rPr>
                <w:sz w:val="20"/>
                <w:szCs w:val="20"/>
              </w:rPr>
            </w:pPr>
            <w:r>
              <w:rPr>
                <w:rFonts w:eastAsia="Times New Roman"/>
                <w:sz w:val="20"/>
                <w:szCs w:val="20"/>
              </w:rPr>
              <w:t>les</w:t>
            </w:r>
          </w:p>
        </w:tc>
        <w:tc>
          <w:tcPr>
            <w:tcW w:w="800" w:type="dxa"/>
            <w:gridSpan w:val="2"/>
            <w:tcBorders>
              <w:right w:val="single" w:sz="8" w:space="0" w:color="auto"/>
            </w:tcBorders>
            <w:vAlign w:val="bottom"/>
          </w:tcPr>
          <w:p w:rsidR="00223198" w:rsidRDefault="00223198" w:rsidP="00A76F4A">
            <w:pPr>
              <w:spacing w:line="216" w:lineRule="exact"/>
              <w:ind w:right="12"/>
              <w:jc w:val="right"/>
              <w:rPr>
                <w:sz w:val="20"/>
                <w:szCs w:val="20"/>
              </w:rPr>
            </w:pPr>
            <w:r>
              <w:rPr>
                <w:rFonts w:eastAsia="Times New Roman"/>
                <w:sz w:val="20"/>
                <w:szCs w:val="20"/>
              </w:rPr>
              <w:t>nitrates,</w:t>
            </w:r>
          </w:p>
        </w:tc>
        <w:tc>
          <w:tcPr>
            <w:tcW w:w="6299" w:type="dxa"/>
            <w:tcBorders>
              <w:right w:val="single" w:sz="8" w:space="0" w:color="auto"/>
            </w:tcBorders>
            <w:vAlign w:val="bottom"/>
          </w:tcPr>
          <w:p w:rsidR="00223198" w:rsidRDefault="00223198" w:rsidP="00A76F4A">
            <w:pPr>
              <w:spacing w:line="216" w:lineRule="exact"/>
              <w:ind w:left="80" w:right="12"/>
              <w:rPr>
                <w:sz w:val="20"/>
                <w:szCs w:val="20"/>
              </w:rPr>
            </w:pPr>
            <w:r>
              <w:rPr>
                <w:rFonts w:eastAsia="Times New Roman"/>
                <w:sz w:val="20"/>
                <w:szCs w:val="20"/>
              </w:rPr>
              <w:t>Minimiser l’emploi d’engrais azotés</w:t>
            </w:r>
          </w:p>
        </w:tc>
      </w:tr>
      <w:tr w:rsidR="00BD6A85" w:rsidTr="003204A0">
        <w:trPr>
          <w:trHeight w:val="230"/>
          <w:jc w:val="center"/>
        </w:trPr>
        <w:tc>
          <w:tcPr>
            <w:tcW w:w="1040" w:type="dxa"/>
            <w:tcBorders>
              <w:left w:val="single" w:sz="8" w:space="0" w:color="auto"/>
            </w:tcBorders>
            <w:vAlign w:val="bottom"/>
          </w:tcPr>
          <w:p w:rsidR="00223198" w:rsidRDefault="00223198" w:rsidP="00A76F4A">
            <w:pPr>
              <w:ind w:left="120" w:right="12"/>
              <w:rPr>
                <w:sz w:val="20"/>
                <w:szCs w:val="20"/>
              </w:rPr>
            </w:pPr>
            <w:r>
              <w:rPr>
                <w:rFonts w:eastAsia="Times New Roman"/>
                <w:sz w:val="20"/>
                <w:szCs w:val="20"/>
              </w:rPr>
              <w:t>surface</w:t>
            </w:r>
          </w:p>
        </w:tc>
        <w:tc>
          <w:tcPr>
            <w:tcW w:w="360" w:type="dxa"/>
            <w:tcBorders>
              <w:right w:val="single" w:sz="8" w:space="0" w:color="auto"/>
            </w:tcBorders>
            <w:vAlign w:val="bottom"/>
          </w:tcPr>
          <w:p w:rsidR="00223198" w:rsidRDefault="00223198" w:rsidP="00A76F4A">
            <w:pPr>
              <w:ind w:right="12"/>
              <w:jc w:val="right"/>
              <w:rPr>
                <w:sz w:val="20"/>
                <w:szCs w:val="20"/>
              </w:rPr>
            </w:pPr>
            <w:r>
              <w:rPr>
                <w:rFonts w:eastAsia="Times New Roman"/>
                <w:sz w:val="20"/>
                <w:szCs w:val="20"/>
              </w:rPr>
              <w:t>et</w:t>
            </w:r>
          </w:p>
        </w:tc>
        <w:tc>
          <w:tcPr>
            <w:tcW w:w="1540" w:type="dxa"/>
            <w:gridSpan w:val="4"/>
            <w:vAlign w:val="bottom"/>
          </w:tcPr>
          <w:p w:rsidR="00223198" w:rsidRDefault="00223198" w:rsidP="00A76F4A">
            <w:pPr>
              <w:ind w:left="80" w:right="12"/>
              <w:rPr>
                <w:sz w:val="20"/>
                <w:szCs w:val="20"/>
              </w:rPr>
            </w:pPr>
            <w:r>
              <w:rPr>
                <w:rFonts w:eastAsia="Times New Roman"/>
                <w:sz w:val="20"/>
                <w:szCs w:val="20"/>
              </w:rPr>
              <w:t>les métaux lourds</w:t>
            </w:r>
          </w:p>
        </w:tc>
        <w:tc>
          <w:tcPr>
            <w:tcW w:w="200" w:type="dxa"/>
            <w:vAlign w:val="bottom"/>
          </w:tcPr>
          <w:p w:rsidR="00223198" w:rsidRDefault="00223198" w:rsidP="00A76F4A">
            <w:pPr>
              <w:ind w:right="12"/>
              <w:rPr>
                <w:sz w:val="20"/>
                <w:szCs w:val="20"/>
              </w:rPr>
            </w:pPr>
          </w:p>
        </w:tc>
        <w:tc>
          <w:tcPr>
            <w:tcW w:w="600" w:type="dxa"/>
            <w:tcBorders>
              <w:right w:val="single" w:sz="8" w:space="0" w:color="auto"/>
            </w:tcBorders>
            <w:vAlign w:val="bottom"/>
          </w:tcPr>
          <w:p w:rsidR="00223198" w:rsidRDefault="00223198" w:rsidP="00A76F4A">
            <w:pPr>
              <w:ind w:right="12"/>
              <w:rPr>
                <w:sz w:val="20"/>
                <w:szCs w:val="20"/>
              </w:rPr>
            </w:pPr>
          </w:p>
        </w:tc>
        <w:tc>
          <w:tcPr>
            <w:tcW w:w="6299" w:type="dxa"/>
            <w:tcBorders>
              <w:right w:val="single" w:sz="8" w:space="0" w:color="auto"/>
            </w:tcBorders>
            <w:vAlign w:val="bottom"/>
          </w:tcPr>
          <w:p w:rsidR="00223198" w:rsidRDefault="00223198" w:rsidP="00A76F4A">
            <w:pPr>
              <w:ind w:left="80" w:right="12"/>
              <w:rPr>
                <w:sz w:val="20"/>
                <w:szCs w:val="20"/>
              </w:rPr>
            </w:pPr>
            <w:r>
              <w:rPr>
                <w:rFonts w:eastAsia="Times New Roman"/>
                <w:sz w:val="20"/>
                <w:szCs w:val="20"/>
              </w:rPr>
              <w:t>Meilleure gestion des contenants</w:t>
            </w:r>
          </w:p>
        </w:tc>
      </w:tr>
      <w:tr w:rsidR="00BD6A85" w:rsidTr="003204A0">
        <w:trPr>
          <w:trHeight w:val="235"/>
          <w:jc w:val="center"/>
        </w:trPr>
        <w:tc>
          <w:tcPr>
            <w:tcW w:w="1040" w:type="dxa"/>
            <w:tcBorders>
              <w:left w:val="single" w:sz="8" w:space="0" w:color="auto"/>
              <w:bottom w:val="single" w:sz="8" w:space="0" w:color="auto"/>
            </w:tcBorders>
            <w:vAlign w:val="bottom"/>
          </w:tcPr>
          <w:p w:rsidR="00223198" w:rsidRDefault="00223198" w:rsidP="00A76F4A">
            <w:pPr>
              <w:ind w:left="120" w:right="12"/>
              <w:rPr>
                <w:sz w:val="20"/>
                <w:szCs w:val="20"/>
              </w:rPr>
            </w:pPr>
            <w:r>
              <w:rPr>
                <w:rFonts w:eastAsia="Times New Roman"/>
                <w:sz w:val="20"/>
                <w:szCs w:val="20"/>
              </w:rPr>
              <w:t>souterraine</w:t>
            </w:r>
          </w:p>
        </w:tc>
        <w:tc>
          <w:tcPr>
            <w:tcW w:w="360" w:type="dxa"/>
            <w:tcBorders>
              <w:bottom w:val="single" w:sz="8" w:space="0" w:color="auto"/>
              <w:right w:val="single" w:sz="8" w:space="0" w:color="auto"/>
            </w:tcBorders>
            <w:vAlign w:val="bottom"/>
          </w:tcPr>
          <w:p w:rsidR="00223198" w:rsidRDefault="00223198" w:rsidP="00A76F4A">
            <w:pPr>
              <w:ind w:right="12"/>
              <w:rPr>
                <w:sz w:val="20"/>
                <w:szCs w:val="20"/>
              </w:rPr>
            </w:pPr>
          </w:p>
        </w:tc>
        <w:tc>
          <w:tcPr>
            <w:tcW w:w="760" w:type="dxa"/>
            <w:tcBorders>
              <w:bottom w:val="single" w:sz="8" w:space="0" w:color="auto"/>
            </w:tcBorders>
            <w:vAlign w:val="bottom"/>
          </w:tcPr>
          <w:p w:rsidR="00223198" w:rsidRDefault="00223198" w:rsidP="00A76F4A">
            <w:pPr>
              <w:ind w:right="12"/>
              <w:rPr>
                <w:sz w:val="20"/>
                <w:szCs w:val="20"/>
              </w:rPr>
            </w:pPr>
          </w:p>
        </w:tc>
        <w:tc>
          <w:tcPr>
            <w:tcW w:w="120" w:type="dxa"/>
            <w:tcBorders>
              <w:bottom w:val="single" w:sz="8" w:space="0" w:color="auto"/>
            </w:tcBorders>
            <w:vAlign w:val="bottom"/>
          </w:tcPr>
          <w:p w:rsidR="00223198" w:rsidRDefault="00223198" w:rsidP="00A76F4A">
            <w:pPr>
              <w:ind w:right="12"/>
              <w:rPr>
                <w:sz w:val="20"/>
                <w:szCs w:val="20"/>
              </w:rPr>
            </w:pPr>
          </w:p>
        </w:tc>
        <w:tc>
          <w:tcPr>
            <w:tcW w:w="300" w:type="dxa"/>
            <w:tcBorders>
              <w:bottom w:val="single" w:sz="8" w:space="0" w:color="auto"/>
            </w:tcBorders>
            <w:vAlign w:val="bottom"/>
          </w:tcPr>
          <w:p w:rsidR="00223198" w:rsidRDefault="00223198" w:rsidP="00A76F4A">
            <w:pPr>
              <w:ind w:right="12"/>
              <w:rPr>
                <w:sz w:val="20"/>
                <w:szCs w:val="20"/>
              </w:rPr>
            </w:pPr>
          </w:p>
        </w:tc>
        <w:tc>
          <w:tcPr>
            <w:tcW w:w="360" w:type="dxa"/>
            <w:tcBorders>
              <w:bottom w:val="single" w:sz="8" w:space="0" w:color="auto"/>
            </w:tcBorders>
            <w:vAlign w:val="bottom"/>
          </w:tcPr>
          <w:p w:rsidR="00223198" w:rsidRDefault="00223198" w:rsidP="00A76F4A">
            <w:pPr>
              <w:ind w:right="12"/>
              <w:rPr>
                <w:sz w:val="20"/>
                <w:szCs w:val="20"/>
              </w:rPr>
            </w:pPr>
          </w:p>
        </w:tc>
        <w:tc>
          <w:tcPr>
            <w:tcW w:w="200" w:type="dxa"/>
            <w:tcBorders>
              <w:bottom w:val="single" w:sz="8" w:space="0" w:color="auto"/>
            </w:tcBorders>
            <w:vAlign w:val="bottom"/>
          </w:tcPr>
          <w:p w:rsidR="00223198" w:rsidRDefault="00223198" w:rsidP="00A76F4A">
            <w:pPr>
              <w:ind w:right="12"/>
              <w:rPr>
                <w:sz w:val="20"/>
                <w:szCs w:val="20"/>
              </w:rPr>
            </w:pPr>
          </w:p>
        </w:tc>
        <w:tc>
          <w:tcPr>
            <w:tcW w:w="600" w:type="dxa"/>
            <w:tcBorders>
              <w:bottom w:val="single" w:sz="8" w:space="0" w:color="auto"/>
              <w:right w:val="single" w:sz="8" w:space="0" w:color="auto"/>
            </w:tcBorders>
            <w:vAlign w:val="bottom"/>
          </w:tcPr>
          <w:p w:rsidR="00223198" w:rsidRDefault="00223198" w:rsidP="00A76F4A">
            <w:pPr>
              <w:ind w:right="12"/>
              <w:rPr>
                <w:sz w:val="20"/>
                <w:szCs w:val="20"/>
              </w:rPr>
            </w:pPr>
          </w:p>
        </w:tc>
        <w:tc>
          <w:tcPr>
            <w:tcW w:w="6299" w:type="dxa"/>
            <w:tcBorders>
              <w:bottom w:val="single" w:sz="8" w:space="0" w:color="auto"/>
              <w:right w:val="single" w:sz="8" w:space="0" w:color="auto"/>
            </w:tcBorders>
            <w:vAlign w:val="bottom"/>
          </w:tcPr>
          <w:p w:rsidR="00223198" w:rsidRDefault="00223198" w:rsidP="00A76F4A">
            <w:pPr>
              <w:ind w:right="12"/>
              <w:rPr>
                <w:sz w:val="20"/>
                <w:szCs w:val="20"/>
              </w:rPr>
            </w:pPr>
          </w:p>
        </w:tc>
      </w:tr>
      <w:tr w:rsidR="00BD6A85" w:rsidTr="003204A0">
        <w:trPr>
          <w:trHeight w:val="216"/>
          <w:jc w:val="center"/>
        </w:trPr>
        <w:tc>
          <w:tcPr>
            <w:tcW w:w="1040" w:type="dxa"/>
            <w:tcBorders>
              <w:left w:val="single" w:sz="8" w:space="0" w:color="auto"/>
            </w:tcBorders>
            <w:vAlign w:val="bottom"/>
          </w:tcPr>
          <w:p w:rsidR="00223198" w:rsidRDefault="00223198" w:rsidP="00A76F4A">
            <w:pPr>
              <w:spacing w:line="216" w:lineRule="exact"/>
              <w:ind w:left="120" w:right="12"/>
              <w:rPr>
                <w:sz w:val="20"/>
                <w:szCs w:val="20"/>
              </w:rPr>
            </w:pPr>
            <w:r>
              <w:rPr>
                <w:rFonts w:eastAsia="Times New Roman"/>
                <w:sz w:val="20"/>
                <w:szCs w:val="20"/>
              </w:rPr>
              <w:t>Flore</w:t>
            </w:r>
          </w:p>
        </w:tc>
        <w:tc>
          <w:tcPr>
            <w:tcW w:w="360" w:type="dxa"/>
            <w:tcBorders>
              <w:right w:val="single" w:sz="8" w:space="0" w:color="auto"/>
            </w:tcBorders>
            <w:vAlign w:val="bottom"/>
          </w:tcPr>
          <w:p w:rsidR="00223198" w:rsidRDefault="00223198" w:rsidP="00A76F4A">
            <w:pPr>
              <w:ind w:right="12"/>
              <w:rPr>
                <w:sz w:val="18"/>
                <w:szCs w:val="18"/>
              </w:rPr>
            </w:pPr>
          </w:p>
        </w:tc>
        <w:tc>
          <w:tcPr>
            <w:tcW w:w="1180" w:type="dxa"/>
            <w:gridSpan w:val="3"/>
            <w:vAlign w:val="bottom"/>
          </w:tcPr>
          <w:p w:rsidR="00223198" w:rsidRDefault="00223198" w:rsidP="00A76F4A">
            <w:pPr>
              <w:spacing w:line="216" w:lineRule="exact"/>
              <w:ind w:left="80" w:right="12"/>
              <w:rPr>
                <w:sz w:val="20"/>
                <w:szCs w:val="20"/>
              </w:rPr>
            </w:pPr>
            <w:r>
              <w:rPr>
                <w:rFonts w:eastAsia="Times New Roman"/>
                <w:w w:val="99"/>
                <w:sz w:val="20"/>
                <w:szCs w:val="20"/>
              </w:rPr>
              <w:t>Déforestation</w:t>
            </w:r>
          </w:p>
        </w:tc>
        <w:tc>
          <w:tcPr>
            <w:tcW w:w="360" w:type="dxa"/>
            <w:vAlign w:val="bottom"/>
          </w:tcPr>
          <w:p w:rsidR="00223198" w:rsidRDefault="00223198" w:rsidP="00A76F4A">
            <w:pPr>
              <w:ind w:right="12"/>
              <w:rPr>
                <w:sz w:val="18"/>
                <w:szCs w:val="18"/>
              </w:rPr>
            </w:pPr>
          </w:p>
        </w:tc>
        <w:tc>
          <w:tcPr>
            <w:tcW w:w="200" w:type="dxa"/>
            <w:vAlign w:val="bottom"/>
          </w:tcPr>
          <w:p w:rsidR="00223198" w:rsidRDefault="00223198" w:rsidP="00A76F4A">
            <w:pPr>
              <w:ind w:right="12"/>
              <w:rPr>
                <w:sz w:val="18"/>
                <w:szCs w:val="18"/>
              </w:rPr>
            </w:pPr>
          </w:p>
        </w:tc>
        <w:tc>
          <w:tcPr>
            <w:tcW w:w="600" w:type="dxa"/>
            <w:tcBorders>
              <w:right w:val="single" w:sz="8" w:space="0" w:color="auto"/>
            </w:tcBorders>
            <w:vAlign w:val="bottom"/>
          </w:tcPr>
          <w:p w:rsidR="00223198" w:rsidRDefault="00223198" w:rsidP="00A76F4A">
            <w:pPr>
              <w:ind w:right="12"/>
              <w:rPr>
                <w:sz w:val="18"/>
                <w:szCs w:val="18"/>
              </w:rPr>
            </w:pPr>
          </w:p>
        </w:tc>
        <w:tc>
          <w:tcPr>
            <w:tcW w:w="6299" w:type="dxa"/>
            <w:tcBorders>
              <w:right w:val="single" w:sz="8" w:space="0" w:color="auto"/>
            </w:tcBorders>
            <w:vAlign w:val="bottom"/>
          </w:tcPr>
          <w:p w:rsidR="00223198" w:rsidRDefault="00223198" w:rsidP="00A76F4A">
            <w:pPr>
              <w:spacing w:line="216" w:lineRule="exact"/>
              <w:ind w:left="80" w:right="12"/>
              <w:rPr>
                <w:sz w:val="20"/>
                <w:szCs w:val="20"/>
              </w:rPr>
            </w:pPr>
            <w:r>
              <w:rPr>
                <w:rFonts w:eastAsia="Times New Roman"/>
                <w:sz w:val="20"/>
                <w:szCs w:val="20"/>
              </w:rPr>
              <w:t>Lutte contre la déforestation et l’érosion</w:t>
            </w:r>
          </w:p>
        </w:tc>
      </w:tr>
      <w:tr w:rsidR="00BD6A85" w:rsidTr="003204A0">
        <w:trPr>
          <w:trHeight w:val="239"/>
          <w:jc w:val="center"/>
        </w:trPr>
        <w:tc>
          <w:tcPr>
            <w:tcW w:w="1400" w:type="dxa"/>
            <w:gridSpan w:val="2"/>
            <w:tcBorders>
              <w:left w:val="single" w:sz="8" w:space="0" w:color="auto"/>
              <w:bottom w:val="single" w:sz="8" w:space="0" w:color="auto"/>
              <w:right w:val="single" w:sz="8" w:space="0" w:color="auto"/>
            </w:tcBorders>
            <w:vAlign w:val="bottom"/>
          </w:tcPr>
          <w:p w:rsidR="00223198" w:rsidRDefault="00223198" w:rsidP="00A76F4A">
            <w:pPr>
              <w:ind w:right="12"/>
              <w:rPr>
                <w:sz w:val="20"/>
                <w:szCs w:val="20"/>
              </w:rPr>
            </w:pPr>
          </w:p>
        </w:tc>
        <w:tc>
          <w:tcPr>
            <w:tcW w:w="1540" w:type="dxa"/>
            <w:gridSpan w:val="4"/>
            <w:tcBorders>
              <w:bottom w:val="single" w:sz="8" w:space="0" w:color="auto"/>
            </w:tcBorders>
            <w:vAlign w:val="bottom"/>
          </w:tcPr>
          <w:p w:rsidR="00223198" w:rsidRDefault="00223198" w:rsidP="00A76F4A">
            <w:pPr>
              <w:ind w:right="12"/>
              <w:rPr>
                <w:sz w:val="20"/>
                <w:szCs w:val="20"/>
              </w:rPr>
            </w:pPr>
          </w:p>
        </w:tc>
        <w:tc>
          <w:tcPr>
            <w:tcW w:w="200" w:type="dxa"/>
            <w:tcBorders>
              <w:bottom w:val="single" w:sz="8" w:space="0" w:color="auto"/>
            </w:tcBorders>
            <w:vAlign w:val="bottom"/>
          </w:tcPr>
          <w:p w:rsidR="00223198" w:rsidRDefault="00223198" w:rsidP="00A76F4A">
            <w:pPr>
              <w:ind w:right="12"/>
              <w:rPr>
                <w:sz w:val="20"/>
                <w:szCs w:val="20"/>
              </w:rPr>
            </w:pPr>
          </w:p>
        </w:tc>
        <w:tc>
          <w:tcPr>
            <w:tcW w:w="600" w:type="dxa"/>
            <w:tcBorders>
              <w:bottom w:val="single" w:sz="8" w:space="0" w:color="auto"/>
              <w:right w:val="single" w:sz="8" w:space="0" w:color="auto"/>
            </w:tcBorders>
            <w:vAlign w:val="bottom"/>
          </w:tcPr>
          <w:p w:rsidR="00223198" w:rsidRDefault="00223198" w:rsidP="00A76F4A">
            <w:pPr>
              <w:ind w:right="12"/>
              <w:rPr>
                <w:sz w:val="20"/>
                <w:szCs w:val="20"/>
              </w:rPr>
            </w:pPr>
          </w:p>
        </w:tc>
        <w:tc>
          <w:tcPr>
            <w:tcW w:w="6299" w:type="dxa"/>
            <w:tcBorders>
              <w:bottom w:val="single" w:sz="8" w:space="0" w:color="auto"/>
              <w:right w:val="single" w:sz="8" w:space="0" w:color="auto"/>
            </w:tcBorders>
            <w:vAlign w:val="bottom"/>
          </w:tcPr>
          <w:p w:rsidR="00223198" w:rsidRDefault="00223198" w:rsidP="00A76F4A">
            <w:pPr>
              <w:ind w:right="12"/>
              <w:rPr>
                <w:sz w:val="20"/>
                <w:szCs w:val="20"/>
              </w:rPr>
            </w:pPr>
          </w:p>
        </w:tc>
      </w:tr>
      <w:tr w:rsidR="00BD6A85" w:rsidTr="003204A0">
        <w:trPr>
          <w:trHeight w:val="212"/>
          <w:jc w:val="center"/>
        </w:trPr>
        <w:tc>
          <w:tcPr>
            <w:tcW w:w="1400" w:type="dxa"/>
            <w:gridSpan w:val="2"/>
            <w:tcBorders>
              <w:left w:val="single" w:sz="8" w:space="0" w:color="auto"/>
              <w:right w:val="single" w:sz="8" w:space="0" w:color="auto"/>
            </w:tcBorders>
            <w:vAlign w:val="bottom"/>
          </w:tcPr>
          <w:p w:rsidR="00223198" w:rsidRDefault="00223198" w:rsidP="00A76F4A">
            <w:pPr>
              <w:spacing w:line="211" w:lineRule="exact"/>
              <w:ind w:left="120" w:right="12"/>
              <w:rPr>
                <w:sz w:val="20"/>
                <w:szCs w:val="20"/>
              </w:rPr>
            </w:pPr>
            <w:r>
              <w:rPr>
                <w:rFonts w:eastAsia="Times New Roman"/>
                <w:sz w:val="20"/>
                <w:szCs w:val="20"/>
              </w:rPr>
              <w:t>Biodiversité</w:t>
            </w:r>
          </w:p>
        </w:tc>
        <w:tc>
          <w:tcPr>
            <w:tcW w:w="1540" w:type="dxa"/>
            <w:gridSpan w:val="4"/>
            <w:vAlign w:val="bottom"/>
          </w:tcPr>
          <w:p w:rsidR="00223198" w:rsidRDefault="00223198" w:rsidP="00A76F4A">
            <w:pPr>
              <w:spacing w:line="211" w:lineRule="exact"/>
              <w:ind w:left="80" w:right="12"/>
              <w:rPr>
                <w:sz w:val="20"/>
                <w:szCs w:val="20"/>
              </w:rPr>
            </w:pPr>
            <w:r>
              <w:rPr>
                <w:rFonts w:eastAsia="Times New Roman"/>
                <w:sz w:val="20"/>
                <w:szCs w:val="20"/>
              </w:rPr>
              <w:t>Chimiorésistance</w:t>
            </w:r>
          </w:p>
        </w:tc>
        <w:tc>
          <w:tcPr>
            <w:tcW w:w="200" w:type="dxa"/>
            <w:vAlign w:val="bottom"/>
          </w:tcPr>
          <w:p w:rsidR="00223198" w:rsidRDefault="00223198" w:rsidP="00A76F4A">
            <w:pPr>
              <w:ind w:right="12"/>
              <w:rPr>
                <w:sz w:val="18"/>
                <w:szCs w:val="18"/>
              </w:rPr>
            </w:pPr>
          </w:p>
        </w:tc>
        <w:tc>
          <w:tcPr>
            <w:tcW w:w="600" w:type="dxa"/>
            <w:tcBorders>
              <w:right w:val="single" w:sz="8" w:space="0" w:color="auto"/>
            </w:tcBorders>
            <w:vAlign w:val="bottom"/>
          </w:tcPr>
          <w:p w:rsidR="00223198" w:rsidRDefault="00223198" w:rsidP="00A76F4A">
            <w:pPr>
              <w:spacing w:line="211" w:lineRule="exact"/>
              <w:ind w:right="12"/>
              <w:jc w:val="right"/>
              <w:rPr>
                <w:sz w:val="20"/>
                <w:szCs w:val="20"/>
              </w:rPr>
            </w:pPr>
            <w:r>
              <w:rPr>
                <w:rFonts w:eastAsia="Times New Roman"/>
                <w:sz w:val="20"/>
                <w:szCs w:val="20"/>
              </w:rPr>
              <w:t>des</w:t>
            </w:r>
          </w:p>
        </w:tc>
        <w:tc>
          <w:tcPr>
            <w:tcW w:w="6299" w:type="dxa"/>
            <w:tcBorders>
              <w:right w:val="single" w:sz="8" w:space="0" w:color="auto"/>
            </w:tcBorders>
            <w:vAlign w:val="bottom"/>
          </w:tcPr>
          <w:p w:rsidR="00223198" w:rsidRDefault="00223198" w:rsidP="00A76F4A">
            <w:pPr>
              <w:spacing w:line="211" w:lineRule="exact"/>
              <w:ind w:left="80" w:right="12"/>
              <w:rPr>
                <w:sz w:val="20"/>
                <w:szCs w:val="20"/>
              </w:rPr>
            </w:pPr>
            <w:r>
              <w:rPr>
                <w:rFonts w:eastAsia="Times New Roman"/>
                <w:sz w:val="20"/>
                <w:szCs w:val="20"/>
              </w:rPr>
              <w:t>Bonne identification des ravageurs et des pesticides qui leurs sont</w:t>
            </w:r>
          </w:p>
        </w:tc>
      </w:tr>
      <w:tr w:rsidR="00BD6A85" w:rsidTr="003204A0">
        <w:trPr>
          <w:trHeight w:val="230"/>
          <w:jc w:val="center"/>
        </w:trPr>
        <w:tc>
          <w:tcPr>
            <w:tcW w:w="1040" w:type="dxa"/>
            <w:tcBorders>
              <w:left w:val="single" w:sz="8" w:space="0" w:color="auto"/>
            </w:tcBorders>
            <w:vAlign w:val="bottom"/>
          </w:tcPr>
          <w:p w:rsidR="00223198" w:rsidRDefault="00223198" w:rsidP="00A76F4A">
            <w:pPr>
              <w:ind w:right="12"/>
              <w:rPr>
                <w:sz w:val="20"/>
                <w:szCs w:val="20"/>
              </w:rPr>
            </w:pPr>
          </w:p>
        </w:tc>
        <w:tc>
          <w:tcPr>
            <w:tcW w:w="360" w:type="dxa"/>
            <w:tcBorders>
              <w:right w:val="single" w:sz="8" w:space="0" w:color="auto"/>
            </w:tcBorders>
            <w:vAlign w:val="bottom"/>
          </w:tcPr>
          <w:p w:rsidR="00223198" w:rsidRDefault="00223198" w:rsidP="00A76F4A">
            <w:pPr>
              <w:ind w:right="12"/>
              <w:rPr>
                <w:sz w:val="20"/>
                <w:szCs w:val="20"/>
              </w:rPr>
            </w:pPr>
          </w:p>
        </w:tc>
        <w:tc>
          <w:tcPr>
            <w:tcW w:w="880" w:type="dxa"/>
            <w:gridSpan w:val="2"/>
            <w:vAlign w:val="bottom"/>
          </w:tcPr>
          <w:p w:rsidR="00223198" w:rsidRDefault="00223198" w:rsidP="00A76F4A">
            <w:pPr>
              <w:ind w:left="80" w:right="12"/>
              <w:rPr>
                <w:sz w:val="20"/>
                <w:szCs w:val="20"/>
              </w:rPr>
            </w:pPr>
            <w:r>
              <w:rPr>
                <w:rFonts w:eastAsia="Times New Roman"/>
                <w:sz w:val="20"/>
                <w:szCs w:val="20"/>
              </w:rPr>
              <w:t>ravageurs</w:t>
            </w:r>
          </w:p>
        </w:tc>
        <w:tc>
          <w:tcPr>
            <w:tcW w:w="300" w:type="dxa"/>
            <w:vAlign w:val="bottom"/>
          </w:tcPr>
          <w:p w:rsidR="00223198" w:rsidRDefault="00223198" w:rsidP="00A76F4A">
            <w:pPr>
              <w:ind w:right="12"/>
              <w:rPr>
                <w:sz w:val="20"/>
                <w:szCs w:val="20"/>
              </w:rPr>
            </w:pPr>
          </w:p>
        </w:tc>
        <w:tc>
          <w:tcPr>
            <w:tcW w:w="360" w:type="dxa"/>
            <w:vAlign w:val="bottom"/>
          </w:tcPr>
          <w:p w:rsidR="00223198" w:rsidRDefault="00223198" w:rsidP="00A76F4A">
            <w:pPr>
              <w:ind w:right="12"/>
              <w:rPr>
                <w:sz w:val="20"/>
                <w:szCs w:val="20"/>
              </w:rPr>
            </w:pPr>
          </w:p>
        </w:tc>
        <w:tc>
          <w:tcPr>
            <w:tcW w:w="200" w:type="dxa"/>
            <w:vAlign w:val="bottom"/>
          </w:tcPr>
          <w:p w:rsidR="00223198" w:rsidRDefault="00223198" w:rsidP="00A76F4A">
            <w:pPr>
              <w:ind w:right="12"/>
              <w:rPr>
                <w:sz w:val="20"/>
                <w:szCs w:val="20"/>
              </w:rPr>
            </w:pPr>
          </w:p>
        </w:tc>
        <w:tc>
          <w:tcPr>
            <w:tcW w:w="600" w:type="dxa"/>
            <w:tcBorders>
              <w:right w:val="single" w:sz="8" w:space="0" w:color="auto"/>
            </w:tcBorders>
            <w:vAlign w:val="bottom"/>
          </w:tcPr>
          <w:p w:rsidR="00223198" w:rsidRDefault="00223198" w:rsidP="00A76F4A">
            <w:pPr>
              <w:ind w:right="12"/>
              <w:rPr>
                <w:sz w:val="20"/>
                <w:szCs w:val="20"/>
              </w:rPr>
            </w:pPr>
          </w:p>
        </w:tc>
        <w:tc>
          <w:tcPr>
            <w:tcW w:w="6299" w:type="dxa"/>
            <w:tcBorders>
              <w:right w:val="single" w:sz="8" w:space="0" w:color="auto"/>
            </w:tcBorders>
            <w:vAlign w:val="bottom"/>
          </w:tcPr>
          <w:p w:rsidR="00223198" w:rsidRDefault="00223198" w:rsidP="00A76F4A">
            <w:pPr>
              <w:ind w:left="80" w:right="12"/>
              <w:rPr>
                <w:sz w:val="20"/>
                <w:szCs w:val="20"/>
              </w:rPr>
            </w:pPr>
            <w:r>
              <w:rPr>
                <w:rFonts w:eastAsia="Times New Roman"/>
                <w:sz w:val="20"/>
                <w:szCs w:val="20"/>
              </w:rPr>
              <w:t>spécifiques</w:t>
            </w:r>
          </w:p>
        </w:tc>
      </w:tr>
      <w:tr w:rsidR="00BD6A85" w:rsidTr="003204A0">
        <w:trPr>
          <w:trHeight w:val="230"/>
          <w:jc w:val="center"/>
        </w:trPr>
        <w:tc>
          <w:tcPr>
            <w:tcW w:w="1040" w:type="dxa"/>
            <w:tcBorders>
              <w:left w:val="single" w:sz="8" w:space="0" w:color="auto"/>
            </w:tcBorders>
            <w:vAlign w:val="bottom"/>
          </w:tcPr>
          <w:p w:rsidR="00223198" w:rsidRDefault="00223198" w:rsidP="00A76F4A">
            <w:pPr>
              <w:ind w:right="12"/>
              <w:rPr>
                <w:sz w:val="20"/>
                <w:szCs w:val="20"/>
              </w:rPr>
            </w:pPr>
          </w:p>
        </w:tc>
        <w:tc>
          <w:tcPr>
            <w:tcW w:w="360" w:type="dxa"/>
            <w:tcBorders>
              <w:right w:val="single" w:sz="8" w:space="0" w:color="auto"/>
            </w:tcBorders>
            <w:vAlign w:val="bottom"/>
          </w:tcPr>
          <w:p w:rsidR="00223198" w:rsidRDefault="00223198" w:rsidP="00A76F4A">
            <w:pPr>
              <w:ind w:right="12"/>
              <w:rPr>
                <w:sz w:val="20"/>
                <w:szCs w:val="20"/>
              </w:rPr>
            </w:pPr>
          </w:p>
        </w:tc>
        <w:tc>
          <w:tcPr>
            <w:tcW w:w="760" w:type="dxa"/>
            <w:vAlign w:val="bottom"/>
          </w:tcPr>
          <w:p w:rsidR="00223198" w:rsidRDefault="00223198" w:rsidP="00A76F4A">
            <w:pPr>
              <w:ind w:right="12"/>
              <w:rPr>
                <w:sz w:val="20"/>
                <w:szCs w:val="20"/>
              </w:rPr>
            </w:pPr>
          </w:p>
        </w:tc>
        <w:tc>
          <w:tcPr>
            <w:tcW w:w="120" w:type="dxa"/>
            <w:vAlign w:val="bottom"/>
          </w:tcPr>
          <w:p w:rsidR="00223198" w:rsidRDefault="00223198" w:rsidP="00A76F4A">
            <w:pPr>
              <w:ind w:right="12"/>
              <w:rPr>
                <w:sz w:val="20"/>
                <w:szCs w:val="20"/>
              </w:rPr>
            </w:pPr>
          </w:p>
        </w:tc>
        <w:tc>
          <w:tcPr>
            <w:tcW w:w="300" w:type="dxa"/>
            <w:vAlign w:val="bottom"/>
          </w:tcPr>
          <w:p w:rsidR="00223198" w:rsidRDefault="00223198" w:rsidP="00A76F4A">
            <w:pPr>
              <w:ind w:right="12"/>
              <w:rPr>
                <w:sz w:val="20"/>
                <w:szCs w:val="20"/>
              </w:rPr>
            </w:pPr>
          </w:p>
        </w:tc>
        <w:tc>
          <w:tcPr>
            <w:tcW w:w="360" w:type="dxa"/>
            <w:vAlign w:val="bottom"/>
          </w:tcPr>
          <w:p w:rsidR="00223198" w:rsidRDefault="00223198" w:rsidP="00A76F4A">
            <w:pPr>
              <w:ind w:right="12"/>
              <w:rPr>
                <w:sz w:val="20"/>
                <w:szCs w:val="20"/>
              </w:rPr>
            </w:pPr>
          </w:p>
        </w:tc>
        <w:tc>
          <w:tcPr>
            <w:tcW w:w="200" w:type="dxa"/>
            <w:vAlign w:val="bottom"/>
          </w:tcPr>
          <w:p w:rsidR="00223198" w:rsidRDefault="00223198" w:rsidP="00A76F4A">
            <w:pPr>
              <w:ind w:right="12"/>
              <w:rPr>
                <w:sz w:val="20"/>
                <w:szCs w:val="20"/>
              </w:rPr>
            </w:pPr>
          </w:p>
        </w:tc>
        <w:tc>
          <w:tcPr>
            <w:tcW w:w="600" w:type="dxa"/>
            <w:tcBorders>
              <w:right w:val="single" w:sz="8" w:space="0" w:color="auto"/>
            </w:tcBorders>
            <w:vAlign w:val="bottom"/>
          </w:tcPr>
          <w:p w:rsidR="00223198" w:rsidRDefault="00223198" w:rsidP="00A76F4A">
            <w:pPr>
              <w:ind w:right="12"/>
              <w:rPr>
                <w:sz w:val="20"/>
                <w:szCs w:val="20"/>
              </w:rPr>
            </w:pPr>
          </w:p>
        </w:tc>
        <w:tc>
          <w:tcPr>
            <w:tcW w:w="6299" w:type="dxa"/>
            <w:tcBorders>
              <w:right w:val="single" w:sz="8" w:space="0" w:color="auto"/>
            </w:tcBorders>
            <w:vAlign w:val="bottom"/>
          </w:tcPr>
          <w:p w:rsidR="00223198" w:rsidRDefault="00223198" w:rsidP="00A76F4A">
            <w:pPr>
              <w:ind w:left="80" w:right="12"/>
              <w:rPr>
                <w:sz w:val="20"/>
                <w:szCs w:val="20"/>
              </w:rPr>
            </w:pPr>
            <w:r>
              <w:rPr>
                <w:rFonts w:eastAsia="Times New Roman"/>
                <w:sz w:val="20"/>
                <w:szCs w:val="20"/>
              </w:rPr>
              <w:t>application rationnelle des pesticides</w:t>
            </w:r>
          </w:p>
        </w:tc>
      </w:tr>
      <w:tr w:rsidR="00BD6A85" w:rsidTr="003204A0">
        <w:trPr>
          <w:trHeight w:val="232"/>
          <w:jc w:val="center"/>
        </w:trPr>
        <w:tc>
          <w:tcPr>
            <w:tcW w:w="1040" w:type="dxa"/>
            <w:tcBorders>
              <w:left w:val="single" w:sz="8" w:space="0" w:color="auto"/>
            </w:tcBorders>
            <w:vAlign w:val="bottom"/>
          </w:tcPr>
          <w:p w:rsidR="00223198" w:rsidRDefault="00223198" w:rsidP="00A76F4A">
            <w:pPr>
              <w:ind w:right="12"/>
              <w:rPr>
                <w:sz w:val="20"/>
                <w:szCs w:val="20"/>
              </w:rPr>
            </w:pPr>
          </w:p>
        </w:tc>
        <w:tc>
          <w:tcPr>
            <w:tcW w:w="360" w:type="dxa"/>
            <w:tcBorders>
              <w:right w:val="single" w:sz="8" w:space="0" w:color="auto"/>
            </w:tcBorders>
            <w:vAlign w:val="bottom"/>
          </w:tcPr>
          <w:p w:rsidR="00223198" w:rsidRDefault="00223198" w:rsidP="00A76F4A">
            <w:pPr>
              <w:ind w:right="12"/>
              <w:rPr>
                <w:sz w:val="20"/>
                <w:szCs w:val="20"/>
              </w:rPr>
            </w:pPr>
          </w:p>
        </w:tc>
        <w:tc>
          <w:tcPr>
            <w:tcW w:w="760" w:type="dxa"/>
            <w:tcBorders>
              <w:bottom w:val="single" w:sz="8" w:space="0" w:color="auto"/>
            </w:tcBorders>
            <w:vAlign w:val="bottom"/>
          </w:tcPr>
          <w:p w:rsidR="00223198" w:rsidRDefault="00223198" w:rsidP="00A76F4A">
            <w:pPr>
              <w:ind w:right="12"/>
              <w:rPr>
                <w:sz w:val="20"/>
                <w:szCs w:val="20"/>
              </w:rPr>
            </w:pPr>
          </w:p>
        </w:tc>
        <w:tc>
          <w:tcPr>
            <w:tcW w:w="120" w:type="dxa"/>
            <w:tcBorders>
              <w:bottom w:val="single" w:sz="8" w:space="0" w:color="auto"/>
            </w:tcBorders>
            <w:vAlign w:val="bottom"/>
          </w:tcPr>
          <w:p w:rsidR="00223198" w:rsidRDefault="00223198" w:rsidP="00A76F4A">
            <w:pPr>
              <w:ind w:right="12"/>
              <w:rPr>
                <w:sz w:val="20"/>
                <w:szCs w:val="20"/>
              </w:rPr>
            </w:pPr>
          </w:p>
        </w:tc>
        <w:tc>
          <w:tcPr>
            <w:tcW w:w="300" w:type="dxa"/>
            <w:tcBorders>
              <w:bottom w:val="single" w:sz="8" w:space="0" w:color="auto"/>
            </w:tcBorders>
            <w:vAlign w:val="bottom"/>
          </w:tcPr>
          <w:p w:rsidR="00223198" w:rsidRDefault="00223198" w:rsidP="00A76F4A">
            <w:pPr>
              <w:ind w:right="12"/>
              <w:rPr>
                <w:sz w:val="20"/>
                <w:szCs w:val="20"/>
              </w:rPr>
            </w:pPr>
          </w:p>
        </w:tc>
        <w:tc>
          <w:tcPr>
            <w:tcW w:w="360" w:type="dxa"/>
            <w:tcBorders>
              <w:bottom w:val="single" w:sz="8" w:space="0" w:color="auto"/>
            </w:tcBorders>
            <w:vAlign w:val="bottom"/>
          </w:tcPr>
          <w:p w:rsidR="00223198" w:rsidRDefault="00223198" w:rsidP="00A76F4A">
            <w:pPr>
              <w:ind w:right="12"/>
              <w:rPr>
                <w:sz w:val="20"/>
                <w:szCs w:val="20"/>
              </w:rPr>
            </w:pPr>
          </w:p>
        </w:tc>
        <w:tc>
          <w:tcPr>
            <w:tcW w:w="200" w:type="dxa"/>
            <w:tcBorders>
              <w:bottom w:val="single" w:sz="8" w:space="0" w:color="auto"/>
            </w:tcBorders>
            <w:vAlign w:val="bottom"/>
          </w:tcPr>
          <w:p w:rsidR="00223198" w:rsidRDefault="00223198" w:rsidP="00A76F4A">
            <w:pPr>
              <w:ind w:right="12"/>
              <w:rPr>
                <w:sz w:val="20"/>
                <w:szCs w:val="20"/>
              </w:rPr>
            </w:pPr>
          </w:p>
        </w:tc>
        <w:tc>
          <w:tcPr>
            <w:tcW w:w="600" w:type="dxa"/>
            <w:tcBorders>
              <w:bottom w:val="single" w:sz="8" w:space="0" w:color="auto"/>
              <w:right w:val="single" w:sz="8" w:space="0" w:color="auto"/>
            </w:tcBorders>
            <w:vAlign w:val="bottom"/>
          </w:tcPr>
          <w:p w:rsidR="00223198" w:rsidRDefault="00223198" w:rsidP="00A76F4A">
            <w:pPr>
              <w:ind w:right="12"/>
              <w:rPr>
                <w:sz w:val="20"/>
                <w:szCs w:val="20"/>
              </w:rPr>
            </w:pPr>
          </w:p>
        </w:tc>
        <w:tc>
          <w:tcPr>
            <w:tcW w:w="6299" w:type="dxa"/>
            <w:tcBorders>
              <w:bottom w:val="single" w:sz="8" w:space="0" w:color="auto"/>
              <w:right w:val="single" w:sz="8" w:space="0" w:color="auto"/>
            </w:tcBorders>
            <w:vAlign w:val="bottom"/>
          </w:tcPr>
          <w:p w:rsidR="00223198" w:rsidRDefault="00223198" w:rsidP="00A76F4A">
            <w:pPr>
              <w:spacing w:line="228" w:lineRule="exact"/>
              <w:ind w:left="80" w:right="12"/>
              <w:rPr>
                <w:sz w:val="20"/>
                <w:szCs w:val="20"/>
              </w:rPr>
            </w:pPr>
            <w:r>
              <w:rPr>
                <w:rFonts w:eastAsia="Times New Roman"/>
                <w:sz w:val="20"/>
                <w:szCs w:val="20"/>
              </w:rPr>
              <w:t>Diversification des pesticides utilisés</w:t>
            </w:r>
          </w:p>
        </w:tc>
      </w:tr>
      <w:tr w:rsidR="00BD6A85" w:rsidTr="003204A0">
        <w:trPr>
          <w:trHeight w:val="216"/>
          <w:jc w:val="center"/>
        </w:trPr>
        <w:tc>
          <w:tcPr>
            <w:tcW w:w="1040" w:type="dxa"/>
            <w:tcBorders>
              <w:left w:val="single" w:sz="8" w:space="0" w:color="auto"/>
            </w:tcBorders>
            <w:vAlign w:val="bottom"/>
          </w:tcPr>
          <w:p w:rsidR="00223198" w:rsidRDefault="00223198" w:rsidP="00A76F4A">
            <w:pPr>
              <w:ind w:right="12"/>
              <w:rPr>
                <w:sz w:val="18"/>
                <w:szCs w:val="18"/>
              </w:rPr>
            </w:pPr>
          </w:p>
        </w:tc>
        <w:tc>
          <w:tcPr>
            <w:tcW w:w="360" w:type="dxa"/>
            <w:tcBorders>
              <w:right w:val="single" w:sz="8" w:space="0" w:color="auto"/>
            </w:tcBorders>
            <w:vAlign w:val="bottom"/>
          </w:tcPr>
          <w:p w:rsidR="00223198" w:rsidRDefault="00223198" w:rsidP="00A76F4A">
            <w:pPr>
              <w:ind w:right="12"/>
              <w:rPr>
                <w:sz w:val="18"/>
                <w:szCs w:val="18"/>
              </w:rPr>
            </w:pPr>
          </w:p>
        </w:tc>
        <w:tc>
          <w:tcPr>
            <w:tcW w:w="1180" w:type="dxa"/>
            <w:gridSpan w:val="3"/>
            <w:vAlign w:val="bottom"/>
          </w:tcPr>
          <w:p w:rsidR="00223198" w:rsidRDefault="00223198" w:rsidP="00A76F4A">
            <w:pPr>
              <w:spacing w:line="216" w:lineRule="exact"/>
              <w:ind w:left="80" w:right="12"/>
              <w:rPr>
                <w:sz w:val="20"/>
                <w:szCs w:val="20"/>
              </w:rPr>
            </w:pPr>
            <w:r>
              <w:rPr>
                <w:rFonts w:eastAsia="Times New Roman"/>
                <w:sz w:val="20"/>
                <w:szCs w:val="20"/>
              </w:rPr>
              <w:t>Intoxication</w:t>
            </w:r>
          </w:p>
        </w:tc>
        <w:tc>
          <w:tcPr>
            <w:tcW w:w="560" w:type="dxa"/>
            <w:gridSpan w:val="2"/>
            <w:vAlign w:val="bottom"/>
          </w:tcPr>
          <w:p w:rsidR="00223198" w:rsidRDefault="00223198" w:rsidP="00A76F4A">
            <w:pPr>
              <w:spacing w:line="216" w:lineRule="exact"/>
              <w:ind w:right="12"/>
              <w:rPr>
                <w:sz w:val="20"/>
                <w:szCs w:val="20"/>
              </w:rPr>
            </w:pPr>
            <w:r>
              <w:rPr>
                <w:rFonts w:eastAsia="Times New Roman"/>
                <w:sz w:val="20"/>
                <w:szCs w:val="20"/>
              </w:rPr>
              <w:t>de  la</w:t>
            </w:r>
          </w:p>
        </w:tc>
        <w:tc>
          <w:tcPr>
            <w:tcW w:w="600" w:type="dxa"/>
            <w:tcBorders>
              <w:right w:val="single" w:sz="8" w:space="0" w:color="auto"/>
            </w:tcBorders>
            <w:vAlign w:val="bottom"/>
          </w:tcPr>
          <w:p w:rsidR="00223198" w:rsidRDefault="00223198" w:rsidP="00A76F4A">
            <w:pPr>
              <w:spacing w:line="216" w:lineRule="exact"/>
              <w:ind w:right="12"/>
              <w:jc w:val="right"/>
              <w:rPr>
                <w:sz w:val="20"/>
                <w:szCs w:val="20"/>
              </w:rPr>
            </w:pPr>
            <w:r>
              <w:rPr>
                <w:rFonts w:eastAsia="Times New Roman"/>
                <w:w w:val="98"/>
                <w:sz w:val="20"/>
                <w:szCs w:val="20"/>
              </w:rPr>
              <w:t>faune</w:t>
            </w:r>
          </w:p>
        </w:tc>
        <w:tc>
          <w:tcPr>
            <w:tcW w:w="6299" w:type="dxa"/>
            <w:tcBorders>
              <w:right w:val="single" w:sz="8" w:space="0" w:color="auto"/>
            </w:tcBorders>
            <w:vAlign w:val="bottom"/>
          </w:tcPr>
          <w:p w:rsidR="00223198" w:rsidRDefault="00223198" w:rsidP="00A76F4A">
            <w:pPr>
              <w:spacing w:line="216" w:lineRule="exact"/>
              <w:ind w:left="80" w:right="12"/>
              <w:rPr>
                <w:sz w:val="20"/>
                <w:szCs w:val="20"/>
              </w:rPr>
            </w:pPr>
            <w:r>
              <w:rPr>
                <w:rFonts w:eastAsia="Times New Roman"/>
                <w:sz w:val="20"/>
                <w:szCs w:val="20"/>
              </w:rPr>
              <w:t>Sensibiliser les utilisateurs sur les risques d’intoxication</w:t>
            </w:r>
          </w:p>
        </w:tc>
      </w:tr>
      <w:tr w:rsidR="00BD6A85" w:rsidTr="003204A0">
        <w:trPr>
          <w:trHeight w:val="230"/>
          <w:jc w:val="center"/>
        </w:trPr>
        <w:tc>
          <w:tcPr>
            <w:tcW w:w="1040" w:type="dxa"/>
            <w:tcBorders>
              <w:left w:val="single" w:sz="8" w:space="0" w:color="auto"/>
            </w:tcBorders>
            <w:vAlign w:val="bottom"/>
          </w:tcPr>
          <w:p w:rsidR="00223198" w:rsidRDefault="00223198" w:rsidP="00A76F4A">
            <w:pPr>
              <w:ind w:right="12"/>
              <w:rPr>
                <w:sz w:val="20"/>
                <w:szCs w:val="20"/>
              </w:rPr>
            </w:pPr>
          </w:p>
        </w:tc>
        <w:tc>
          <w:tcPr>
            <w:tcW w:w="360" w:type="dxa"/>
            <w:tcBorders>
              <w:right w:val="single" w:sz="8" w:space="0" w:color="auto"/>
            </w:tcBorders>
            <w:vAlign w:val="bottom"/>
          </w:tcPr>
          <w:p w:rsidR="00223198" w:rsidRDefault="00223198" w:rsidP="00A76F4A">
            <w:pPr>
              <w:ind w:right="12"/>
              <w:rPr>
                <w:sz w:val="20"/>
                <w:szCs w:val="20"/>
              </w:rPr>
            </w:pPr>
          </w:p>
        </w:tc>
        <w:tc>
          <w:tcPr>
            <w:tcW w:w="1740" w:type="dxa"/>
            <w:gridSpan w:val="5"/>
            <w:vAlign w:val="bottom"/>
          </w:tcPr>
          <w:p w:rsidR="00223198" w:rsidRDefault="00223198" w:rsidP="00A76F4A">
            <w:pPr>
              <w:ind w:left="80" w:right="12"/>
              <w:rPr>
                <w:sz w:val="20"/>
                <w:szCs w:val="20"/>
              </w:rPr>
            </w:pPr>
            <w:r>
              <w:rPr>
                <w:rFonts w:eastAsia="Times New Roman"/>
                <w:sz w:val="20"/>
                <w:szCs w:val="20"/>
              </w:rPr>
              <w:t>aquatique, terrestre</w:t>
            </w:r>
          </w:p>
        </w:tc>
        <w:tc>
          <w:tcPr>
            <w:tcW w:w="600" w:type="dxa"/>
            <w:tcBorders>
              <w:right w:val="single" w:sz="8" w:space="0" w:color="auto"/>
            </w:tcBorders>
            <w:vAlign w:val="bottom"/>
          </w:tcPr>
          <w:p w:rsidR="00223198" w:rsidRDefault="00223198" w:rsidP="00A76F4A">
            <w:pPr>
              <w:ind w:right="12"/>
              <w:rPr>
                <w:sz w:val="20"/>
                <w:szCs w:val="20"/>
              </w:rPr>
            </w:pPr>
          </w:p>
        </w:tc>
        <w:tc>
          <w:tcPr>
            <w:tcW w:w="6299" w:type="dxa"/>
            <w:tcBorders>
              <w:right w:val="single" w:sz="8" w:space="0" w:color="auto"/>
            </w:tcBorders>
            <w:vAlign w:val="bottom"/>
          </w:tcPr>
          <w:p w:rsidR="00223198" w:rsidRDefault="00223198" w:rsidP="00A76F4A">
            <w:pPr>
              <w:ind w:left="80" w:right="12"/>
              <w:rPr>
                <w:sz w:val="20"/>
                <w:szCs w:val="20"/>
              </w:rPr>
            </w:pPr>
            <w:r>
              <w:rPr>
                <w:rFonts w:eastAsia="Times New Roman"/>
                <w:sz w:val="20"/>
                <w:szCs w:val="20"/>
              </w:rPr>
              <w:t>Sensibiliser les éleveurs sur l’abreuvage aux points d’eau sans</w:t>
            </w:r>
          </w:p>
        </w:tc>
      </w:tr>
      <w:tr w:rsidR="00BD6A85" w:rsidTr="003204A0">
        <w:trPr>
          <w:trHeight w:val="235"/>
          <w:jc w:val="center"/>
        </w:trPr>
        <w:tc>
          <w:tcPr>
            <w:tcW w:w="1040" w:type="dxa"/>
            <w:tcBorders>
              <w:left w:val="single" w:sz="8" w:space="0" w:color="auto"/>
            </w:tcBorders>
            <w:vAlign w:val="bottom"/>
          </w:tcPr>
          <w:p w:rsidR="00223198" w:rsidRDefault="00223198" w:rsidP="00A76F4A">
            <w:pPr>
              <w:ind w:right="12"/>
              <w:rPr>
                <w:sz w:val="20"/>
                <w:szCs w:val="20"/>
              </w:rPr>
            </w:pPr>
          </w:p>
        </w:tc>
        <w:tc>
          <w:tcPr>
            <w:tcW w:w="360" w:type="dxa"/>
            <w:tcBorders>
              <w:right w:val="single" w:sz="8" w:space="0" w:color="auto"/>
            </w:tcBorders>
            <w:vAlign w:val="bottom"/>
          </w:tcPr>
          <w:p w:rsidR="00223198" w:rsidRDefault="00223198" w:rsidP="00A76F4A">
            <w:pPr>
              <w:ind w:right="12"/>
              <w:rPr>
                <w:sz w:val="20"/>
                <w:szCs w:val="20"/>
              </w:rPr>
            </w:pPr>
          </w:p>
        </w:tc>
        <w:tc>
          <w:tcPr>
            <w:tcW w:w="760" w:type="dxa"/>
            <w:tcBorders>
              <w:bottom w:val="single" w:sz="8" w:space="0" w:color="auto"/>
            </w:tcBorders>
            <w:vAlign w:val="bottom"/>
          </w:tcPr>
          <w:p w:rsidR="00223198" w:rsidRDefault="00223198" w:rsidP="00A76F4A">
            <w:pPr>
              <w:ind w:right="12"/>
              <w:rPr>
                <w:sz w:val="20"/>
                <w:szCs w:val="20"/>
              </w:rPr>
            </w:pPr>
          </w:p>
        </w:tc>
        <w:tc>
          <w:tcPr>
            <w:tcW w:w="120" w:type="dxa"/>
            <w:tcBorders>
              <w:bottom w:val="single" w:sz="8" w:space="0" w:color="auto"/>
            </w:tcBorders>
            <w:vAlign w:val="bottom"/>
          </w:tcPr>
          <w:p w:rsidR="00223198" w:rsidRDefault="00223198" w:rsidP="00A76F4A">
            <w:pPr>
              <w:ind w:right="12"/>
              <w:rPr>
                <w:sz w:val="20"/>
                <w:szCs w:val="20"/>
              </w:rPr>
            </w:pPr>
          </w:p>
        </w:tc>
        <w:tc>
          <w:tcPr>
            <w:tcW w:w="300" w:type="dxa"/>
            <w:tcBorders>
              <w:bottom w:val="single" w:sz="8" w:space="0" w:color="auto"/>
            </w:tcBorders>
            <w:vAlign w:val="bottom"/>
          </w:tcPr>
          <w:p w:rsidR="00223198" w:rsidRDefault="00223198" w:rsidP="00A76F4A">
            <w:pPr>
              <w:ind w:right="12"/>
              <w:rPr>
                <w:sz w:val="20"/>
                <w:szCs w:val="20"/>
              </w:rPr>
            </w:pPr>
          </w:p>
        </w:tc>
        <w:tc>
          <w:tcPr>
            <w:tcW w:w="360" w:type="dxa"/>
            <w:tcBorders>
              <w:bottom w:val="single" w:sz="8" w:space="0" w:color="auto"/>
            </w:tcBorders>
            <w:vAlign w:val="bottom"/>
          </w:tcPr>
          <w:p w:rsidR="00223198" w:rsidRDefault="00223198" w:rsidP="00A76F4A">
            <w:pPr>
              <w:ind w:right="12"/>
              <w:rPr>
                <w:sz w:val="20"/>
                <w:szCs w:val="20"/>
              </w:rPr>
            </w:pPr>
          </w:p>
        </w:tc>
        <w:tc>
          <w:tcPr>
            <w:tcW w:w="200" w:type="dxa"/>
            <w:tcBorders>
              <w:bottom w:val="single" w:sz="8" w:space="0" w:color="auto"/>
            </w:tcBorders>
            <w:vAlign w:val="bottom"/>
          </w:tcPr>
          <w:p w:rsidR="00223198" w:rsidRDefault="00223198" w:rsidP="00A76F4A">
            <w:pPr>
              <w:ind w:right="12"/>
              <w:rPr>
                <w:sz w:val="20"/>
                <w:szCs w:val="20"/>
              </w:rPr>
            </w:pPr>
          </w:p>
        </w:tc>
        <w:tc>
          <w:tcPr>
            <w:tcW w:w="600" w:type="dxa"/>
            <w:tcBorders>
              <w:bottom w:val="single" w:sz="8" w:space="0" w:color="auto"/>
              <w:right w:val="single" w:sz="8" w:space="0" w:color="auto"/>
            </w:tcBorders>
            <w:vAlign w:val="bottom"/>
          </w:tcPr>
          <w:p w:rsidR="00223198" w:rsidRDefault="00223198" w:rsidP="00A76F4A">
            <w:pPr>
              <w:ind w:right="12"/>
              <w:rPr>
                <w:sz w:val="20"/>
                <w:szCs w:val="20"/>
              </w:rPr>
            </w:pPr>
          </w:p>
        </w:tc>
        <w:tc>
          <w:tcPr>
            <w:tcW w:w="6299" w:type="dxa"/>
            <w:tcBorders>
              <w:bottom w:val="single" w:sz="8" w:space="0" w:color="auto"/>
              <w:right w:val="single" w:sz="8" w:space="0" w:color="auto"/>
            </w:tcBorders>
            <w:vAlign w:val="bottom"/>
          </w:tcPr>
          <w:p w:rsidR="00223198" w:rsidRDefault="00223198" w:rsidP="00A76F4A">
            <w:pPr>
              <w:ind w:left="80" w:right="12"/>
              <w:rPr>
                <w:sz w:val="20"/>
                <w:szCs w:val="20"/>
              </w:rPr>
            </w:pPr>
            <w:r>
              <w:rPr>
                <w:rFonts w:eastAsia="Times New Roman"/>
                <w:sz w:val="20"/>
                <w:szCs w:val="20"/>
              </w:rPr>
              <w:t>risque</w:t>
            </w:r>
          </w:p>
        </w:tc>
      </w:tr>
      <w:tr w:rsidR="00BD6A85" w:rsidTr="003204A0">
        <w:trPr>
          <w:trHeight w:val="216"/>
          <w:jc w:val="center"/>
        </w:trPr>
        <w:tc>
          <w:tcPr>
            <w:tcW w:w="1040" w:type="dxa"/>
            <w:tcBorders>
              <w:left w:val="single" w:sz="8" w:space="0" w:color="auto"/>
            </w:tcBorders>
            <w:vAlign w:val="bottom"/>
          </w:tcPr>
          <w:p w:rsidR="00223198" w:rsidRDefault="00223198" w:rsidP="00A76F4A">
            <w:pPr>
              <w:ind w:right="12"/>
              <w:rPr>
                <w:sz w:val="18"/>
                <w:szCs w:val="18"/>
              </w:rPr>
            </w:pPr>
          </w:p>
        </w:tc>
        <w:tc>
          <w:tcPr>
            <w:tcW w:w="360" w:type="dxa"/>
            <w:tcBorders>
              <w:right w:val="single" w:sz="8" w:space="0" w:color="auto"/>
            </w:tcBorders>
            <w:vAlign w:val="bottom"/>
          </w:tcPr>
          <w:p w:rsidR="00223198" w:rsidRDefault="00223198" w:rsidP="00A76F4A">
            <w:pPr>
              <w:ind w:right="12"/>
              <w:rPr>
                <w:sz w:val="18"/>
                <w:szCs w:val="18"/>
              </w:rPr>
            </w:pPr>
          </w:p>
        </w:tc>
        <w:tc>
          <w:tcPr>
            <w:tcW w:w="760" w:type="dxa"/>
            <w:vAlign w:val="bottom"/>
          </w:tcPr>
          <w:p w:rsidR="00223198" w:rsidRDefault="00223198" w:rsidP="00A76F4A">
            <w:pPr>
              <w:spacing w:line="216" w:lineRule="exact"/>
              <w:ind w:left="80" w:right="12"/>
              <w:rPr>
                <w:sz w:val="20"/>
                <w:szCs w:val="20"/>
              </w:rPr>
            </w:pPr>
            <w:r>
              <w:rPr>
                <w:rFonts w:eastAsia="Times New Roman"/>
                <w:sz w:val="20"/>
                <w:szCs w:val="20"/>
              </w:rPr>
              <w:t>Perte</w:t>
            </w:r>
          </w:p>
        </w:tc>
        <w:tc>
          <w:tcPr>
            <w:tcW w:w="420" w:type="dxa"/>
            <w:gridSpan w:val="2"/>
            <w:vAlign w:val="bottom"/>
          </w:tcPr>
          <w:p w:rsidR="00223198" w:rsidRDefault="00223198" w:rsidP="00A76F4A">
            <w:pPr>
              <w:spacing w:line="216" w:lineRule="exact"/>
              <w:ind w:left="20" w:right="12"/>
              <w:rPr>
                <w:sz w:val="20"/>
                <w:szCs w:val="20"/>
              </w:rPr>
            </w:pPr>
            <w:r>
              <w:rPr>
                <w:rFonts w:eastAsia="Times New Roman"/>
                <w:sz w:val="20"/>
                <w:szCs w:val="20"/>
              </w:rPr>
              <w:t>de</w:t>
            </w:r>
          </w:p>
        </w:tc>
        <w:tc>
          <w:tcPr>
            <w:tcW w:w="1160" w:type="dxa"/>
            <w:gridSpan w:val="3"/>
            <w:tcBorders>
              <w:right w:val="single" w:sz="8" w:space="0" w:color="auto"/>
            </w:tcBorders>
            <w:vAlign w:val="bottom"/>
          </w:tcPr>
          <w:p w:rsidR="00223198" w:rsidRDefault="00223198" w:rsidP="00A76F4A">
            <w:pPr>
              <w:spacing w:line="216" w:lineRule="exact"/>
              <w:ind w:right="12"/>
              <w:jc w:val="right"/>
              <w:rPr>
                <w:sz w:val="20"/>
                <w:szCs w:val="20"/>
              </w:rPr>
            </w:pPr>
            <w:r>
              <w:rPr>
                <w:rFonts w:eastAsia="Times New Roman"/>
                <w:sz w:val="20"/>
                <w:szCs w:val="20"/>
              </w:rPr>
              <w:t>biodiversité</w:t>
            </w:r>
          </w:p>
        </w:tc>
        <w:tc>
          <w:tcPr>
            <w:tcW w:w="6299" w:type="dxa"/>
            <w:tcBorders>
              <w:right w:val="single" w:sz="8" w:space="0" w:color="auto"/>
            </w:tcBorders>
            <w:vAlign w:val="bottom"/>
          </w:tcPr>
          <w:p w:rsidR="00223198" w:rsidRDefault="00223198" w:rsidP="00A76F4A">
            <w:pPr>
              <w:spacing w:line="216" w:lineRule="exact"/>
              <w:ind w:left="80" w:right="12"/>
              <w:rPr>
                <w:sz w:val="20"/>
                <w:szCs w:val="20"/>
              </w:rPr>
            </w:pPr>
            <w:r>
              <w:rPr>
                <w:rFonts w:eastAsia="Times New Roman"/>
                <w:sz w:val="20"/>
                <w:szCs w:val="20"/>
              </w:rPr>
              <w:t>Application  de  la  lutte  intégrée  (lutte  biologique,  génétique,</w:t>
            </w:r>
          </w:p>
        </w:tc>
      </w:tr>
      <w:tr w:rsidR="00BD6A85" w:rsidTr="003204A0">
        <w:trPr>
          <w:trHeight w:val="230"/>
          <w:jc w:val="center"/>
        </w:trPr>
        <w:tc>
          <w:tcPr>
            <w:tcW w:w="1040" w:type="dxa"/>
            <w:tcBorders>
              <w:left w:val="single" w:sz="8" w:space="0" w:color="auto"/>
            </w:tcBorders>
            <w:vAlign w:val="bottom"/>
          </w:tcPr>
          <w:p w:rsidR="00223198" w:rsidRDefault="00223198" w:rsidP="00A76F4A">
            <w:pPr>
              <w:ind w:right="12"/>
              <w:rPr>
                <w:sz w:val="20"/>
                <w:szCs w:val="20"/>
              </w:rPr>
            </w:pPr>
          </w:p>
        </w:tc>
        <w:tc>
          <w:tcPr>
            <w:tcW w:w="360" w:type="dxa"/>
            <w:tcBorders>
              <w:right w:val="single" w:sz="8" w:space="0" w:color="auto"/>
            </w:tcBorders>
            <w:vAlign w:val="bottom"/>
          </w:tcPr>
          <w:p w:rsidR="00223198" w:rsidRDefault="00223198" w:rsidP="00A76F4A">
            <w:pPr>
              <w:ind w:right="12"/>
              <w:rPr>
                <w:sz w:val="20"/>
                <w:szCs w:val="20"/>
              </w:rPr>
            </w:pPr>
          </w:p>
        </w:tc>
        <w:tc>
          <w:tcPr>
            <w:tcW w:w="760" w:type="dxa"/>
            <w:vAlign w:val="bottom"/>
          </w:tcPr>
          <w:p w:rsidR="00223198" w:rsidRDefault="00223198" w:rsidP="00A76F4A">
            <w:pPr>
              <w:ind w:left="80" w:right="12"/>
              <w:rPr>
                <w:sz w:val="20"/>
                <w:szCs w:val="20"/>
              </w:rPr>
            </w:pPr>
            <w:r>
              <w:rPr>
                <w:rFonts w:eastAsia="Times New Roman"/>
                <w:sz w:val="20"/>
                <w:szCs w:val="20"/>
              </w:rPr>
              <w:t>terrestre</w:t>
            </w:r>
          </w:p>
        </w:tc>
        <w:tc>
          <w:tcPr>
            <w:tcW w:w="120" w:type="dxa"/>
            <w:vAlign w:val="bottom"/>
          </w:tcPr>
          <w:p w:rsidR="00223198" w:rsidRDefault="00223198" w:rsidP="00A76F4A">
            <w:pPr>
              <w:ind w:right="12"/>
              <w:rPr>
                <w:sz w:val="20"/>
                <w:szCs w:val="20"/>
              </w:rPr>
            </w:pPr>
          </w:p>
        </w:tc>
        <w:tc>
          <w:tcPr>
            <w:tcW w:w="660" w:type="dxa"/>
            <w:gridSpan w:val="2"/>
            <w:vAlign w:val="bottom"/>
          </w:tcPr>
          <w:p w:rsidR="00223198" w:rsidRDefault="00223198" w:rsidP="00A76F4A">
            <w:pPr>
              <w:ind w:left="240" w:right="12"/>
              <w:rPr>
                <w:sz w:val="20"/>
                <w:szCs w:val="20"/>
              </w:rPr>
            </w:pPr>
            <w:r>
              <w:rPr>
                <w:rFonts w:eastAsia="Times New Roman"/>
                <w:sz w:val="20"/>
                <w:szCs w:val="20"/>
              </w:rPr>
              <w:t>au</w:t>
            </w:r>
          </w:p>
        </w:tc>
        <w:tc>
          <w:tcPr>
            <w:tcW w:w="800" w:type="dxa"/>
            <w:gridSpan w:val="2"/>
            <w:tcBorders>
              <w:right w:val="single" w:sz="8" w:space="0" w:color="auto"/>
            </w:tcBorders>
            <w:vAlign w:val="bottom"/>
          </w:tcPr>
          <w:p w:rsidR="00223198" w:rsidRDefault="00223198" w:rsidP="00A76F4A">
            <w:pPr>
              <w:ind w:right="12"/>
              <w:jc w:val="right"/>
              <w:rPr>
                <w:sz w:val="20"/>
                <w:szCs w:val="20"/>
              </w:rPr>
            </w:pPr>
            <w:r>
              <w:rPr>
                <w:rFonts w:eastAsia="Times New Roman"/>
                <w:sz w:val="20"/>
                <w:szCs w:val="20"/>
              </w:rPr>
              <w:t>niveau</w:t>
            </w:r>
          </w:p>
        </w:tc>
        <w:tc>
          <w:tcPr>
            <w:tcW w:w="6299" w:type="dxa"/>
            <w:tcBorders>
              <w:right w:val="single" w:sz="8" w:space="0" w:color="auto"/>
            </w:tcBorders>
            <w:vAlign w:val="bottom"/>
          </w:tcPr>
          <w:p w:rsidR="00223198" w:rsidRDefault="00223198" w:rsidP="00A76F4A">
            <w:pPr>
              <w:ind w:left="80" w:right="12"/>
              <w:rPr>
                <w:sz w:val="20"/>
                <w:szCs w:val="20"/>
              </w:rPr>
            </w:pPr>
            <w:r>
              <w:rPr>
                <w:rFonts w:eastAsia="Times New Roman"/>
                <w:sz w:val="20"/>
                <w:szCs w:val="20"/>
              </w:rPr>
              <w:t>utilisation d’attractifs, répulsifs, hormones etc.)</w:t>
            </w:r>
          </w:p>
        </w:tc>
      </w:tr>
      <w:tr w:rsidR="00223198" w:rsidTr="003204A0">
        <w:trPr>
          <w:trHeight w:val="233"/>
          <w:jc w:val="center"/>
        </w:trPr>
        <w:tc>
          <w:tcPr>
            <w:tcW w:w="1040" w:type="dxa"/>
            <w:tcBorders>
              <w:left w:val="single" w:sz="8" w:space="0" w:color="auto"/>
              <w:bottom w:val="single" w:sz="8" w:space="0" w:color="auto"/>
            </w:tcBorders>
            <w:vAlign w:val="bottom"/>
          </w:tcPr>
          <w:p w:rsidR="00223198" w:rsidRDefault="00223198" w:rsidP="00A76F4A">
            <w:pPr>
              <w:ind w:right="12"/>
              <w:rPr>
                <w:sz w:val="20"/>
                <w:szCs w:val="20"/>
              </w:rPr>
            </w:pPr>
          </w:p>
        </w:tc>
        <w:tc>
          <w:tcPr>
            <w:tcW w:w="360" w:type="dxa"/>
            <w:tcBorders>
              <w:bottom w:val="single" w:sz="8" w:space="0" w:color="auto"/>
              <w:right w:val="single" w:sz="8" w:space="0" w:color="auto"/>
            </w:tcBorders>
            <w:vAlign w:val="bottom"/>
          </w:tcPr>
          <w:p w:rsidR="00223198" w:rsidRDefault="00223198" w:rsidP="00A76F4A">
            <w:pPr>
              <w:ind w:right="12"/>
              <w:rPr>
                <w:sz w:val="20"/>
                <w:szCs w:val="20"/>
              </w:rPr>
            </w:pPr>
          </w:p>
        </w:tc>
        <w:tc>
          <w:tcPr>
            <w:tcW w:w="2340" w:type="dxa"/>
            <w:gridSpan w:val="6"/>
            <w:tcBorders>
              <w:bottom w:val="single" w:sz="8" w:space="0" w:color="auto"/>
              <w:right w:val="single" w:sz="8" w:space="0" w:color="auto"/>
            </w:tcBorders>
            <w:vAlign w:val="bottom"/>
          </w:tcPr>
          <w:p w:rsidR="00223198" w:rsidRDefault="00223198" w:rsidP="00A76F4A">
            <w:pPr>
              <w:ind w:left="80" w:right="12"/>
              <w:rPr>
                <w:sz w:val="20"/>
                <w:szCs w:val="20"/>
              </w:rPr>
            </w:pPr>
            <w:r>
              <w:rPr>
                <w:rFonts w:eastAsia="Times New Roman"/>
                <w:sz w:val="20"/>
                <w:szCs w:val="20"/>
              </w:rPr>
              <w:t>individu et communauté</w:t>
            </w:r>
          </w:p>
        </w:tc>
        <w:tc>
          <w:tcPr>
            <w:tcW w:w="6299" w:type="dxa"/>
            <w:tcBorders>
              <w:bottom w:val="single" w:sz="8" w:space="0" w:color="auto"/>
              <w:right w:val="single" w:sz="8" w:space="0" w:color="auto"/>
            </w:tcBorders>
            <w:vAlign w:val="bottom"/>
          </w:tcPr>
          <w:p w:rsidR="00223198" w:rsidRDefault="00223198" w:rsidP="00A76F4A">
            <w:pPr>
              <w:ind w:right="12"/>
              <w:rPr>
                <w:sz w:val="20"/>
                <w:szCs w:val="20"/>
              </w:rPr>
            </w:pPr>
          </w:p>
        </w:tc>
      </w:tr>
      <w:tr w:rsidR="00BD6A85" w:rsidTr="003204A0">
        <w:trPr>
          <w:trHeight w:val="217"/>
          <w:jc w:val="center"/>
        </w:trPr>
        <w:tc>
          <w:tcPr>
            <w:tcW w:w="1040" w:type="dxa"/>
            <w:tcBorders>
              <w:left w:val="single" w:sz="8" w:space="0" w:color="auto"/>
            </w:tcBorders>
            <w:vAlign w:val="bottom"/>
          </w:tcPr>
          <w:p w:rsidR="00223198" w:rsidRDefault="00223198" w:rsidP="00A76F4A">
            <w:pPr>
              <w:spacing w:line="217" w:lineRule="exact"/>
              <w:ind w:left="120" w:right="12"/>
              <w:rPr>
                <w:sz w:val="20"/>
                <w:szCs w:val="20"/>
              </w:rPr>
            </w:pPr>
            <w:r>
              <w:rPr>
                <w:rFonts w:eastAsia="Times New Roman"/>
                <w:sz w:val="20"/>
                <w:szCs w:val="20"/>
              </w:rPr>
              <w:t>santé</w:t>
            </w:r>
          </w:p>
        </w:tc>
        <w:tc>
          <w:tcPr>
            <w:tcW w:w="360" w:type="dxa"/>
            <w:tcBorders>
              <w:right w:val="single" w:sz="8" w:space="0" w:color="auto"/>
            </w:tcBorders>
            <w:vAlign w:val="bottom"/>
          </w:tcPr>
          <w:p w:rsidR="00223198" w:rsidRDefault="00223198" w:rsidP="00A76F4A">
            <w:pPr>
              <w:ind w:right="12"/>
              <w:rPr>
                <w:sz w:val="18"/>
                <w:szCs w:val="18"/>
              </w:rPr>
            </w:pPr>
          </w:p>
        </w:tc>
        <w:tc>
          <w:tcPr>
            <w:tcW w:w="1180" w:type="dxa"/>
            <w:gridSpan w:val="3"/>
            <w:vAlign w:val="bottom"/>
          </w:tcPr>
          <w:p w:rsidR="00223198" w:rsidRDefault="00223198" w:rsidP="00A76F4A">
            <w:pPr>
              <w:spacing w:line="217" w:lineRule="exact"/>
              <w:ind w:left="80" w:right="12"/>
              <w:rPr>
                <w:sz w:val="20"/>
                <w:szCs w:val="20"/>
              </w:rPr>
            </w:pPr>
            <w:r>
              <w:rPr>
                <w:rFonts w:eastAsia="Times New Roman"/>
                <w:sz w:val="20"/>
                <w:szCs w:val="20"/>
              </w:rPr>
              <w:t>Intoxication</w:t>
            </w:r>
          </w:p>
        </w:tc>
        <w:tc>
          <w:tcPr>
            <w:tcW w:w="360" w:type="dxa"/>
            <w:vAlign w:val="bottom"/>
          </w:tcPr>
          <w:p w:rsidR="00223198" w:rsidRDefault="00223198" w:rsidP="00A76F4A">
            <w:pPr>
              <w:ind w:right="12"/>
              <w:rPr>
                <w:sz w:val="18"/>
                <w:szCs w:val="18"/>
              </w:rPr>
            </w:pPr>
          </w:p>
        </w:tc>
        <w:tc>
          <w:tcPr>
            <w:tcW w:w="200" w:type="dxa"/>
            <w:vAlign w:val="bottom"/>
          </w:tcPr>
          <w:p w:rsidR="00223198" w:rsidRDefault="00223198" w:rsidP="00A76F4A">
            <w:pPr>
              <w:ind w:right="12"/>
              <w:rPr>
                <w:sz w:val="18"/>
                <w:szCs w:val="18"/>
              </w:rPr>
            </w:pPr>
          </w:p>
        </w:tc>
        <w:tc>
          <w:tcPr>
            <w:tcW w:w="600" w:type="dxa"/>
            <w:tcBorders>
              <w:right w:val="single" w:sz="8" w:space="0" w:color="auto"/>
            </w:tcBorders>
            <w:vAlign w:val="bottom"/>
          </w:tcPr>
          <w:p w:rsidR="00223198" w:rsidRDefault="00223198" w:rsidP="00A76F4A">
            <w:pPr>
              <w:ind w:right="12"/>
              <w:rPr>
                <w:sz w:val="18"/>
                <w:szCs w:val="18"/>
              </w:rPr>
            </w:pPr>
          </w:p>
        </w:tc>
        <w:tc>
          <w:tcPr>
            <w:tcW w:w="6299" w:type="dxa"/>
            <w:tcBorders>
              <w:right w:val="single" w:sz="8" w:space="0" w:color="auto"/>
            </w:tcBorders>
            <w:vAlign w:val="bottom"/>
          </w:tcPr>
          <w:p w:rsidR="00223198" w:rsidRDefault="00223198" w:rsidP="00A76F4A">
            <w:pPr>
              <w:spacing w:line="217" w:lineRule="exact"/>
              <w:ind w:left="80" w:right="12"/>
              <w:rPr>
                <w:sz w:val="20"/>
                <w:szCs w:val="20"/>
              </w:rPr>
            </w:pPr>
            <w:r>
              <w:rPr>
                <w:rFonts w:eastAsia="Times New Roman"/>
                <w:sz w:val="20"/>
                <w:szCs w:val="20"/>
              </w:rPr>
              <w:t>Respect des conditions de stockage, d’entrepose des pesticides</w:t>
            </w:r>
          </w:p>
        </w:tc>
      </w:tr>
      <w:tr w:rsidR="00BD6A85" w:rsidTr="003204A0">
        <w:trPr>
          <w:trHeight w:val="228"/>
          <w:jc w:val="center"/>
        </w:trPr>
        <w:tc>
          <w:tcPr>
            <w:tcW w:w="1040" w:type="dxa"/>
            <w:tcBorders>
              <w:left w:val="single" w:sz="8" w:space="0" w:color="auto"/>
            </w:tcBorders>
            <w:vAlign w:val="bottom"/>
          </w:tcPr>
          <w:p w:rsidR="00223198" w:rsidRDefault="00223198" w:rsidP="00A76F4A">
            <w:pPr>
              <w:ind w:right="12"/>
              <w:rPr>
                <w:sz w:val="19"/>
                <w:szCs w:val="19"/>
              </w:rPr>
            </w:pPr>
          </w:p>
        </w:tc>
        <w:tc>
          <w:tcPr>
            <w:tcW w:w="360" w:type="dxa"/>
            <w:tcBorders>
              <w:right w:val="single" w:sz="8" w:space="0" w:color="auto"/>
            </w:tcBorders>
            <w:vAlign w:val="bottom"/>
          </w:tcPr>
          <w:p w:rsidR="00223198" w:rsidRDefault="00223198" w:rsidP="00A76F4A">
            <w:pPr>
              <w:ind w:right="12"/>
              <w:rPr>
                <w:sz w:val="19"/>
                <w:szCs w:val="19"/>
              </w:rPr>
            </w:pPr>
          </w:p>
        </w:tc>
        <w:tc>
          <w:tcPr>
            <w:tcW w:w="1540" w:type="dxa"/>
            <w:gridSpan w:val="4"/>
            <w:vAlign w:val="bottom"/>
          </w:tcPr>
          <w:p w:rsidR="00223198" w:rsidRDefault="00223198" w:rsidP="00A76F4A">
            <w:pPr>
              <w:spacing w:line="228" w:lineRule="exact"/>
              <w:ind w:left="80" w:right="12"/>
              <w:rPr>
                <w:sz w:val="20"/>
                <w:szCs w:val="20"/>
              </w:rPr>
            </w:pPr>
            <w:r>
              <w:rPr>
                <w:rFonts w:eastAsia="Times New Roman"/>
                <w:sz w:val="20"/>
                <w:szCs w:val="20"/>
              </w:rPr>
              <w:t>Empoisonnement</w:t>
            </w:r>
          </w:p>
        </w:tc>
        <w:tc>
          <w:tcPr>
            <w:tcW w:w="200" w:type="dxa"/>
            <w:vAlign w:val="bottom"/>
          </w:tcPr>
          <w:p w:rsidR="00223198" w:rsidRDefault="00223198" w:rsidP="00A76F4A">
            <w:pPr>
              <w:ind w:right="12"/>
              <w:rPr>
                <w:sz w:val="19"/>
                <w:szCs w:val="19"/>
              </w:rPr>
            </w:pPr>
          </w:p>
        </w:tc>
        <w:tc>
          <w:tcPr>
            <w:tcW w:w="600" w:type="dxa"/>
            <w:tcBorders>
              <w:right w:val="single" w:sz="8" w:space="0" w:color="auto"/>
            </w:tcBorders>
            <w:vAlign w:val="bottom"/>
          </w:tcPr>
          <w:p w:rsidR="00223198" w:rsidRDefault="00223198" w:rsidP="00A76F4A">
            <w:pPr>
              <w:ind w:right="12"/>
              <w:rPr>
                <w:sz w:val="19"/>
                <w:szCs w:val="19"/>
              </w:rPr>
            </w:pPr>
          </w:p>
        </w:tc>
        <w:tc>
          <w:tcPr>
            <w:tcW w:w="6299" w:type="dxa"/>
            <w:tcBorders>
              <w:right w:val="single" w:sz="8" w:space="0" w:color="auto"/>
            </w:tcBorders>
            <w:vAlign w:val="bottom"/>
          </w:tcPr>
          <w:p w:rsidR="00223198" w:rsidRDefault="00BD6A85" w:rsidP="00A76F4A">
            <w:pPr>
              <w:spacing w:line="228" w:lineRule="exact"/>
              <w:ind w:left="80" w:right="12"/>
              <w:rPr>
                <w:sz w:val="20"/>
                <w:szCs w:val="20"/>
              </w:rPr>
            </w:pPr>
            <w:r>
              <w:rPr>
                <w:rFonts w:eastAsia="Times New Roman"/>
                <w:sz w:val="20"/>
                <w:szCs w:val="20"/>
              </w:rPr>
              <w:t>Sensibilisation des</w:t>
            </w:r>
            <w:r w:rsidR="00223198">
              <w:rPr>
                <w:rFonts w:eastAsia="Times New Roman"/>
                <w:sz w:val="20"/>
                <w:szCs w:val="20"/>
              </w:rPr>
              <w:t xml:space="preserve">  populations  sur  les  risques  d’intoxication</w:t>
            </w:r>
          </w:p>
        </w:tc>
      </w:tr>
      <w:tr w:rsidR="00BD6A85" w:rsidTr="003204A0">
        <w:trPr>
          <w:trHeight w:val="230"/>
          <w:jc w:val="center"/>
        </w:trPr>
        <w:tc>
          <w:tcPr>
            <w:tcW w:w="1040" w:type="dxa"/>
            <w:tcBorders>
              <w:left w:val="single" w:sz="8" w:space="0" w:color="auto"/>
            </w:tcBorders>
            <w:vAlign w:val="bottom"/>
          </w:tcPr>
          <w:p w:rsidR="00223198" w:rsidRDefault="00223198" w:rsidP="00A76F4A">
            <w:pPr>
              <w:ind w:right="12"/>
              <w:rPr>
                <w:sz w:val="20"/>
                <w:szCs w:val="20"/>
              </w:rPr>
            </w:pPr>
          </w:p>
        </w:tc>
        <w:tc>
          <w:tcPr>
            <w:tcW w:w="360" w:type="dxa"/>
            <w:tcBorders>
              <w:right w:val="single" w:sz="8" w:space="0" w:color="auto"/>
            </w:tcBorders>
            <w:vAlign w:val="bottom"/>
          </w:tcPr>
          <w:p w:rsidR="00223198" w:rsidRDefault="00223198" w:rsidP="00A76F4A">
            <w:pPr>
              <w:ind w:right="12"/>
              <w:rPr>
                <w:sz w:val="20"/>
                <w:szCs w:val="20"/>
              </w:rPr>
            </w:pPr>
          </w:p>
        </w:tc>
        <w:tc>
          <w:tcPr>
            <w:tcW w:w="760" w:type="dxa"/>
            <w:vAlign w:val="bottom"/>
          </w:tcPr>
          <w:p w:rsidR="00223198" w:rsidRDefault="00223198" w:rsidP="00A76F4A">
            <w:pPr>
              <w:ind w:left="80" w:right="12"/>
              <w:rPr>
                <w:sz w:val="20"/>
                <w:szCs w:val="20"/>
              </w:rPr>
            </w:pPr>
            <w:r>
              <w:rPr>
                <w:rFonts w:eastAsia="Times New Roman"/>
                <w:sz w:val="20"/>
                <w:szCs w:val="20"/>
              </w:rPr>
              <w:t>Décès</w:t>
            </w:r>
          </w:p>
        </w:tc>
        <w:tc>
          <w:tcPr>
            <w:tcW w:w="120" w:type="dxa"/>
            <w:vAlign w:val="bottom"/>
          </w:tcPr>
          <w:p w:rsidR="00223198" w:rsidRDefault="00223198" w:rsidP="00A76F4A">
            <w:pPr>
              <w:ind w:right="12"/>
              <w:rPr>
                <w:sz w:val="20"/>
                <w:szCs w:val="20"/>
              </w:rPr>
            </w:pPr>
          </w:p>
        </w:tc>
        <w:tc>
          <w:tcPr>
            <w:tcW w:w="300" w:type="dxa"/>
            <w:vAlign w:val="bottom"/>
          </w:tcPr>
          <w:p w:rsidR="00223198" w:rsidRDefault="00223198" w:rsidP="00A76F4A">
            <w:pPr>
              <w:ind w:right="12"/>
              <w:rPr>
                <w:sz w:val="20"/>
                <w:szCs w:val="20"/>
              </w:rPr>
            </w:pPr>
          </w:p>
        </w:tc>
        <w:tc>
          <w:tcPr>
            <w:tcW w:w="360" w:type="dxa"/>
            <w:vAlign w:val="bottom"/>
          </w:tcPr>
          <w:p w:rsidR="00223198" w:rsidRDefault="00223198" w:rsidP="00A76F4A">
            <w:pPr>
              <w:ind w:right="12"/>
              <w:rPr>
                <w:sz w:val="20"/>
                <w:szCs w:val="20"/>
              </w:rPr>
            </w:pPr>
          </w:p>
        </w:tc>
        <w:tc>
          <w:tcPr>
            <w:tcW w:w="200" w:type="dxa"/>
            <w:vAlign w:val="bottom"/>
          </w:tcPr>
          <w:p w:rsidR="00223198" w:rsidRDefault="00223198" w:rsidP="00A76F4A">
            <w:pPr>
              <w:ind w:right="12"/>
              <w:rPr>
                <w:sz w:val="20"/>
                <w:szCs w:val="20"/>
              </w:rPr>
            </w:pPr>
          </w:p>
        </w:tc>
        <w:tc>
          <w:tcPr>
            <w:tcW w:w="600" w:type="dxa"/>
            <w:tcBorders>
              <w:right w:val="single" w:sz="8" w:space="0" w:color="auto"/>
            </w:tcBorders>
            <w:vAlign w:val="bottom"/>
          </w:tcPr>
          <w:p w:rsidR="00223198" w:rsidRDefault="00223198" w:rsidP="00A76F4A">
            <w:pPr>
              <w:ind w:right="12"/>
              <w:rPr>
                <w:sz w:val="20"/>
                <w:szCs w:val="20"/>
              </w:rPr>
            </w:pPr>
          </w:p>
        </w:tc>
        <w:tc>
          <w:tcPr>
            <w:tcW w:w="6299" w:type="dxa"/>
            <w:tcBorders>
              <w:right w:val="single" w:sz="8" w:space="0" w:color="auto"/>
            </w:tcBorders>
            <w:vAlign w:val="bottom"/>
          </w:tcPr>
          <w:p w:rsidR="00223198" w:rsidRDefault="00223198" w:rsidP="00A76F4A">
            <w:pPr>
              <w:ind w:left="80" w:right="12"/>
              <w:rPr>
                <w:sz w:val="20"/>
                <w:szCs w:val="20"/>
              </w:rPr>
            </w:pPr>
            <w:r>
              <w:rPr>
                <w:rFonts w:eastAsia="Times New Roman"/>
                <w:sz w:val="20"/>
                <w:szCs w:val="20"/>
              </w:rPr>
              <w:t>alimentaire</w:t>
            </w:r>
          </w:p>
        </w:tc>
      </w:tr>
      <w:tr w:rsidR="00BD6A85" w:rsidTr="003204A0">
        <w:trPr>
          <w:trHeight w:val="230"/>
          <w:jc w:val="center"/>
        </w:trPr>
        <w:tc>
          <w:tcPr>
            <w:tcW w:w="1040" w:type="dxa"/>
            <w:tcBorders>
              <w:left w:val="single" w:sz="8" w:space="0" w:color="auto"/>
            </w:tcBorders>
            <w:vAlign w:val="bottom"/>
          </w:tcPr>
          <w:p w:rsidR="00223198" w:rsidRDefault="00223198" w:rsidP="00A76F4A">
            <w:pPr>
              <w:ind w:right="12"/>
              <w:rPr>
                <w:sz w:val="20"/>
                <w:szCs w:val="20"/>
              </w:rPr>
            </w:pPr>
          </w:p>
        </w:tc>
        <w:tc>
          <w:tcPr>
            <w:tcW w:w="360" w:type="dxa"/>
            <w:tcBorders>
              <w:right w:val="single" w:sz="8" w:space="0" w:color="auto"/>
            </w:tcBorders>
            <w:vAlign w:val="bottom"/>
          </w:tcPr>
          <w:p w:rsidR="00223198" w:rsidRDefault="00223198" w:rsidP="00A76F4A">
            <w:pPr>
              <w:ind w:right="12"/>
              <w:rPr>
                <w:sz w:val="20"/>
                <w:szCs w:val="20"/>
              </w:rPr>
            </w:pPr>
          </w:p>
        </w:tc>
        <w:tc>
          <w:tcPr>
            <w:tcW w:w="760" w:type="dxa"/>
            <w:vAlign w:val="bottom"/>
          </w:tcPr>
          <w:p w:rsidR="00223198" w:rsidRDefault="00223198" w:rsidP="00A76F4A">
            <w:pPr>
              <w:ind w:left="80" w:right="12"/>
              <w:rPr>
                <w:sz w:val="20"/>
                <w:szCs w:val="20"/>
              </w:rPr>
            </w:pPr>
            <w:r>
              <w:rPr>
                <w:rFonts w:eastAsia="Times New Roman"/>
                <w:sz w:val="20"/>
                <w:szCs w:val="20"/>
              </w:rPr>
              <w:t>Baisse</w:t>
            </w:r>
          </w:p>
        </w:tc>
        <w:tc>
          <w:tcPr>
            <w:tcW w:w="120" w:type="dxa"/>
            <w:vAlign w:val="bottom"/>
          </w:tcPr>
          <w:p w:rsidR="00223198" w:rsidRDefault="00223198" w:rsidP="00A76F4A">
            <w:pPr>
              <w:ind w:right="12"/>
              <w:rPr>
                <w:sz w:val="20"/>
                <w:szCs w:val="20"/>
              </w:rPr>
            </w:pPr>
          </w:p>
        </w:tc>
        <w:tc>
          <w:tcPr>
            <w:tcW w:w="300" w:type="dxa"/>
            <w:vAlign w:val="bottom"/>
          </w:tcPr>
          <w:p w:rsidR="00223198" w:rsidRDefault="00223198" w:rsidP="00A76F4A">
            <w:pPr>
              <w:ind w:left="20" w:right="12"/>
              <w:rPr>
                <w:sz w:val="20"/>
                <w:szCs w:val="20"/>
              </w:rPr>
            </w:pPr>
            <w:r>
              <w:rPr>
                <w:rFonts w:eastAsia="Times New Roman"/>
                <w:sz w:val="20"/>
                <w:szCs w:val="20"/>
              </w:rPr>
              <w:t>du</w:t>
            </w:r>
          </w:p>
        </w:tc>
        <w:tc>
          <w:tcPr>
            <w:tcW w:w="560" w:type="dxa"/>
            <w:gridSpan w:val="2"/>
            <w:vAlign w:val="bottom"/>
          </w:tcPr>
          <w:p w:rsidR="00223198" w:rsidRDefault="00223198" w:rsidP="00A76F4A">
            <w:pPr>
              <w:ind w:left="200" w:right="12"/>
              <w:rPr>
                <w:sz w:val="20"/>
                <w:szCs w:val="20"/>
              </w:rPr>
            </w:pPr>
            <w:r>
              <w:rPr>
                <w:rFonts w:eastAsia="Times New Roman"/>
                <w:w w:val="98"/>
                <w:sz w:val="20"/>
                <w:szCs w:val="20"/>
              </w:rPr>
              <w:t>taux</w:t>
            </w:r>
          </w:p>
        </w:tc>
        <w:tc>
          <w:tcPr>
            <w:tcW w:w="600" w:type="dxa"/>
            <w:tcBorders>
              <w:right w:val="single" w:sz="8" w:space="0" w:color="auto"/>
            </w:tcBorders>
            <w:vAlign w:val="bottom"/>
          </w:tcPr>
          <w:p w:rsidR="00223198" w:rsidRDefault="00223198" w:rsidP="00A76F4A">
            <w:pPr>
              <w:ind w:right="12"/>
              <w:jc w:val="right"/>
              <w:rPr>
                <w:sz w:val="20"/>
                <w:szCs w:val="20"/>
              </w:rPr>
            </w:pPr>
            <w:r>
              <w:rPr>
                <w:rFonts w:eastAsia="Times New Roman"/>
                <w:sz w:val="20"/>
                <w:szCs w:val="20"/>
              </w:rPr>
              <w:t>de</w:t>
            </w:r>
          </w:p>
        </w:tc>
        <w:tc>
          <w:tcPr>
            <w:tcW w:w="6299" w:type="dxa"/>
            <w:tcBorders>
              <w:right w:val="single" w:sz="8" w:space="0" w:color="auto"/>
            </w:tcBorders>
            <w:vAlign w:val="bottom"/>
          </w:tcPr>
          <w:p w:rsidR="00223198" w:rsidRDefault="00223198" w:rsidP="00A76F4A">
            <w:pPr>
              <w:ind w:left="80" w:right="12"/>
              <w:rPr>
                <w:sz w:val="20"/>
                <w:szCs w:val="20"/>
              </w:rPr>
            </w:pPr>
            <w:r>
              <w:rPr>
                <w:rFonts w:eastAsia="Times New Roman"/>
                <w:sz w:val="20"/>
                <w:szCs w:val="20"/>
              </w:rPr>
              <w:t>Application stricte des mesures rationnelles d’utilisation</w:t>
            </w:r>
          </w:p>
        </w:tc>
      </w:tr>
      <w:tr w:rsidR="00BD6A85" w:rsidTr="003204A0">
        <w:trPr>
          <w:trHeight w:val="235"/>
          <w:jc w:val="center"/>
        </w:trPr>
        <w:tc>
          <w:tcPr>
            <w:tcW w:w="1040" w:type="dxa"/>
            <w:tcBorders>
              <w:left w:val="single" w:sz="8" w:space="0" w:color="auto"/>
              <w:bottom w:val="single" w:sz="8" w:space="0" w:color="auto"/>
            </w:tcBorders>
            <w:vAlign w:val="bottom"/>
          </w:tcPr>
          <w:p w:rsidR="00223198" w:rsidRDefault="00223198" w:rsidP="00A76F4A">
            <w:pPr>
              <w:ind w:right="12"/>
              <w:rPr>
                <w:sz w:val="20"/>
                <w:szCs w:val="20"/>
              </w:rPr>
            </w:pPr>
          </w:p>
        </w:tc>
        <w:tc>
          <w:tcPr>
            <w:tcW w:w="360" w:type="dxa"/>
            <w:tcBorders>
              <w:bottom w:val="single" w:sz="8" w:space="0" w:color="auto"/>
              <w:right w:val="single" w:sz="8" w:space="0" w:color="auto"/>
            </w:tcBorders>
            <w:vAlign w:val="bottom"/>
          </w:tcPr>
          <w:p w:rsidR="00223198" w:rsidRDefault="00223198" w:rsidP="00A76F4A">
            <w:pPr>
              <w:ind w:right="12"/>
              <w:rPr>
                <w:sz w:val="20"/>
                <w:szCs w:val="20"/>
              </w:rPr>
            </w:pPr>
          </w:p>
        </w:tc>
        <w:tc>
          <w:tcPr>
            <w:tcW w:w="1540" w:type="dxa"/>
            <w:gridSpan w:val="4"/>
            <w:tcBorders>
              <w:bottom w:val="single" w:sz="8" w:space="0" w:color="auto"/>
            </w:tcBorders>
            <w:vAlign w:val="bottom"/>
          </w:tcPr>
          <w:p w:rsidR="00223198" w:rsidRDefault="00223198" w:rsidP="00A76F4A">
            <w:pPr>
              <w:ind w:left="80" w:right="12"/>
              <w:rPr>
                <w:sz w:val="20"/>
                <w:szCs w:val="20"/>
              </w:rPr>
            </w:pPr>
            <w:r>
              <w:rPr>
                <w:rFonts w:eastAsia="Times New Roman"/>
                <w:sz w:val="20"/>
                <w:szCs w:val="20"/>
              </w:rPr>
              <w:t>cholinestérase</w:t>
            </w:r>
          </w:p>
        </w:tc>
        <w:tc>
          <w:tcPr>
            <w:tcW w:w="200" w:type="dxa"/>
            <w:tcBorders>
              <w:bottom w:val="single" w:sz="8" w:space="0" w:color="auto"/>
            </w:tcBorders>
            <w:vAlign w:val="bottom"/>
          </w:tcPr>
          <w:p w:rsidR="00223198" w:rsidRDefault="00223198" w:rsidP="00A76F4A">
            <w:pPr>
              <w:ind w:right="12"/>
              <w:rPr>
                <w:sz w:val="20"/>
                <w:szCs w:val="20"/>
              </w:rPr>
            </w:pPr>
          </w:p>
        </w:tc>
        <w:tc>
          <w:tcPr>
            <w:tcW w:w="600" w:type="dxa"/>
            <w:tcBorders>
              <w:bottom w:val="single" w:sz="8" w:space="0" w:color="auto"/>
              <w:right w:val="single" w:sz="8" w:space="0" w:color="auto"/>
            </w:tcBorders>
            <w:vAlign w:val="bottom"/>
          </w:tcPr>
          <w:p w:rsidR="00223198" w:rsidRDefault="00223198" w:rsidP="00A76F4A">
            <w:pPr>
              <w:ind w:right="12"/>
              <w:rPr>
                <w:sz w:val="20"/>
                <w:szCs w:val="20"/>
              </w:rPr>
            </w:pPr>
          </w:p>
        </w:tc>
        <w:tc>
          <w:tcPr>
            <w:tcW w:w="6299" w:type="dxa"/>
            <w:tcBorders>
              <w:bottom w:val="single" w:sz="8" w:space="0" w:color="auto"/>
              <w:right w:val="single" w:sz="8" w:space="0" w:color="auto"/>
            </w:tcBorders>
            <w:vAlign w:val="bottom"/>
          </w:tcPr>
          <w:p w:rsidR="00223198" w:rsidRDefault="00223198" w:rsidP="00A76F4A">
            <w:pPr>
              <w:ind w:left="80" w:right="12"/>
              <w:rPr>
                <w:sz w:val="20"/>
                <w:szCs w:val="20"/>
              </w:rPr>
            </w:pPr>
            <w:r>
              <w:rPr>
                <w:rFonts w:eastAsia="Times New Roman"/>
                <w:sz w:val="20"/>
                <w:szCs w:val="20"/>
              </w:rPr>
              <w:t>Utilisation des équipements de protection</w:t>
            </w:r>
          </w:p>
        </w:tc>
      </w:tr>
    </w:tbl>
    <w:p w:rsidR="003A39C7" w:rsidRPr="00D47C37" w:rsidRDefault="003A39C7" w:rsidP="00A76F4A">
      <w:pPr>
        <w:ind w:right="12"/>
      </w:pPr>
    </w:p>
    <w:p w:rsidR="003C76AE" w:rsidRPr="00D47C37" w:rsidRDefault="003C76AE" w:rsidP="00A76F4A">
      <w:pPr>
        <w:keepNext/>
        <w:spacing w:line="276" w:lineRule="auto"/>
        <w:ind w:left="284" w:right="12"/>
        <w:jc w:val="both"/>
        <w:outlineLvl w:val="1"/>
        <w:rPr>
          <w:rFonts w:eastAsia="Calibri"/>
          <w:b/>
        </w:rPr>
      </w:pPr>
      <w:bookmarkStart w:id="571" w:name="_Toc69918784"/>
      <w:bookmarkStart w:id="572" w:name="_Toc73459830"/>
      <w:bookmarkStart w:id="573" w:name="_Toc75432382"/>
      <w:r w:rsidRPr="00D47C37">
        <w:rPr>
          <w:rFonts w:eastAsia="Calibri"/>
          <w:b/>
        </w:rPr>
        <w:t>Maîtrise des pesticides utilisés en protection des cultures</w:t>
      </w:r>
      <w:bookmarkEnd w:id="571"/>
      <w:bookmarkEnd w:id="572"/>
      <w:bookmarkEnd w:id="573"/>
    </w:p>
    <w:p w:rsidR="007418E7" w:rsidRPr="006D0904" w:rsidRDefault="007B7194" w:rsidP="00A76F4A">
      <w:pPr>
        <w:autoSpaceDE w:val="0"/>
        <w:autoSpaceDN w:val="0"/>
        <w:adjustRightInd w:val="0"/>
        <w:ind w:right="12"/>
        <w:jc w:val="both"/>
      </w:pPr>
      <w:r w:rsidRPr="006D0904">
        <w:t>Le PGPP est conçu pour minimiser les effets potentiels négatifs</w:t>
      </w:r>
      <w:r w:rsidR="007418E7" w:rsidRPr="006D0904">
        <w:t xml:space="preserve"> </w:t>
      </w:r>
      <w:r w:rsidRPr="006D0904">
        <w:t>sur la santé humaine, animale et</w:t>
      </w:r>
      <w:r w:rsidR="007418E7" w:rsidRPr="006D0904">
        <w:t xml:space="preserve"> l’environnement. </w:t>
      </w:r>
      <w:r w:rsidRPr="006D0904">
        <w:t>Le présent PGPP</w:t>
      </w:r>
      <w:r w:rsidR="007418E7" w:rsidRPr="006D0904">
        <w:t xml:space="preserve"> </w:t>
      </w:r>
      <w:r w:rsidRPr="006D0904">
        <w:t>appui les initiatives nationales et locales en</w:t>
      </w:r>
      <w:r w:rsidR="007418E7" w:rsidRPr="006D0904">
        <w:t xml:space="preserve"> </w:t>
      </w:r>
      <w:r w:rsidRPr="006D0904">
        <w:t>cours ou en perspective dans</w:t>
      </w:r>
      <w:r w:rsidR="007418E7" w:rsidRPr="006D0904">
        <w:t xml:space="preserve"> </w:t>
      </w:r>
      <w:r w:rsidRPr="006D0904">
        <w:t>la zone</w:t>
      </w:r>
      <w:r w:rsidR="007418E7" w:rsidRPr="006D0904">
        <w:t xml:space="preserve"> d’intervention </w:t>
      </w:r>
      <w:r w:rsidRPr="006D0904">
        <w:t>du projet</w:t>
      </w:r>
      <w:r w:rsidR="007418E7" w:rsidRPr="006D0904">
        <w:t xml:space="preserve">, et s’inscrit dans le cadre des stratégies nationales existantes, renforçant ainsi les synergies et les </w:t>
      </w:r>
      <w:r w:rsidRPr="006D0904">
        <w:t>complémentarités tout</w:t>
      </w:r>
      <w:r w:rsidR="007418E7" w:rsidRPr="006D0904">
        <w:t xml:space="preserve"> en évitant les duplications.</w:t>
      </w:r>
    </w:p>
    <w:p w:rsidR="003C76AE" w:rsidRPr="003F5F8A" w:rsidRDefault="003C76AE" w:rsidP="00A76F4A">
      <w:pPr>
        <w:ind w:right="12"/>
        <w:jc w:val="both"/>
        <w:rPr>
          <w:sz w:val="21"/>
          <w:szCs w:val="21"/>
        </w:rPr>
      </w:pPr>
    </w:p>
    <w:p w:rsidR="007418E7" w:rsidRPr="00D47C37" w:rsidRDefault="007418E7" w:rsidP="00A76F4A">
      <w:pPr>
        <w:pStyle w:val="PargrafodaLista"/>
        <w:keepNext/>
        <w:numPr>
          <w:ilvl w:val="0"/>
          <w:numId w:val="142"/>
        </w:numPr>
        <w:ind w:right="12"/>
        <w:jc w:val="both"/>
        <w:outlineLvl w:val="1"/>
        <w:rPr>
          <w:rFonts w:ascii="Times New Roman" w:hAnsi="Times New Roman"/>
          <w:b/>
          <w:sz w:val="24"/>
          <w:szCs w:val="24"/>
        </w:rPr>
      </w:pPr>
      <w:bookmarkStart w:id="574" w:name="_Toc73459831"/>
      <w:bookmarkStart w:id="575" w:name="_Toc75432383"/>
      <w:bookmarkStart w:id="576" w:name="_Toc521939535"/>
      <w:bookmarkStart w:id="577" w:name="_Toc62927862"/>
      <w:bookmarkStart w:id="578" w:name="_Toc63695104"/>
      <w:bookmarkStart w:id="579" w:name="_Toc67508595"/>
      <w:bookmarkStart w:id="580" w:name="_Toc69918785"/>
      <w:r w:rsidRPr="00D47C37">
        <w:rPr>
          <w:rFonts w:ascii="Times New Roman" w:hAnsi="Times New Roman"/>
          <w:b/>
          <w:sz w:val="24"/>
          <w:szCs w:val="24"/>
        </w:rPr>
        <w:t>Pestes en agriculture</w:t>
      </w:r>
      <w:bookmarkEnd w:id="574"/>
      <w:bookmarkEnd w:id="575"/>
      <w:r w:rsidRPr="00D47C37">
        <w:rPr>
          <w:rFonts w:ascii="Times New Roman" w:hAnsi="Times New Roman"/>
          <w:b/>
          <w:sz w:val="24"/>
          <w:szCs w:val="24"/>
        </w:rPr>
        <w:t xml:space="preserve"> </w:t>
      </w:r>
      <w:bookmarkEnd w:id="576"/>
      <w:bookmarkEnd w:id="577"/>
      <w:bookmarkEnd w:id="578"/>
      <w:bookmarkEnd w:id="579"/>
      <w:bookmarkEnd w:id="580"/>
    </w:p>
    <w:p w:rsidR="007418E7" w:rsidRPr="006D0904" w:rsidRDefault="00513A6A" w:rsidP="00A76F4A">
      <w:pPr>
        <w:autoSpaceDE w:val="0"/>
        <w:autoSpaceDN w:val="0"/>
        <w:adjustRightInd w:val="0"/>
        <w:ind w:right="12"/>
        <w:jc w:val="both"/>
      </w:pPr>
      <w:r w:rsidRPr="006D0904">
        <w:t>Les principaux nuisibles sont composés d’insectes, d’oiseaux granivores, de mauvaises herbes, de</w:t>
      </w:r>
      <w:r w:rsidR="007418E7" w:rsidRPr="006D0904">
        <w:t xml:space="preserve"> </w:t>
      </w:r>
      <w:r w:rsidRPr="006D0904">
        <w:t>champignons et de</w:t>
      </w:r>
      <w:r w:rsidR="007418E7" w:rsidRPr="006D0904">
        <w:t xml:space="preserve">   </w:t>
      </w:r>
      <w:r w:rsidRPr="006D0904">
        <w:t xml:space="preserve">nombreuses maladies dont la non prise en charge en protection </w:t>
      </w:r>
      <w:r w:rsidR="005053E2" w:rsidRPr="006D0904">
        <w:t>des végétaux</w:t>
      </w:r>
      <w:r w:rsidR="007418E7" w:rsidRPr="006D0904">
        <w:t xml:space="preserve"> provient de la méconnaissance de leurs méfaits dans les systèmes de production. </w:t>
      </w:r>
      <w:r w:rsidR="004865FA" w:rsidRPr="006D0904">
        <w:t>En guinée Bissau</w:t>
      </w:r>
      <w:r w:rsidR="007418E7" w:rsidRPr="006D0904">
        <w:t xml:space="preserve">, il est noté </w:t>
      </w:r>
      <w:r w:rsidRPr="006D0904">
        <w:t>que les dégâts causés par les insectes sont les plus remarquables</w:t>
      </w:r>
      <w:r w:rsidR="007418E7" w:rsidRPr="006D0904">
        <w:t xml:space="preserve"> au niveau des cultures et des stocks imprimant ainsi une orientation lors des choix des produits de traitement et des méthodes de lutte.</w:t>
      </w:r>
    </w:p>
    <w:p w:rsidR="007418E7" w:rsidRPr="006D0904" w:rsidRDefault="003C76AE" w:rsidP="00A76F4A">
      <w:pPr>
        <w:autoSpaceDE w:val="0"/>
        <w:autoSpaceDN w:val="0"/>
        <w:adjustRightInd w:val="0"/>
        <w:ind w:right="12"/>
        <w:jc w:val="both"/>
      </w:pPr>
      <w:r w:rsidRPr="006D0904">
        <w:t xml:space="preserve">La Guinée </w:t>
      </w:r>
      <w:r w:rsidR="00513A6A" w:rsidRPr="006D0904">
        <w:t>Bissau</w:t>
      </w:r>
      <w:r w:rsidRPr="006D0904">
        <w:t xml:space="preserve"> est </w:t>
      </w:r>
      <w:r w:rsidR="005053E2" w:rsidRPr="006D0904">
        <w:t>soumise</w:t>
      </w:r>
      <w:r w:rsidR="007418E7" w:rsidRPr="006D0904">
        <w:t xml:space="preserve"> à divers facteurs perturbant notamment les effets climatiques notamment, les retards de pluies ou pluies précoces qui sont exacerbés par l’impact important des pestes comme le criquet pèlerin en grande envergure et d’autres déprédateurs plus insidieux. Les pertes avant et après récolte représentent une contrainte majeure.</w:t>
      </w:r>
    </w:p>
    <w:p w:rsidR="00B600CF" w:rsidRPr="006D0904" w:rsidRDefault="00B600CF" w:rsidP="00A76F4A">
      <w:pPr>
        <w:autoSpaceDE w:val="0"/>
        <w:autoSpaceDN w:val="0"/>
        <w:adjustRightInd w:val="0"/>
        <w:ind w:right="12"/>
        <w:jc w:val="both"/>
      </w:pPr>
    </w:p>
    <w:p w:rsidR="00B600CF" w:rsidRPr="006D0904" w:rsidRDefault="00B600CF" w:rsidP="00A76F4A">
      <w:pPr>
        <w:autoSpaceDE w:val="0"/>
        <w:autoSpaceDN w:val="0"/>
        <w:adjustRightInd w:val="0"/>
        <w:ind w:right="12"/>
        <w:jc w:val="both"/>
      </w:pPr>
      <w:r w:rsidRPr="006D0904">
        <w:t xml:space="preserve">Pour toutes les cultures prises globalement, de nombreux ennemis sont connus aux différents des taxons dont les dégâts sont susceptibles d’atteindre des seuils économiques. </w:t>
      </w:r>
    </w:p>
    <w:p w:rsidR="00B600CF" w:rsidRPr="006D0904" w:rsidRDefault="00B600CF" w:rsidP="00A76F4A">
      <w:pPr>
        <w:autoSpaceDE w:val="0"/>
        <w:autoSpaceDN w:val="0"/>
        <w:adjustRightInd w:val="0"/>
        <w:ind w:right="12"/>
        <w:jc w:val="both"/>
      </w:pPr>
      <w:r w:rsidRPr="006D0904">
        <w:t xml:space="preserve">Nombreux phytophages qui s'attaquent principalement </w:t>
      </w:r>
      <w:r w:rsidR="002F3DC8" w:rsidRPr="006D0904">
        <w:t>à la culture</w:t>
      </w:r>
      <w:r w:rsidR="00643DA4" w:rsidRPr="006D0904">
        <w:t xml:space="preserve"> de</w:t>
      </w:r>
      <w:r w:rsidR="002F3DC8" w:rsidRPr="006D0904">
        <w:t xml:space="preserve"> rente</w:t>
      </w:r>
      <w:r w:rsidR="00643DA4" w:rsidRPr="006D0904">
        <w:t xml:space="preserve"> s</w:t>
      </w:r>
      <w:r w:rsidRPr="006D0904">
        <w:t xml:space="preserve">ont : </w:t>
      </w:r>
    </w:p>
    <w:p w:rsidR="00B600CF" w:rsidRPr="003F5F8A" w:rsidRDefault="00B600CF" w:rsidP="00A76F4A">
      <w:pPr>
        <w:pStyle w:val="PargrafodaLista"/>
        <w:numPr>
          <w:ilvl w:val="0"/>
          <w:numId w:val="147"/>
        </w:numPr>
        <w:spacing w:after="0" w:line="240" w:lineRule="auto"/>
        <w:ind w:right="12"/>
        <w:jc w:val="both"/>
        <w:rPr>
          <w:sz w:val="21"/>
          <w:szCs w:val="21"/>
        </w:rPr>
      </w:pPr>
      <w:r w:rsidRPr="003F5F8A">
        <w:rPr>
          <w:rFonts w:ascii="Times New Roman" w:hAnsi="Times New Roman"/>
          <w:sz w:val="21"/>
          <w:szCs w:val="21"/>
        </w:rPr>
        <w:t xml:space="preserve">Les Insectes et acariens : </w:t>
      </w:r>
    </w:p>
    <w:p w:rsidR="00B600CF" w:rsidRPr="008506DF" w:rsidRDefault="00B600CF" w:rsidP="00A76F4A">
      <w:pPr>
        <w:ind w:left="993" w:right="12"/>
        <w:jc w:val="both"/>
        <w:rPr>
          <w:sz w:val="21"/>
          <w:szCs w:val="21"/>
          <w:lang w:val="sv-SE"/>
        </w:rPr>
      </w:pPr>
      <w:r w:rsidRPr="003F5F8A">
        <w:rPr>
          <w:rFonts w:ascii="Symbol" w:eastAsia="Symbol" w:hAnsi="Symbol" w:cs="Symbol"/>
          <w:sz w:val="21"/>
          <w:szCs w:val="21"/>
        </w:rPr>
        <w:sym w:font="Symbol" w:char="F0B7"/>
      </w:r>
      <w:r w:rsidRPr="008506DF">
        <w:rPr>
          <w:sz w:val="21"/>
          <w:szCs w:val="21"/>
          <w:lang w:val="sv-SE"/>
        </w:rPr>
        <w:t xml:space="preserve"> Nymphula Spp; </w:t>
      </w:r>
    </w:p>
    <w:p w:rsidR="00B600CF" w:rsidRPr="008506DF" w:rsidRDefault="00B600CF" w:rsidP="00A76F4A">
      <w:pPr>
        <w:ind w:left="993" w:right="12"/>
        <w:jc w:val="both"/>
        <w:rPr>
          <w:sz w:val="21"/>
          <w:szCs w:val="21"/>
          <w:lang w:val="sv-SE"/>
        </w:rPr>
      </w:pPr>
      <w:r w:rsidRPr="003F5F8A">
        <w:rPr>
          <w:rFonts w:ascii="Symbol" w:eastAsia="Symbol" w:hAnsi="Symbol" w:cs="Symbol"/>
          <w:sz w:val="21"/>
          <w:szCs w:val="21"/>
        </w:rPr>
        <w:sym w:font="Symbol" w:char="F0B7"/>
      </w:r>
      <w:r w:rsidRPr="008506DF">
        <w:rPr>
          <w:sz w:val="21"/>
          <w:szCs w:val="21"/>
          <w:lang w:val="sv-SE"/>
        </w:rPr>
        <w:t xml:space="preserve"> Diopsis; </w:t>
      </w:r>
    </w:p>
    <w:p w:rsidR="00B600CF" w:rsidRPr="008506DF" w:rsidRDefault="00B600CF" w:rsidP="00A76F4A">
      <w:pPr>
        <w:ind w:left="993" w:right="12"/>
        <w:jc w:val="both"/>
        <w:rPr>
          <w:sz w:val="21"/>
          <w:szCs w:val="21"/>
          <w:lang w:val="sv-SE"/>
        </w:rPr>
      </w:pPr>
      <w:r w:rsidRPr="003F5F8A">
        <w:rPr>
          <w:rFonts w:ascii="Symbol" w:eastAsia="Symbol" w:hAnsi="Symbol" w:cs="Symbol"/>
          <w:sz w:val="21"/>
          <w:szCs w:val="21"/>
        </w:rPr>
        <w:sym w:font="Symbol" w:char="F0B7"/>
      </w:r>
      <w:r w:rsidRPr="008506DF">
        <w:rPr>
          <w:sz w:val="21"/>
          <w:szCs w:val="21"/>
          <w:lang w:val="sv-SE"/>
        </w:rPr>
        <w:t xml:space="preserve"> Heteroninchus oryzae;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Les ravageurs polyphages (pucerons-mouches blanches-criquets-termites)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Sauteriaux;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spodotera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Les ravageurs avec plantes hôtes spécifiques (cochenilles farineuses (manguiers et Agrumes)</w:t>
      </w:r>
    </w:p>
    <w:p w:rsidR="00B600CF" w:rsidRPr="003F5F8A" w:rsidRDefault="00B600CF" w:rsidP="00A76F4A">
      <w:pPr>
        <w:pStyle w:val="PargrafodaLista"/>
        <w:numPr>
          <w:ilvl w:val="0"/>
          <w:numId w:val="147"/>
        </w:numPr>
        <w:spacing w:after="0"/>
        <w:ind w:right="12"/>
        <w:jc w:val="both"/>
        <w:rPr>
          <w:sz w:val="21"/>
          <w:szCs w:val="21"/>
        </w:rPr>
      </w:pPr>
      <w:r w:rsidRPr="003F5F8A">
        <w:rPr>
          <w:rFonts w:ascii="Times New Roman" w:hAnsi="Times New Roman"/>
          <w:sz w:val="21"/>
          <w:szCs w:val="21"/>
        </w:rPr>
        <w:t xml:space="preserve"> Les rongeurs</w:t>
      </w:r>
      <w:r w:rsidR="00BB6017">
        <w:rPr>
          <w:rFonts w:ascii="Times New Roman" w:hAnsi="Times New Roman"/>
          <w:sz w:val="21"/>
          <w:szCs w:val="21"/>
        </w:rPr>
        <w:t>, ravageurs</w:t>
      </w:r>
      <w:r w:rsidRPr="003F5F8A">
        <w:rPr>
          <w:rFonts w:ascii="Times New Roman" w:hAnsi="Times New Roman"/>
          <w:sz w:val="21"/>
          <w:szCs w:val="21"/>
        </w:rPr>
        <w:t xml:space="preserve"> et oiseaux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Les rats au semis (arachide, niébé, maïs, riz) ; </w:t>
      </w:r>
    </w:p>
    <w:p w:rsidR="00BB6017"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Les oiseaux au semis et à la maturité (riz). </w:t>
      </w:r>
    </w:p>
    <w:p w:rsidR="005E0D10" w:rsidRPr="003F5F8A" w:rsidRDefault="00600DA4" w:rsidP="0014229F">
      <w:pPr>
        <w:ind w:left="993" w:right="12"/>
        <w:jc w:val="both"/>
        <w:rPr>
          <w:sz w:val="21"/>
          <w:szCs w:val="21"/>
        </w:rPr>
      </w:pPr>
      <w:r>
        <w:rPr>
          <w:sz w:val="21"/>
          <w:szCs w:val="21"/>
        </w:rPr>
        <w:t xml:space="preserve">   </w:t>
      </w:r>
      <w:r w:rsidR="005E0D10" w:rsidRPr="008371D1">
        <w:rPr>
          <w:sz w:val="21"/>
          <w:szCs w:val="21"/>
        </w:rPr>
        <w:t>Foreur de tige Mineuse de l’épi</w:t>
      </w:r>
      <w:r w:rsidR="00BB6017" w:rsidRPr="008371D1">
        <w:rPr>
          <w:sz w:val="21"/>
          <w:szCs w:val="21"/>
        </w:rPr>
        <w:t xml:space="preserve"> (mil)</w:t>
      </w:r>
    </w:p>
    <w:p w:rsidR="00B600CF" w:rsidRPr="003F5F8A" w:rsidRDefault="00B600CF" w:rsidP="00A76F4A">
      <w:pPr>
        <w:pStyle w:val="PargrafodaLista"/>
        <w:numPr>
          <w:ilvl w:val="0"/>
          <w:numId w:val="147"/>
        </w:numPr>
        <w:spacing w:after="0" w:line="240" w:lineRule="auto"/>
        <w:ind w:right="12"/>
        <w:jc w:val="both"/>
        <w:rPr>
          <w:sz w:val="21"/>
          <w:szCs w:val="21"/>
        </w:rPr>
      </w:pPr>
      <w:r w:rsidRPr="003F5F8A">
        <w:rPr>
          <w:rFonts w:ascii="Times New Roman" w:hAnsi="Times New Roman"/>
          <w:sz w:val="21"/>
          <w:szCs w:val="21"/>
        </w:rPr>
        <w:t xml:space="preserve"> Les mauvaises herbes :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L’herbe de Laos (chromolena odérata)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Les cypéracées ;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Les euphorbiacées ;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Les astéracées. </w:t>
      </w:r>
    </w:p>
    <w:p w:rsidR="00B600CF" w:rsidRPr="003F5F8A" w:rsidRDefault="00B600CF" w:rsidP="00A76F4A">
      <w:pPr>
        <w:pStyle w:val="PargrafodaLista"/>
        <w:numPr>
          <w:ilvl w:val="0"/>
          <w:numId w:val="147"/>
        </w:numPr>
        <w:spacing w:after="0"/>
        <w:ind w:right="12"/>
        <w:jc w:val="both"/>
        <w:rPr>
          <w:sz w:val="21"/>
          <w:szCs w:val="21"/>
        </w:rPr>
      </w:pPr>
      <w:r w:rsidRPr="003F5F8A">
        <w:rPr>
          <w:rFonts w:ascii="Times New Roman" w:hAnsi="Times New Roman"/>
          <w:sz w:val="21"/>
          <w:szCs w:val="21"/>
        </w:rPr>
        <w:t xml:space="preserve">Les maladies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 xml:space="preserve">Pyriculaiae aryzae </w:t>
      </w:r>
    </w:p>
    <w:p w:rsidR="00B600CF" w:rsidRPr="003F5F8A" w:rsidRDefault="00B600CF" w:rsidP="00A76F4A">
      <w:pPr>
        <w:ind w:left="993" w:right="12"/>
        <w:jc w:val="both"/>
        <w:rPr>
          <w:sz w:val="21"/>
          <w:szCs w:val="21"/>
        </w:rPr>
      </w:pPr>
      <w:r w:rsidRPr="003F5F8A">
        <w:rPr>
          <w:rFonts w:ascii="Symbol" w:eastAsia="Symbol" w:hAnsi="Symbol" w:cs="Symbol"/>
          <w:sz w:val="21"/>
          <w:szCs w:val="21"/>
        </w:rPr>
        <w:lastRenderedPageBreak/>
        <w:sym w:font="Symbol" w:char="F0B7"/>
      </w:r>
      <w:r w:rsidRPr="003F5F8A">
        <w:rPr>
          <w:sz w:val="21"/>
          <w:szCs w:val="21"/>
        </w:rPr>
        <w:t xml:space="preserve">Helmithosporium oryzae </w:t>
      </w:r>
    </w:p>
    <w:p w:rsidR="00B600CF" w:rsidRPr="003F5F8A" w:rsidRDefault="00B600CF" w:rsidP="00A76F4A">
      <w:pPr>
        <w:ind w:left="993" w:right="12"/>
        <w:jc w:val="both"/>
        <w:rPr>
          <w:sz w:val="21"/>
          <w:szCs w:val="21"/>
        </w:rPr>
      </w:pPr>
      <w:r w:rsidRPr="003F5F8A">
        <w:rPr>
          <w:rFonts w:ascii="Symbol" w:eastAsia="Symbol" w:hAnsi="Symbol" w:cs="Symbol"/>
          <w:sz w:val="21"/>
          <w:szCs w:val="21"/>
        </w:rPr>
        <w:sym w:font="Symbol" w:char="F0B7"/>
      </w:r>
      <w:r w:rsidRPr="003F5F8A">
        <w:rPr>
          <w:sz w:val="21"/>
          <w:szCs w:val="21"/>
        </w:rPr>
        <w:t>Rhinchosporium oryzae</w:t>
      </w:r>
    </w:p>
    <w:p w:rsidR="00600DA4" w:rsidRDefault="00B600CF" w:rsidP="00A76F4A">
      <w:pPr>
        <w:ind w:left="993" w:right="12"/>
        <w:rPr>
          <w:sz w:val="21"/>
          <w:szCs w:val="21"/>
        </w:rPr>
      </w:pPr>
      <w:r w:rsidRPr="003F5F8A">
        <w:rPr>
          <w:rFonts w:ascii="Symbol" w:eastAsia="Symbol" w:hAnsi="Symbol" w:cs="Symbol"/>
          <w:sz w:val="21"/>
          <w:szCs w:val="21"/>
        </w:rPr>
        <w:sym w:font="Symbol" w:char="F0B7"/>
      </w:r>
      <w:r w:rsidRPr="003F5F8A">
        <w:rPr>
          <w:sz w:val="21"/>
          <w:szCs w:val="21"/>
        </w:rPr>
        <w:t>Fausse charbon</w:t>
      </w:r>
    </w:p>
    <w:p w:rsidR="003C76AE" w:rsidRDefault="00600DA4" w:rsidP="00A76F4A">
      <w:pPr>
        <w:pStyle w:val="PargrafodaLista"/>
        <w:numPr>
          <w:ilvl w:val="0"/>
          <w:numId w:val="173"/>
        </w:numPr>
        <w:ind w:left="1134" w:right="12" w:hanging="141"/>
        <w:rPr>
          <w:rFonts w:ascii="Times" w:eastAsia="Times New Roman" w:hAnsi="Times"/>
          <w:sz w:val="21"/>
          <w:szCs w:val="21"/>
        </w:rPr>
      </w:pPr>
      <w:r w:rsidRPr="008371D1">
        <w:rPr>
          <w:rFonts w:ascii="Times" w:eastAsia="Times New Roman" w:hAnsi="Times"/>
          <w:sz w:val="21"/>
          <w:szCs w:val="21"/>
        </w:rPr>
        <w:t>Lépidoptères (lema planifronsWs, sesamia sp, etc.) (mil)</w:t>
      </w:r>
    </w:p>
    <w:p w:rsidR="0020294E" w:rsidRPr="0020294E" w:rsidRDefault="0020294E" w:rsidP="00A76F4A">
      <w:pPr>
        <w:pStyle w:val="PargrafodaLista"/>
        <w:ind w:left="1134" w:right="12"/>
        <w:rPr>
          <w:rFonts w:ascii="Times" w:eastAsia="Times New Roman" w:hAnsi="Times"/>
          <w:sz w:val="21"/>
          <w:szCs w:val="21"/>
        </w:rPr>
      </w:pPr>
    </w:p>
    <w:p w:rsidR="007418E7" w:rsidRPr="00D47C37" w:rsidRDefault="007418E7" w:rsidP="00A76F4A">
      <w:pPr>
        <w:pStyle w:val="PargrafodaLista"/>
        <w:keepNext/>
        <w:numPr>
          <w:ilvl w:val="0"/>
          <w:numId w:val="142"/>
        </w:numPr>
        <w:ind w:right="12"/>
        <w:jc w:val="both"/>
        <w:outlineLvl w:val="1"/>
        <w:rPr>
          <w:rFonts w:ascii="Times New Roman" w:hAnsi="Times New Roman"/>
          <w:b/>
          <w:sz w:val="24"/>
          <w:szCs w:val="24"/>
        </w:rPr>
      </w:pPr>
      <w:bookmarkStart w:id="581" w:name="_Toc73459832"/>
      <w:bookmarkStart w:id="582" w:name="_Toc75432384"/>
      <w:bookmarkStart w:id="583" w:name="_Toc521939538"/>
      <w:bookmarkStart w:id="584" w:name="_Toc62927863"/>
      <w:bookmarkStart w:id="585" w:name="_Toc63695105"/>
      <w:bookmarkStart w:id="586" w:name="_Toc67508596"/>
      <w:bookmarkStart w:id="587" w:name="_Toc69918786"/>
      <w:r w:rsidRPr="00D47C37">
        <w:rPr>
          <w:rFonts w:ascii="Times New Roman" w:hAnsi="Times New Roman"/>
          <w:b/>
          <w:sz w:val="24"/>
          <w:szCs w:val="24"/>
        </w:rPr>
        <w:t>Approches de gestion des pestes et des pesticides</w:t>
      </w:r>
      <w:bookmarkEnd w:id="581"/>
      <w:bookmarkEnd w:id="582"/>
      <w:r w:rsidRPr="00D47C37">
        <w:rPr>
          <w:rFonts w:ascii="Times New Roman" w:hAnsi="Times New Roman"/>
          <w:b/>
          <w:sz w:val="24"/>
          <w:szCs w:val="24"/>
        </w:rPr>
        <w:t xml:space="preserve"> </w:t>
      </w:r>
      <w:bookmarkEnd w:id="583"/>
      <w:bookmarkEnd w:id="584"/>
      <w:bookmarkEnd w:id="585"/>
      <w:bookmarkEnd w:id="586"/>
      <w:bookmarkEnd w:id="587"/>
    </w:p>
    <w:p w:rsidR="007418E7" w:rsidRPr="006D0904" w:rsidRDefault="00CE03CE" w:rsidP="00A76F4A">
      <w:pPr>
        <w:autoSpaceDE w:val="0"/>
        <w:autoSpaceDN w:val="0"/>
        <w:adjustRightInd w:val="0"/>
        <w:ind w:right="12"/>
        <w:jc w:val="both"/>
      </w:pPr>
      <w:r w:rsidRPr="006D0904">
        <w:t xml:space="preserve">Une </w:t>
      </w:r>
      <w:r w:rsidR="00513A6A" w:rsidRPr="006D0904">
        <w:t>vaste panoplie de textes est en vigueur</w:t>
      </w:r>
      <w:r w:rsidR="007418E7" w:rsidRPr="006D0904">
        <w:t xml:space="preserve"> </w:t>
      </w:r>
      <w:r w:rsidR="001F0779" w:rsidRPr="006D0904">
        <w:t>(loi N° 7/2000 DU 24 AOUT</w:t>
      </w:r>
      <w:r w:rsidR="00524ECB" w:rsidRPr="006D0904">
        <w:t xml:space="preserve">) et la norme NES N°3 </w:t>
      </w:r>
      <w:r w:rsidR="00513A6A" w:rsidRPr="006D0904">
        <w:t>concernant la gestion des pesticides, ce qui dénote</w:t>
      </w:r>
      <w:r w:rsidR="007418E7" w:rsidRPr="006D0904">
        <w:t xml:space="preserve"> </w:t>
      </w:r>
      <w:r w:rsidR="00513A6A" w:rsidRPr="006D0904">
        <w:t>d’une réelle volonté de maîtrise des circuits</w:t>
      </w:r>
      <w:r w:rsidR="007418E7" w:rsidRPr="006D0904">
        <w:t xml:space="preserve"> d’utilisation des pesticides.  Ainsi, tout produit utiliser dans le pays doit faire l’objet d’homologation notamment pour son importation. A cet effet une liste des produits autorisés est disponible et toute importation doit s’en référer.  Ceci constitue </w:t>
      </w:r>
      <w:r w:rsidRPr="006D0904">
        <w:t xml:space="preserve">la première </w:t>
      </w:r>
      <w:r w:rsidR="00513A6A" w:rsidRPr="006D0904">
        <w:t>barrière permettant de filtrer les produits</w:t>
      </w:r>
      <w:r w:rsidR="007418E7" w:rsidRPr="006D0904">
        <w:t xml:space="preserve"> </w:t>
      </w:r>
      <w:r w:rsidR="00513A6A" w:rsidRPr="006D0904">
        <w:t>entrant dans le pays</w:t>
      </w:r>
      <w:r w:rsidR="007418E7" w:rsidRPr="006D0904">
        <w:t xml:space="preserve">.  La surveillance des produits s’effectue aussi </w:t>
      </w:r>
      <w:r w:rsidR="00513A6A" w:rsidRPr="006D0904">
        <w:t>en principe au niveau de la</w:t>
      </w:r>
      <w:r w:rsidR="007418E7" w:rsidRPr="006D0904">
        <w:t xml:space="preserve"> distribution à l’échelon locale par les Services décentralisés qui ont le rôle de contrôle de la conformité des distributeurs en rapport avec les textes établis (autorisation de vente). </w:t>
      </w:r>
    </w:p>
    <w:p w:rsidR="007418E7" w:rsidRPr="006D0904" w:rsidRDefault="007418E7" w:rsidP="00A76F4A">
      <w:pPr>
        <w:autoSpaceDE w:val="0"/>
        <w:autoSpaceDN w:val="0"/>
        <w:adjustRightInd w:val="0"/>
        <w:ind w:right="12"/>
        <w:jc w:val="both"/>
      </w:pPr>
      <w:r w:rsidRPr="006D0904">
        <w:t xml:space="preserve">Par ailleurs, afin de s’assurer de l’utilisation efficiente des produits de lutte contre les ravageurs, des limites maximales </w:t>
      </w:r>
      <w:r w:rsidR="00513A6A" w:rsidRPr="006D0904">
        <w:t xml:space="preserve">de résidus (LMR) sont imposées via des normes </w:t>
      </w:r>
      <w:r w:rsidR="0016730F" w:rsidRPr="006D0904">
        <w:t>sous régionales</w:t>
      </w:r>
      <w:r w:rsidR="00513A6A" w:rsidRPr="006D0904">
        <w:t>, nationales ou</w:t>
      </w:r>
      <w:r w:rsidRPr="006D0904">
        <w:t xml:space="preserve"> internationales </w:t>
      </w:r>
      <w:r w:rsidR="00513A6A" w:rsidRPr="006D0904">
        <w:t>notamment le codex</w:t>
      </w:r>
      <w:r w:rsidRPr="006D0904">
        <w:t xml:space="preserve">  </w:t>
      </w:r>
      <w:r w:rsidR="00513A6A" w:rsidRPr="006D0904">
        <w:t>Alimentarius, les normes de</w:t>
      </w:r>
      <w:r w:rsidR="00BF7676" w:rsidRPr="006D0904">
        <w:t xml:space="preserve"> </w:t>
      </w:r>
      <w:r w:rsidR="001B5F61" w:rsidRPr="006D0904">
        <w:t>la FAO et DE OMS</w:t>
      </w:r>
      <w:r w:rsidRPr="006D0904">
        <w:t>.  La Fondation CERES Locustox est qualifiée pour analyser les LMR.  Il est important tant du point de vue économique (exportations) que sanitaire que le suivi des LMR soit effectué de manière systématique.</w:t>
      </w:r>
    </w:p>
    <w:p w:rsidR="007418E7" w:rsidRPr="006D0904" w:rsidRDefault="007418E7" w:rsidP="00A76F4A">
      <w:pPr>
        <w:autoSpaceDE w:val="0"/>
        <w:autoSpaceDN w:val="0"/>
        <w:adjustRightInd w:val="0"/>
        <w:ind w:right="12"/>
        <w:jc w:val="both"/>
      </w:pPr>
    </w:p>
    <w:p w:rsidR="007418E7" w:rsidRPr="006D0904" w:rsidRDefault="007418E7" w:rsidP="00A76F4A">
      <w:pPr>
        <w:autoSpaceDE w:val="0"/>
        <w:autoSpaceDN w:val="0"/>
        <w:adjustRightInd w:val="0"/>
        <w:ind w:right="12"/>
        <w:jc w:val="both"/>
      </w:pPr>
      <w:r w:rsidRPr="006D0904">
        <w:t xml:space="preserve">S’agissant des pesticides utilisés en protection des cultures, les stratégies mises en œuvre dans les pays pour </w:t>
      </w:r>
      <w:r w:rsidR="00034AF3" w:rsidRPr="006D0904">
        <w:t xml:space="preserve">lutter </w:t>
      </w:r>
      <w:r w:rsidR="00513A6A" w:rsidRPr="006D0904">
        <w:t>contre les pestes reposent essentiellement sur la lutte chimique (lutte préventive et</w:t>
      </w:r>
      <w:r w:rsidRPr="006D0904">
        <w:t xml:space="preserve"> curative).  Les autres </w:t>
      </w:r>
      <w:r w:rsidR="00034AF3" w:rsidRPr="006D0904">
        <w:t xml:space="preserve">alternatives </w:t>
      </w:r>
      <w:r w:rsidR="00513A6A" w:rsidRPr="006D0904">
        <w:t>à la lutte chimique, sont entre autres</w:t>
      </w:r>
      <w:r w:rsidRPr="006D0904">
        <w:t xml:space="preserve"> :  </w:t>
      </w:r>
      <w:r w:rsidR="00513A6A" w:rsidRPr="006D0904">
        <w:t>la lutte biologique</w:t>
      </w:r>
      <w:r w:rsidRPr="006D0904">
        <w:t xml:space="preserve"> </w:t>
      </w:r>
      <w:r w:rsidR="00513A6A" w:rsidRPr="006D0904">
        <w:t>; les</w:t>
      </w:r>
      <w:r w:rsidRPr="006D0904">
        <w:t xml:space="preserve"> pratiques culturales </w:t>
      </w:r>
      <w:r w:rsidR="00513A6A" w:rsidRPr="006D0904">
        <w:t>; l’utilisation</w:t>
      </w:r>
      <w:r w:rsidRPr="006D0904">
        <w:t xml:space="preserve"> de ressources phyto-génétiques </w:t>
      </w:r>
      <w:r w:rsidR="00513A6A" w:rsidRPr="006D0904">
        <w:t>; l’utilisation</w:t>
      </w:r>
      <w:r w:rsidRPr="006D0904">
        <w:t xml:space="preserve"> des bio-pesticides </w:t>
      </w:r>
      <w:r w:rsidR="00513A6A" w:rsidRPr="006D0904">
        <w:t>; la</w:t>
      </w:r>
      <w:r w:rsidRPr="006D0904">
        <w:t xml:space="preserve"> lutte </w:t>
      </w:r>
      <w:r w:rsidR="00513A6A" w:rsidRPr="006D0904">
        <w:t>physique ; les</w:t>
      </w:r>
      <w:r w:rsidRPr="006D0904">
        <w:t xml:space="preserve"> mesures </w:t>
      </w:r>
      <w:r w:rsidR="00513A6A" w:rsidRPr="006D0904">
        <w:t>prophylactiques ; la</w:t>
      </w:r>
      <w:r w:rsidRPr="006D0904">
        <w:t xml:space="preserve"> lutte intégrée </w:t>
      </w:r>
      <w:r w:rsidR="00513A6A" w:rsidRPr="006D0904">
        <w:t>; la</w:t>
      </w:r>
      <w:r w:rsidRPr="006D0904">
        <w:t xml:space="preserve"> gestion intégrée de la production et des déprédateurs (GIPD).</w:t>
      </w:r>
    </w:p>
    <w:p w:rsidR="00034AF3" w:rsidRPr="003F5F8A" w:rsidRDefault="00034AF3" w:rsidP="00A76F4A">
      <w:pPr>
        <w:ind w:right="12"/>
        <w:jc w:val="both"/>
        <w:rPr>
          <w:sz w:val="21"/>
          <w:szCs w:val="21"/>
        </w:rPr>
      </w:pPr>
    </w:p>
    <w:p w:rsidR="007418E7" w:rsidRPr="003F5F8A" w:rsidRDefault="00513A6A" w:rsidP="00A76F4A">
      <w:pPr>
        <w:pStyle w:val="PargrafodaLista"/>
        <w:numPr>
          <w:ilvl w:val="0"/>
          <w:numId w:val="140"/>
        </w:numPr>
        <w:spacing w:after="0"/>
        <w:ind w:right="12"/>
        <w:jc w:val="both"/>
        <w:rPr>
          <w:rFonts w:ascii="Times New Roman" w:hAnsi="Times New Roman"/>
          <w:sz w:val="21"/>
          <w:szCs w:val="21"/>
        </w:rPr>
      </w:pPr>
      <w:r w:rsidRPr="003F5F8A">
        <w:rPr>
          <w:rFonts w:ascii="Times New Roman" w:hAnsi="Times New Roman"/>
          <w:sz w:val="21"/>
          <w:szCs w:val="21"/>
        </w:rPr>
        <w:t>Lutte chimique</w:t>
      </w:r>
      <w:r w:rsidR="007418E7" w:rsidRPr="003F5F8A">
        <w:rPr>
          <w:rFonts w:ascii="Times New Roman" w:hAnsi="Times New Roman"/>
          <w:sz w:val="21"/>
          <w:szCs w:val="21"/>
        </w:rPr>
        <w:t xml:space="preserve"> </w:t>
      </w:r>
    </w:p>
    <w:p w:rsidR="007418E7" w:rsidRPr="003F5F8A" w:rsidRDefault="007418E7" w:rsidP="00A76F4A">
      <w:pPr>
        <w:ind w:left="567" w:right="12"/>
        <w:jc w:val="both"/>
        <w:rPr>
          <w:sz w:val="21"/>
          <w:szCs w:val="21"/>
        </w:rPr>
      </w:pPr>
      <w:r w:rsidRPr="003F5F8A">
        <w:rPr>
          <w:sz w:val="21"/>
          <w:szCs w:val="21"/>
        </w:rPr>
        <w:t>La lutte chimique consiste à l’utilisation raisonnée des Pesticides en champ. Il s’agit de :</w:t>
      </w:r>
    </w:p>
    <w:tbl>
      <w:tblPr>
        <w:tblStyle w:val="Tabelacomgrelha"/>
        <w:tblW w:w="0" w:type="auto"/>
        <w:tblInd w:w="720" w:type="dxa"/>
        <w:tblLook w:val="04A0" w:firstRow="1" w:lastRow="0" w:firstColumn="1" w:lastColumn="0" w:noHBand="0" w:noVBand="1"/>
      </w:tblPr>
      <w:tblGrid>
        <w:gridCol w:w="3103"/>
        <w:gridCol w:w="5029"/>
      </w:tblGrid>
      <w:tr w:rsidR="007418E7" w:rsidRPr="003F5F8A" w:rsidTr="00064F08">
        <w:tc>
          <w:tcPr>
            <w:tcW w:w="3103" w:type="dxa"/>
          </w:tcPr>
          <w:p w:rsidR="007418E7" w:rsidRPr="003F5F8A" w:rsidRDefault="007418E7" w:rsidP="00A76F4A">
            <w:pPr>
              <w:ind w:right="12"/>
              <w:jc w:val="both"/>
              <w:rPr>
                <w:sz w:val="21"/>
                <w:szCs w:val="21"/>
              </w:rPr>
            </w:pPr>
            <w:r w:rsidRPr="003F5F8A">
              <w:rPr>
                <w:sz w:val="21"/>
                <w:szCs w:val="21"/>
              </w:rPr>
              <w:t>Produits homologués</w:t>
            </w:r>
          </w:p>
        </w:tc>
        <w:tc>
          <w:tcPr>
            <w:tcW w:w="5029" w:type="dxa"/>
          </w:tcPr>
          <w:p w:rsidR="007418E7" w:rsidRPr="003F5F8A" w:rsidRDefault="007418E7" w:rsidP="00A76F4A">
            <w:pPr>
              <w:pStyle w:val="PargrafodaLista"/>
              <w:spacing w:after="0" w:line="240" w:lineRule="auto"/>
              <w:ind w:right="12"/>
              <w:jc w:val="both"/>
              <w:rPr>
                <w:rFonts w:ascii="Times New Roman" w:hAnsi="Times New Roman"/>
                <w:sz w:val="21"/>
                <w:szCs w:val="21"/>
              </w:rPr>
            </w:pPr>
            <w:r w:rsidRPr="003F5F8A">
              <w:rPr>
                <w:rFonts w:ascii="Times New Roman" w:hAnsi="Times New Roman"/>
                <w:sz w:val="21"/>
                <w:szCs w:val="21"/>
              </w:rPr>
              <w:t>Définitions et remarques</w:t>
            </w:r>
          </w:p>
        </w:tc>
      </w:tr>
      <w:tr w:rsidR="007418E7" w:rsidRPr="003F5F8A" w:rsidTr="00064F08">
        <w:tc>
          <w:tcPr>
            <w:tcW w:w="3103" w:type="dxa"/>
          </w:tcPr>
          <w:p w:rsidR="007418E7" w:rsidRPr="003F5F8A" w:rsidRDefault="007418E7" w:rsidP="00A76F4A">
            <w:pPr>
              <w:pStyle w:val="PargrafodaLista"/>
              <w:numPr>
                <w:ilvl w:val="0"/>
                <w:numId w:val="136"/>
              </w:numPr>
              <w:spacing w:after="0" w:line="240" w:lineRule="auto"/>
              <w:ind w:right="12"/>
              <w:jc w:val="both"/>
              <w:rPr>
                <w:rFonts w:ascii="Times New Roman" w:hAnsi="Times New Roman"/>
                <w:sz w:val="21"/>
                <w:szCs w:val="21"/>
              </w:rPr>
            </w:pPr>
            <w:r w:rsidRPr="003F5F8A">
              <w:rPr>
                <w:rFonts w:ascii="Times New Roman" w:hAnsi="Times New Roman"/>
                <w:sz w:val="21"/>
                <w:szCs w:val="21"/>
              </w:rPr>
              <w:t xml:space="preserve">Fongicides </w:t>
            </w:r>
          </w:p>
        </w:tc>
        <w:tc>
          <w:tcPr>
            <w:tcW w:w="5029" w:type="dxa"/>
          </w:tcPr>
          <w:p w:rsidR="007418E7" w:rsidRPr="003F5F8A" w:rsidRDefault="007418E7" w:rsidP="00A76F4A">
            <w:pPr>
              <w:ind w:right="12"/>
              <w:jc w:val="both"/>
              <w:rPr>
                <w:sz w:val="21"/>
                <w:szCs w:val="21"/>
              </w:rPr>
            </w:pPr>
            <w:r w:rsidRPr="003F5F8A">
              <w:rPr>
                <w:sz w:val="21"/>
                <w:szCs w:val="21"/>
              </w:rPr>
              <w:t>Produit qui contrôle les champignons microscopiques</w:t>
            </w:r>
          </w:p>
        </w:tc>
      </w:tr>
      <w:tr w:rsidR="007418E7" w:rsidRPr="003F5F8A" w:rsidTr="00064F08">
        <w:tc>
          <w:tcPr>
            <w:tcW w:w="3103" w:type="dxa"/>
          </w:tcPr>
          <w:p w:rsidR="007418E7" w:rsidRPr="003F5F8A" w:rsidRDefault="007418E7" w:rsidP="00A76F4A">
            <w:pPr>
              <w:pStyle w:val="PargrafodaLista"/>
              <w:numPr>
                <w:ilvl w:val="0"/>
                <w:numId w:val="136"/>
              </w:numPr>
              <w:spacing w:after="0" w:line="240" w:lineRule="auto"/>
              <w:ind w:right="12"/>
              <w:jc w:val="both"/>
              <w:rPr>
                <w:rFonts w:ascii="Times New Roman" w:hAnsi="Times New Roman"/>
                <w:sz w:val="21"/>
                <w:szCs w:val="21"/>
              </w:rPr>
            </w:pPr>
            <w:r w:rsidRPr="003F5F8A">
              <w:rPr>
                <w:rFonts w:ascii="Times New Roman" w:hAnsi="Times New Roman"/>
                <w:sz w:val="21"/>
                <w:szCs w:val="21"/>
              </w:rPr>
              <w:t xml:space="preserve">Insecticides </w:t>
            </w:r>
          </w:p>
        </w:tc>
        <w:tc>
          <w:tcPr>
            <w:tcW w:w="5029" w:type="dxa"/>
          </w:tcPr>
          <w:p w:rsidR="007418E7" w:rsidRPr="003F5F8A" w:rsidRDefault="007418E7" w:rsidP="00A76F4A">
            <w:pPr>
              <w:ind w:right="12"/>
              <w:jc w:val="both"/>
              <w:rPr>
                <w:sz w:val="21"/>
                <w:szCs w:val="21"/>
              </w:rPr>
            </w:pPr>
            <w:r w:rsidRPr="003F5F8A">
              <w:rPr>
                <w:sz w:val="21"/>
                <w:szCs w:val="21"/>
              </w:rPr>
              <w:t>Produit qui contrôle les insectes</w:t>
            </w:r>
          </w:p>
        </w:tc>
      </w:tr>
      <w:tr w:rsidR="007418E7" w:rsidRPr="003F5F8A" w:rsidTr="00064F08">
        <w:tc>
          <w:tcPr>
            <w:tcW w:w="3103" w:type="dxa"/>
          </w:tcPr>
          <w:p w:rsidR="007418E7" w:rsidRPr="003F5F8A" w:rsidRDefault="007418E7" w:rsidP="00A76F4A">
            <w:pPr>
              <w:pStyle w:val="PargrafodaLista"/>
              <w:numPr>
                <w:ilvl w:val="0"/>
                <w:numId w:val="136"/>
              </w:numPr>
              <w:spacing w:after="0" w:line="240" w:lineRule="auto"/>
              <w:ind w:right="12"/>
              <w:jc w:val="both"/>
              <w:rPr>
                <w:rFonts w:ascii="Times New Roman" w:hAnsi="Times New Roman"/>
                <w:sz w:val="21"/>
                <w:szCs w:val="21"/>
              </w:rPr>
            </w:pPr>
            <w:r w:rsidRPr="003F5F8A">
              <w:rPr>
                <w:rFonts w:ascii="Times New Roman" w:hAnsi="Times New Roman"/>
                <w:sz w:val="21"/>
                <w:szCs w:val="21"/>
              </w:rPr>
              <w:t xml:space="preserve">Rodenticides </w:t>
            </w:r>
          </w:p>
        </w:tc>
        <w:tc>
          <w:tcPr>
            <w:tcW w:w="5029" w:type="dxa"/>
          </w:tcPr>
          <w:p w:rsidR="007418E7" w:rsidRPr="003F5F8A" w:rsidRDefault="007418E7" w:rsidP="00A76F4A">
            <w:pPr>
              <w:ind w:right="12"/>
              <w:jc w:val="both"/>
              <w:rPr>
                <w:sz w:val="21"/>
                <w:szCs w:val="21"/>
              </w:rPr>
            </w:pPr>
            <w:r w:rsidRPr="003F5F8A">
              <w:rPr>
                <w:sz w:val="21"/>
                <w:szCs w:val="21"/>
              </w:rPr>
              <w:t>Produit qui contrôle les rongeurs</w:t>
            </w:r>
          </w:p>
        </w:tc>
      </w:tr>
      <w:tr w:rsidR="007418E7" w:rsidRPr="003F5F8A" w:rsidTr="00064F08">
        <w:tc>
          <w:tcPr>
            <w:tcW w:w="3103" w:type="dxa"/>
          </w:tcPr>
          <w:p w:rsidR="007418E7" w:rsidRPr="003F5F8A" w:rsidRDefault="007418E7" w:rsidP="00A76F4A">
            <w:pPr>
              <w:pStyle w:val="PargrafodaLista"/>
              <w:numPr>
                <w:ilvl w:val="0"/>
                <w:numId w:val="136"/>
              </w:numPr>
              <w:spacing w:after="0" w:line="240" w:lineRule="auto"/>
              <w:ind w:right="12"/>
              <w:jc w:val="both"/>
              <w:rPr>
                <w:rFonts w:ascii="Times New Roman" w:hAnsi="Times New Roman"/>
                <w:sz w:val="21"/>
                <w:szCs w:val="21"/>
              </w:rPr>
            </w:pPr>
            <w:r w:rsidRPr="003F5F8A">
              <w:rPr>
                <w:rFonts w:ascii="Times New Roman" w:hAnsi="Times New Roman"/>
                <w:sz w:val="21"/>
                <w:szCs w:val="21"/>
              </w:rPr>
              <w:t xml:space="preserve">Raticides </w:t>
            </w:r>
          </w:p>
        </w:tc>
        <w:tc>
          <w:tcPr>
            <w:tcW w:w="5029" w:type="dxa"/>
          </w:tcPr>
          <w:p w:rsidR="007418E7" w:rsidRPr="003F5F8A" w:rsidRDefault="007418E7" w:rsidP="00A76F4A">
            <w:pPr>
              <w:ind w:right="12"/>
              <w:jc w:val="both"/>
              <w:rPr>
                <w:sz w:val="21"/>
                <w:szCs w:val="21"/>
              </w:rPr>
            </w:pPr>
            <w:r w:rsidRPr="003F5F8A">
              <w:rPr>
                <w:sz w:val="21"/>
                <w:szCs w:val="21"/>
              </w:rPr>
              <w:t>Produit qui contrôle les Rats</w:t>
            </w:r>
          </w:p>
        </w:tc>
      </w:tr>
      <w:tr w:rsidR="007418E7" w:rsidRPr="003F5F8A" w:rsidTr="00064F08">
        <w:tc>
          <w:tcPr>
            <w:tcW w:w="3103" w:type="dxa"/>
          </w:tcPr>
          <w:p w:rsidR="007418E7" w:rsidRPr="003F5F8A" w:rsidRDefault="007418E7" w:rsidP="00A76F4A">
            <w:pPr>
              <w:pStyle w:val="PargrafodaLista"/>
              <w:numPr>
                <w:ilvl w:val="0"/>
                <w:numId w:val="136"/>
              </w:numPr>
              <w:spacing w:after="0" w:line="240" w:lineRule="auto"/>
              <w:ind w:right="12"/>
              <w:jc w:val="both"/>
              <w:rPr>
                <w:rFonts w:ascii="Times New Roman" w:hAnsi="Times New Roman"/>
                <w:sz w:val="21"/>
                <w:szCs w:val="21"/>
              </w:rPr>
            </w:pPr>
            <w:r w:rsidRPr="003F5F8A">
              <w:rPr>
                <w:rFonts w:ascii="Times New Roman" w:hAnsi="Times New Roman"/>
                <w:sz w:val="21"/>
                <w:szCs w:val="21"/>
              </w:rPr>
              <w:t xml:space="preserve">Acaricides </w:t>
            </w:r>
          </w:p>
        </w:tc>
        <w:tc>
          <w:tcPr>
            <w:tcW w:w="5029" w:type="dxa"/>
          </w:tcPr>
          <w:p w:rsidR="007418E7" w:rsidRPr="003F5F8A" w:rsidRDefault="007418E7" w:rsidP="00A76F4A">
            <w:pPr>
              <w:ind w:right="12"/>
              <w:jc w:val="both"/>
              <w:rPr>
                <w:sz w:val="21"/>
                <w:szCs w:val="21"/>
              </w:rPr>
            </w:pPr>
            <w:r w:rsidRPr="003F5F8A">
              <w:rPr>
                <w:sz w:val="21"/>
                <w:szCs w:val="21"/>
              </w:rPr>
              <w:t>Produit qui contrôle les acariens</w:t>
            </w:r>
          </w:p>
        </w:tc>
      </w:tr>
      <w:tr w:rsidR="007418E7" w:rsidRPr="003F5F8A" w:rsidTr="00064F08">
        <w:tc>
          <w:tcPr>
            <w:tcW w:w="3103" w:type="dxa"/>
          </w:tcPr>
          <w:p w:rsidR="007418E7" w:rsidRPr="003F5F8A" w:rsidRDefault="007418E7" w:rsidP="00A76F4A">
            <w:pPr>
              <w:pStyle w:val="PargrafodaLista"/>
              <w:numPr>
                <w:ilvl w:val="0"/>
                <w:numId w:val="136"/>
              </w:numPr>
              <w:spacing w:after="0" w:line="240" w:lineRule="auto"/>
              <w:ind w:right="12"/>
              <w:jc w:val="both"/>
              <w:rPr>
                <w:rFonts w:ascii="Times New Roman" w:hAnsi="Times New Roman"/>
                <w:sz w:val="21"/>
                <w:szCs w:val="21"/>
              </w:rPr>
            </w:pPr>
            <w:r w:rsidRPr="003F5F8A">
              <w:rPr>
                <w:rFonts w:ascii="Times New Roman" w:hAnsi="Times New Roman"/>
                <w:sz w:val="21"/>
                <w:szCs w:val="21"/>
              </w:rPr>
              <w:t xml:space="preserve">Herbicides </w:t>
            </w:r>
          </w:p>
        </w:tc>
        <w:tc>
          <w:tcPr>
            <w:tcW w:w="5029" w:type="dxa"/>
          </w:tcPr>
          <w:p w:rsidR="007418E7" w:rsidRPr="003F5F8A" w:rsidRDefault="007418E7" w:rsidP="00A76F4A">
            <w:pPr>
              <w:ind w:right="12"/>
              <w:jc w:val="both"/>
              <w:rPr>
                <w:sz w:val="21"/>
                <w:szCs w:val="21"/>
              </w:rPr>
            </w:pPr>
            <w:r w:rsidRPr="003F5F8A">
              <w:rPr>
                <w:sz w:val="21"/>
                <w:szCs w:val="21"/>
              </w:rPr>
              <w:t>Produit qui contrôle les végétaux herbacés.</w:t>
            </w:r>
          </w:p>
        </w:tc>
      </w:tr>
      <w:tr w:rsidR="007418E7" w:rsidRPr="003F5F8A" w:rsidTr="00064F08">
        <w:tc>
          <w:tcPr>
            <w:tcW w:w="3103" w:type="dxa"/>
          </w:tcPr>
          <w:p w:rsidR="007418E7" w:rsidRPr="003F5F8A" w:rsidRDefault="007418E7" w:rsidP="00A76F4A">
            <w:pPr>
              <w:pStyle w:val="PargrafodaLista"/>
              <w:numPr>
                <w:ilvl w:val="0"/>
                <w:numId w:val="136"/>
              </w:numPr>
              <w:spacing w:after="0" w:line="240" w:lineRule="auto"/>
              <w:ind w:right="12"/>
              <w:jc w:val="both"/>
              <w:rPr>
                <w:rFonts w:ascii="Times New Roman" w:hAnsi="Times New Roman"/>
                <w:sz w:val="21"/>
                <w:szCs w:val="21"/>
              </w:rPr>
            </w:pPr>
            <w:r w:rsidRPr="003F5F8A">
              <w:rPr>
                <w:rFonts w:ascii="Times New Roman" w:hAnsi="Times New Roman"/>
                <w:sz w:val="21"/>
                <w:szCs w:val="21"/>
              </w:rPr>
              <w:t xml:space="preserve">Nématicides </w:t>
            </w:r>
          </w:p>
        </w:tc>
        <w:tc>
          <w:tcPr>
            <w:tcW w:w="5029" w:type="dxa"/>
          </w:tcPr>
          <w:p w:rsidR="007418E7" w:rsidRPr="003F5F8A" w:rsidRDefault="007418E7" w:rsidP="00A76F4A">
            <w:pPr>
              <w:ind w:right="12"/>
              <w:jc w:val="both"/>
              <w:rPr>
                <w:sz w:val="21"/>
                <w:szCs w:val="21"/>
              </w:rPr>
            </w:pPr>
            <w:r w:rsidRPr="003F5F8A">
              <w:rPr>
                <w:sz w:val="21"/>
                <w:szCs w:val="21"/>
              </w:rPr>
              <w:t>Produit qui contrôle les nématodes</w:t>
            </w:r>
          </w:p>
        </w:tc>
      </w:tr>
      <w:tr w:rsidR="007418E7" w:rsidRPr="003F5F8A" w:rsidTr="00064F08">
        <w:tc>
          <w:tcPr>
            <w:tcW w:w="3103" w:type="dxa"/>
          </w:tcPr>
          <w:p w:rsidR="007418E7" w:rsidRPr="003F5F8A" w:rsidRDefault="007418E7" w:rsidP="00A76F4A">
            <w:pPr>
              <w:pStyle w:val="PargrafodaLista"/>
              <w:numPr>
                <w:ilvl w:val="0"/>
                <w:numId w:val="136"/>
              </w:numPr>
              <w:spacing w:after="0" w:line="240" w:lineRule="auto"/>
              <w:ind w:right="12"/>
              <w:jc w:val="both"/>
              <w:rPr>
                <w:rFonts w:ascii="Times New Roman" w:hAnsi="Times New Roman"/>
                <w:sz w:val="21"/>
                <w:szCs w:val="21"/>
              </w:rPr>
            </w:pPr>
            <w:r w:rsidRPr="003F5F8A">
              <w:rPr>
                <w:rFonts w:ascii="Times New Roman" w:hAnsi="Times New Roman"/>
                <w:sz w:val="21"/>
                <w:szCs w:val="21"/>
              </w:rPr>
              <w:t xml:space="preserve">Fourmicide </w:t>
            </w:r>
          </w:p>
        </w:tc>
        <w:tc>
          <w:tcPr>
            <w:tcW w:w="5029" w:type="dxa"/>
          </w:tcPr>
          <w:p w:rsidR="007418E7" w:rsidRPr="003F5F8A" w:rsidRDefault="007418E7" w:rsidP="00A76F4A">
            <w:pPr>
              <w:ind w:right="12"/>
              <w:jc w:val="both"/>
              <w:rPr>
                <w:sz w:val="21"/>
                <w:szCs w:val="21"/>
              </w:rPr>
            </w:pPr>
            <w:r w:rsidRPr="003F5F8A">
              <w:rPr>
                <w:sz w:val="21"/>
                <w:szCs w:val="21"/>
              </w:rPr>
              <w:t>Produit qui contrôle les Fourmies</w:t>
            </w:r>
          </w:p>
        </w:tc>
      </w:tr>
    </w:tbl>
    <w:p w:rsidR="007418E7" w:rsidRPr="003F5F8A" w:rsidRDefault="007418E7" w:rsidP="00A76F4A">
      <w:pPr>
        <w:ind w:left="709" w:right="12"/>
        <w:jc w:val="both"/>
        <w:rPr>
          <w:sz w:val="21"/>
          <w:szCs w:val="21"/>
        </w:rPr>
      </w:pPr>
      <w:r w:rsidRPr="003F5F8A">
        <w:rPr>
          <w:sz w:val="21"/>
          <w:szCs w:val="21"/>
        </w:rPr>
        <w:t xml:space="preserve">NB : Parmi les Pesticides, les plus couramment utilisés </w:t>
      </w:r>
      <w:r w:rsidR="00513A6A" w:rsidRPr="003F5F8A">
        <w:rPr>
          <w:sz w:val="21"/>
          <w:szCs w:val="21"/>
        </w:rPr>
        <w:t>sont :</w:t>
      </w:r>
    </w:p>
    <w:tbl>
      <w:tblPr>
        <w:tblStyle w:val="Tabelacomgrelha"/>
        <w:tblW w:w="0" w:type="auto"/>
        <w:jc w:val="center"/>
        <w:tblLook w:val="04A0" w:firstRow="1" w:lastRow="0" w:firstColumn="1" w:lastColumn="0" w:noHBand="0" w:noVBand="1"/>
      </w:tblPr>
      <w:tblGrid>
        <w:gridCol w:w="3118"/>
        <w:gridCol w:w="4531"/>
      </w:tblGrid>
      <w:tr w:rsidR="002D49B6" w:rsidRPr="003F5F8A" w:rsidTr="00064F08">
        <w:trPr>
          <w:jc w:val="center"/>
        </w:trPr>
        <w:tc>
          <w:tcPr>
            <w:tcW w:w="3118" w:type="dxa"/>
            <w:vMerge w:val="restart"/>
          </w:tcPr>
          <w:p w:rsidR="002D49B6" w:rsidRPr="003F5F8A" w:rsidRDefault="002D49B6" w:rsidP="00A76F4A">
            <w:pPr>
              <w:ind w:right="12"/>
              <w:jc w:val="both"/>
              <w:rPr>
                <w:sz w:val="21"/>
                <w:szCs w:val="21"/>
              </w:rPr>
            </w:pPr>
            <w:r w:rsidRPr="003F5F8A">
              <w:rPr>
                <w:sz w:val="21"/>
                <w:szCs w:val="21"/>
              </w:rPr>
              <w:t>Les Fongicides</w:t>
            </w:r>
          </w:p>
        </w:tc>
        <w:tc>
          <w:tcPr>
            <w:tcW w:w="4531" w:type="dxa"/>
          </w:tcPr>
          <w:p w:rsidR="002D49B6" w:rsidRPr="003F5F8A" w:rsidRDefault="002D49B6" w:rsidP="00A76F4A">
            <w:pPr>
              <w:ind w:right="12"/>
              <w:jc w:val="both"/>
              <w:rPr>
                <w:sz w:val="21"/>
                <w:szCs w:val="21"/>
              </w:rPr>
            </w:pPr>
            <w:r w:rsidRPr="003F5F8A">
              <w:rPr>
                <w:sz w:val="21"/>
                <w:szCs w:val="21"/>
              </w:rPr>
              <w:t xml:space="preserve">Fenamiphos 100g/kgWG; </w:t>
            </w:r>
          </w:p>
        </w:tc>
      </w:tr>
      <w:tr w:rsidR="002D49B6" w:rsidRPr="003F5F8A" w:rsidTr="00064F08">
        <w:trPr>
          <w:jc w:val="center"/>
        </w:trPr>
        <w:tc>
          <w:tcPr>
            <w:tcW w:w="3118" w:type="dxa"/>
            <w:vMerge/>
          </w:tcPr>
          <w:p w:rsidR="002D49B6" w:rsidRPr="003F5F8A" w:rsidRDefault="002D49B6" w:rsidP="00A76F4A">
            <w:pPr>
              <w:ind w:right="12"/>
              <w:jc w:val="both"/>
              <w:rPr>
                <w:sz w:val="21"/>
                <w:szCs w:val="21"/>
              </w:rPr>
            </w:pPr>
          </w:p>
        </w:tc>
        <w:tc>
          <w:tcPr>
            <w:tcW w:w="4531" w:type="dxa"/>
          </w:tcPr>
          <w:p w:rsidR="002D49B6" w:rsidRPr="003F5F8A" w:rsidRDefault="002D49B6" w:rsidP="00A76F4A">
            <w:pPr>
              <w:ind w:right="12"/>
              <w:jc w:val="both"/>
              <w:rPr>
                <w:sz w:val="21"/>
                <w:szCs w:val="21"/>
              </w:rPr>
            </w:pPr>
            <w:r w:rsidRPr="003F5F8A">
              <w:rPr>
                <w:sz w:val="21"/>
                <w:szCs w:val="21"/>
              </w:rPr>
              <w:t>Manèbe 80%</w:t>
            </w:r>
          </w:p>
        </w:tc>
      </w:tr>
      <w:tr w:rsidR="006C2B47" w:rsidRPr="003F5F8A" w:rsidTr="00064F08">
        <w:trPr>
          <w:trHeight w:val="292"/>
          <w:jc w:val="center"/>
        </w:trPr>
        <w:tc>
          <w:tcPr>
            <w:tcW w:w="3118" w:type="dxa"/>
            <w:vMerge w:val="restart"/>
          </w:tcPr>
          <w:p w:rsidR="006C2B47" w:rsidRPr="003F5F8A" w:rsidRDefault="006C2B47" w:rsidP="00A76F4A">
            <w:pPr>
              <w:ind w:right="12"/>
              <w:jc w:val="both"/>
              <w:rPr>
                <w:sz w:val="21"/>
                <w:szCs w:val="21"/>
              </w:rPr>
            </w:pPr>
            <w:r w:rsidRPr="003F5F8A">
              <w:rPr>
                <w:sz w:val="21"/>
                <w:szCs w:val="21"/>
              </w:rPr>
              <w:t>Insecticides</w:t>
            </w:r>
          </w:p>
        </w:tc>
        <w:tc>
          <w:tcPr>
            <w:tcW w:w="4531" w:type="dxa"/>
          </w:tcPr>
          <w:p w:rsidR="006C2B47" w:rsidRPr="003F5F8A" w:rsidRDefault="006C2B47" w:rsidP="00A76F4A">
            <w:pPr>
              <w:ind w:right="12"/>
              <w:jc w:val="both"/>
              <w:rPr>
                <w:sz w:val="21"/>
                <w:szCs w:val="21"/>
              </w:rPr>
            </w:pPr>
            <w:r w:rsidRPr="003F5F8A">
              <w:rPr>
                <w:sz w:val="21"/>
                <w:szCs w:val="21"/>
              </w:rPr>
              <w:t>Fénobucarb 500g/l</w:t>
            </w:r>
          </w:p>
        </w:tc>
      </w:tr>
      <w:tr w:rsidR="006C2B47" w:rsidRPr="003F5F8A" w:rsidTr="00064F08">
        <w:trPr>
          <w:jc w:val="center"/>
        </w:trPr>
        <w:tc>
          <w:tcPr>
            <w:tcW w:w="3118" w:type="dxa"/>
            <w:vMerge/>
          </w:tcPr>
          <w:p w:rsidR="006C2B47" w:rsidRPr="003F5F8A" w:rsidRDefault="006C2B47" w:rsidP="00A76F4A">
            <w:pPr>
              <w:ind w:right="12"/>
              <w:jc w:val="both"/>
              <w:rPr>
                <w:sz w:val="21"/>
                <w:szCs w:val="21"/>
              </w:rPr>
            </w:pPr>
          </w:p>
        </w:tc>
        <w:tc>
          <w:tcPr>
            <w:tcW w:w="4531" w:type="dxa"/>
          </w:tcPr>
          <w:p w:rsidR="006C2B47" w:rsidRPr="003F5F8A" w:rsidRDefault="006C2B47" w:rsidP="00A76F4A">
            <w:pPr>
              <w:ind w:right="12"/>
              <w:jc w:val="both"/>
              <w:rPr>
                <w:sz w:val="21"/>
                <w:szCs w:val="21"/>
              </w:rPr>
            </w:pPr>
            <w:r w:rsidRPr="003F5F8A">
              <w:rPr>
                <w:sz w:val="21"/>
                <w:szCs w:val="21"/>
              </w:rPr>
              <w:t>cyperméthrine 12g/l</w:t>
            </w:r>
          </w:p>
        </w:tc>
      </w:tr>
      <w:tr w:rsidR="006C2B47" w:rsidRPr="003F5F8A" w:rsidTr="00064F08">
        <w:trPr>
          <w:jc w:val="center"/>
        </w:trPr>
        <w:tc>
          <w:tcPr>
            <w:tcW w:w="3118" w:type="dxa"/>
            <w:vMerge/>
          </w:tcPr>
          <w:p w:rsidR="006C2B47" w:rsidRPr="003F5F8A" w:rsidRDefault="006C2B47" w:rsidP="00A76F4A">
            <w:pPr>
              <w:ind w:right="12"/>
              <w:jc w:val="both"/>
              <w:rPr>
                <w:sz w:val="21"/>
                <w:szCs w:val="21"/>
              </w:rPr>
            </w:pPr>
          </w:p>
        </w:tc>
        <w:tc>
          <w:tcPr>
            <w:tcW w:w="4531" w:type="dxa"/>
          </w:tcPr>
          <w:p w:rsidR="006C2B47" w:rsidRPr="003F5F8A" w:rsidRDefault="006C2B47" w:rsidP="00A76F4A">
            <w:pPr>
              <w:ind w:right="12"/>
              <w:jc w:val="both"/>
              <w:rPr>
                <w:sz w:val="21"/>
                <w:szCs w:val="21"/>
              </w:rPr>
            </w:pPr>
            <w:r w:rsidRPr="003F5F8A">
              <w:rPr>
                <w:sz w:val="21"/>
                <w:szCs w:val="21"/>
              </w:rPr>
              <w:t>Cyperméthrine 50g/l</w:t>
            </w:r>
          </w:p>
        </w:tc>
      </w:tr>
      <w:tr w:rsidR="006C2B47" w:rsidRPr="003F5F8A" w:rsidTr="00064F08">
        <w:trPr>
          <w:jc w:val="center"/>
        </w:trPr>
        <w:tc>
          <w:tcPr>
            <w:tcW w:w="3118" w:type="dxa"/>
            <w:vMerge/>
          </w:tcPr>
          <w:p w:rsidR="006C2B47" w:rsidRPr="003F5F8A" w:rsidRDefault="006C2B47" w:rsidP="00A76F4A">
            <w:pPr>
              <w:ind w:right="12"/>
              <w:jc w:val="both"/>
              <w:rPr>
                <w:sz w:val="21"/>
                <w:szCs w:val="21"/>
              </w:rPr>
            </w:pPr>
          </w:p>
        </w:tc>
        <w:tc>
          <w:tcPr>
            <w:tcW w:w="4531" w:type="dxa"/>
          </w:tcPr>
          <w:p w:rsidR="006C2B47" w:rsidRPr="003F5F8A" w:rsidRDefault="006C2B47" w:rsidP="00A76F4A">
            <w:pPr>
              <w:ind w:right="12"/>
              <w:jc w:val="both"/>
              <w:rPr>
                <w:sz w:val="21"/>
                <w:szCs w:val="21"/>
              </w:rPr>
            </w:pPr>
            <w:r w:rsidRPr="003F5F8A">
              <w:rPr>
                <w:sz w:val="21"/>
                <w:szCs w:val="21"/>
              </w:rPr>
              <w:t>Cyperméthrine 72g/l</w:t>
            </w:r>
          </w:p>
        </w:tc>
      </w:tr>
      <w:tr w:rsidR="006C2B47" w:rsidRPr="003F5F8A" w:rsidTr="00064F08">
        <w:trPr>
          <w:jc w:val="center"/>
        </w:trPr>
        <w:tc>
          <w:tcPr>
            <w:tcW w:w="3118" w:type="dxa"/>
            <w:vMerge/>
          </w:tcPr>
          <w:p w:rsidR="006C2B47" w:rsidRPr="003F5F8A" w:rsidRDefault="006C2B47" w:rsidP="00A76F4A">
            <w:pPr>
              <w:ind w:right="12"/>
              <w:jc w:val="both"/>
              <w:rPr>
                <w:sz w:val="21"/>
                <w:szCs w:val="21"/>
              </w:rPr>
            </w:pPr>
          </w:p>
        </w:tc>
        <w:tc>
          <w:tcPr>
            <w:tcW w:w="4531" w:type="dxa"/>
          </w:tcPr>
          <w:p w:rsidR="006C2B47" w:rsidRPr="003F5F8A" w:rsidRDefault="006C2B47" w:rsidP="00A76F4A">
            <w:pPr>
              <w:ind w:right="12"/>
              <w:jc w:val="both"/>
              <w:rPr>
                <w:sz w:val="21"/>
                <w:szCs w:val="21"/>
              </w:rPr>
            </w:pPr>
            <w:r w:rsidRPr="003F5F8A">
              <w:rPr>
                <w:sz w:val="21"/>
                <w:szCs w:val="21"/>
              </w:rPr>
              <w:t xml:space="preserve">Cyperméthrine 54g/l   </w:t>
            </w:r>
          </w:p>
        </w:tc>
      </w:tr>
      <w:tr w:rsidR="006C2B47" w:rsidRPr="003F5F8A" w:rsidTr="00064F08">
        <w:trPr>
          <w:jc w:val="center"/>
        </w:trPr>
        <w:tc>
          <w:tcPr>
            <w:tcW w:w="3118" w:type="dxa"/>
            <w:vMerge/>
          </w:tcPr>
          <w:p w:rsidR="006C2B47" w:rsidRPr="003F5F8A" w:rsidRDefault="006C2B47" w:rsidP="00A76F4A">
            <w:pPr>
              <w:ind w:right="12"/>
              <w:jc w:val="both"/>
              <w:rPr>
                <w:sz w:val="21"/>
                <w:szCs w:val="21"/>
              </w:rPr>
            </w:pPr>
          </w:p>
        </w:tc>
        <w:tc>
          <w:tcPr>
            <w:tcW w:w="4531" w:type="dxa"/>
          </w:tcPr>
          <w:p w:rsidR="006C2B47" w:rsidRPr="003F5F8A" w:rsidRDefault="006C2B47" w:rsidP="00A76F4A">
            <w:pPr>
              <w:ind w:right="12"/>
              <w:jc w:val="both"/>
              <w:rPr>
                <w:sz w:val="21"/>
                <w:szCs w:val="21"/>
              </w:rPr>
            </w:pPr>
            <w:r w:rsidRPr="003F5F8A">
              <w:rPr>
                <w:sz w:val="21"/>
                <w:szCs w:val="21"/>
              </w:rPr>
              <w:t>Chlorpyriphos-Ethyl 600g/l</w:t>
            </w:r>
          </w:p>
        </w:tc>
      </w:tr>
      <w:tr w:rsidR="003D5FBE" w:rsidRPr="003F5F8A" w:rsidTr="00064F08">
        <w:trPr>
          <w:jc w:val="center"/>
        </w:trPr>
        <w:tc>
          <w:tcPr>
            <w:tcW w:w="3118" w:type="dxa"/>
            <w:vMerge w:val="restart"/>
          </w:tcPr>
          <w:p w:rsidR="003D5FBE" w:rsidRPr="003F5F8A" w:rsidRDefault="003D5FBE" w:rsidP="00A76F4A">
            <w:pPr>
              <w:ind w:right="12"/>
              <w:jc w:val="both"/>
              <w:rPr>
                <w:sz w:val="21"/>
                <w:szCs w:val="21"/>
              </w:rPr>
            </w:pPr>
            <w:r w:rsidRPr="003F5F8A">
              <w:rPr>
                <w:sz w:val="21"/>
                <w:szCs w:val="21"/>
              </w:rPr>
              <w:t>Herbicides</w:t>
            </w:r>
          </w:p>
        </w:tc>
        <w:tc>
          <w:tcPr>
            <w:tcW w:w="4531" w:type="dxa"/>
          </w:tcPr>
          <w:p w:rsidR="003D5FBE" w:rsidRPr="003F5F8A" w:rsidRDefault="003D5FBE" w:rsidP="00A76F4A">
            <w:pPr>
              <w:ind w:right="12"/>
              <w:jc w:val="both"/>
              <w:rPr>
                <w:sz w:val="21"/>
                <w:szCs w:val="21"/>
              </w:rPr>
            </w:pPr>
            <w:r w:rsidRPr="003F5F8A">
              <w:rPr>
                <w:sz w:val="21"/>
                <w:szCs w:val="21"/>
              </w:rPr>
              <w:t>Diuron 800g/l</w:t>
            </w:r>
          </w:p>
        </w:tc>
      </w:tr>
      <w:tr w:rsidR="003D5FBE" w:rsidRPr="003F5F8A" w:rsidTr="00064F08">
        <w:trPr>
          <w:jc w:val="center"/>
        </w:trPr>
        <w:tc>
          <w:tcPr>
            <w:tcW w:w="3118" w:type="dxa"/>
            <w:vMerge/>
          </w:tcPr>
          <w:p w:rsidR="003D5FBE" w:rsidRPr="003F5F8A" w:rsidRDefault="003D5FBE" w:rsidP="00A76F4A">
            <w:pPr>
              <w:ind w:right="12"/>
              <w:jc w:val="both"/>
              <w:rPr>
                <w:sz w:val="21"/>
                <w:szCs w:val="21"/>
              </w:rPr>
            </w:pPr>
          </w:p>
        </w:tc>
        <w:tc>
          <w:tcPr>
            <w:tcW w:w="4531" w:type="dxa"/>
          </w:tcPr>
          <w:p w:rsidR="003D5FBE" w:rsidRPr="003F5F8A" w:rsidRDefault="003D5FBE" w:rsidP="00A76F4A">
            <w:pPr>
              <w:ind w:right="12"/>
              <w:jc w:val="both"/>
              <w:rPr>
                <w:sz w:val="21"/>
                <w:szCs w:val="21"/>
              </w:rPr>
            </w:pPr>
            <w:r w:rsidRPr="003F5F8A">
              <w:rPr>
                <w:sz w:val="21"/>
                <w:szCs w:val="21"/>
              </w:rPr>
              <w:t>Diuron 800g/kg</w:t>
            </w:r>
          </w:p>
        </w:tc>
      </w:tr>
      <w:tr w:rsidR="003D5FBE" w:rsidRPr="003F5F8A" w:rsidTr="00064F08">
        <w:trPr>
          <w:jc w:val="center"/>
        </w:trPr>
        <w:tc>
          <w:tcPr>
            <w:tcW w:w="3118" w:type="dxa"/>
            <w:vMerge/>
          </w:tcPr>
          <w:p w:rsidR="003D5FBE" w:rsidRPr="003F5F8A" w:rsidRDefault="003D5FBE" w:rsidP="00A76F4A">
            <w:pPr>
              <w:ind w:right="12"/>
              <w:jc w:val="both"/>
              <w:rPr>
                <w:sz w:val="21"/>
                <w:szCs w:val="21"/>
              </w:rPr>
            </w:pPr>
          </w:p>
        </w:tc>
        <w:tc>
          <w:tcPr>
            <w:tcW w:w="4531" w:type="dxa"/>
          </w:tcPr>
          <w:p w:rsidR="003D5FBE" w:rsidRPr="003F5F8A" w:rsidRDefault="003D5FBE" w:rsidP="00A76F4A">
            <w:pPr>
              <w:ind w:right="12"/>
              <w:jc w:val="both"/>
              <w:rPr>
                <w:sz w:val="21"/>
                <w:szCs w:val="21"/>
              </w:rPr>
            </w:pPr>
            <w:r w:rsidRPr="003F5F8A">
              <w:rPr>
                <w:sz w:val="21"/>
                <w:szCs w:val="21"/>
              </w:rPr>
              <w:t>Glyphosate 680g/l</w:t>
            </w:r>
          </w:p>
        </w:tc>
      </w:tr>
      <w:tr w:rsidR="003D5FBE" w:rsidRPr="003F5F8A" w:rsidTr="00064F08">
        <w:trPr>
          <w:jc w:val="center"/>
        </w:trPr>
        <w:tc>
          <w:tcPr>
            <w:tcW w:w="3118" w:type="dxa"/>
            <w:vMerge/>
          </w:tcPr>
          <w:p w:rsidR="003D5FBE" w:rsidRPr="003F5F8A" w:rsidRDefault="003D5FBE" w:rsidP="00A76F4A">
            <w:pPr>
              <w:ind w:right="12"/>
              <w:jc w:val="both"/>
              <w:rPr>
                <w:sz w:val="21"/>
                <w:szCs w:val="21"/>
              </w:rPr>
            </w:pPr>
          </w:p>
        </w:tc>
        <w:tc>
          <w:tcPr>
            <w:tcW w:w="4531" w:type="dxa"/>
          </w:tcPr>
          <w:p w:rsidR="003D5FBE" w:rsidRPr="003F5F8A" w:rsidRDefault="003D5FBE" w:rsidP="00A76F4A">
            <w:pPr>
              <w:ind w:right="12"/>
              <w:jc w:val="both"/>
              <w:rPr>
                <w:sz w:val="21"/>
                <w:szCs w:val="21"/>
              </w:rPr>
            </w:pPr>
            <w:r w:rsidRPr="003F5F8A">
              <w:rPr>
                <w:sz w:val="21"/>
                <w:szCs w:val="21"/>
              </w:rPr>
              <w:t>Glyphosate 450g/l</w:t>
            </w:r>
          </w:p>
        </w:tc>
      </w:tr>
      <w:tr w:rsidR="003D5FBE" w:rsidRPr="003F5F8A" w:rsidTr="00064F08">
        <w:trPr>
          <w:jc w:val="center"/>
        </w:trPr>
        <w:tc>
          <w:tcPr>
            <w:tcW w:w="3118" w:type="dxa"/>
            <w:vMerge/>
          </w:tcPr>
          <w:p w:rsidR="003D5FBE" w:rsidRPr="003F5F8A" w:rsidRDefault="003D5FBE" w:rsidP="00A76F4A">
            <w:pPr>
              <w:ind w:right="12"/>
              <w:jc w:val="both"/>
              <w:rPr>
                <w:sz w:val="21"/>
                <w:szCs w:val="21"/>
              </w:rPr>
            </w:pPr>
          </w:p>
        </w:tc>
        <w:tc>
          <w:tcPr>
            <w:tcW w:w="4531" w:type="dxa"/>
          </w:tcPr>
          <w:p w:rsidR="003D5FBE" w:rsidRPr="003F5F8A" w:rsidRDefault="003D5FBE" w:rsidP="00A76F4A">
            <w:pPr>
              <w:ind w:right="12"/>
              <w:jc w:val="both"/>
              <w:rPr>
                <w:sz w:val="21"/>
                <w:szCs w:val="21"/>
              </w:rPr>
            </w:pPr>
            <w:r w:rsidRPr="003F5F8A">
              <w:rPr>
                <w:sz w:val="21"/>
                <w:szCs w:val="21"/>
              </w:rPr>
              <w:t>Atrazine 900g/kg</w:t>
            </w:r>
          </w:p>
        </w:tc>
      </w:tr>
      <w:tr w:rsidR="003D5FBE" w:rsidRPr="003F5F8A" w:rsidTr="00064F08">
        <w:trPr>
          <w:jc w:val="center"/>
        </w:trPr>
        <w:tc>
          <w:tcPr>
            <w:tcW w:w="3118" w:type="dxa"/>
            <w:vMerge/>
          </w:tcPr>
          <w:p w:rsidR="003D5FBE" w:rsidRPr="003F5F8A" w:rsidRDefault="003D5FBE" w:rsidP="00A76F4A">
            <w:pPr>
              <w:ind w:right="12"/>
              <w:jc w:val="both"/>
              <w:rPr>
                <w:sz w:val="21"/>
                <w:szCs w:val="21"/>
              </w:rPr>
            </w:pPr>
          </w:p>
        </w:tc>
        <w:tc>
          <w:tcPr>
            <w:tcW w:w="4531" w:type="dxa"/>
          </w:tcPr>
          <w:p w:rsidR="003D5FBE" w:rsidRPr="003F5F8A" w:rsidRDefault="003D5FBE" w:rsidP="00A76F4A">
            <w:pPr>
              <w:ind w:right="12"/>
              <w:jc w:val="both"/>
              <w:rPr>
                <w:sz w:val="21"/>
                <w:szCs w:val="21"/>
              </w:rPr>
            </w:pPr>
            <w:r w:rsidRPr="003F5F8A">
              <w:rPr>
                <w:sz w:val="21"/>
                <w:szCs w:val="21"/>
              </w:rPr>
              <w:t>Pendiméthaline 500g/l</w:t>
            </w:r>
          </w:p>
        </w:tc>
      </w:tr>
    </w:tbl>
    <w:p w:rsidR="00373181" w:rsidRPr="003F5F8A" w:rsidRDefault="00373181" w:rsidP="00A76F4A">
      <w:pPr>
        <w:ind w:right="12"/>
        <w:jc w:val="both"/>
        <w:rPr>
          <w:sz w:val="21"/>
          <w:szCs w:val="21"/>
        </w:rPr>
      </w:pPr>
    </w:p>
    <w:p w:rsidR="0004224F" w:rsidRPr="00D47C37" w:rsidRDefault="00B600CF" w:rsidP="00A76F4A">
      <w:pPr>
        <w:keepNext/>
        <w:spacing w:line="276" w:lineRule="auto"/>
        <w:ind w:right="12"/>
        <w:jc w:val="both"/>
        <w:outlineLvl w:val="1"/>
        <w:rPr>
          <w:b/>
        </w:rPr>
      </w:pPr>
      <w:r w:rsidRPr="003F5F8A">
        <w:rPr>
          <w:b/>
          <w:sz w:val="21"/>
          <w:szCs w:val="21"/>
        </w:rPr>
        <w:tab/>
      </w:r>
      <w:bookmarkStart w:id="588" w:name="_Toc67508598"/>
      <w:bookmarkStart w:id="589" w:name="_Toc69918788"/>
      <w:bookmarkStart w:id="590" w:name="_Toc73459833"/>
      <w:bookmarkStart w:id="591" w:name="_Toc75432385"/>
      <w:r w:rsidR="0004224F" w:rsidRPr="00D47C37">
        <w:rPr>
          <w:b/>
        </w:rPr>
        <w:t>Situation phytosanitaire</w:t>
      </w:r>
      <w:bookmarkEnd w:id="588"/>
      <w:bookmarkEnd w:id="589"/>
      <w:bookmarkEnd w:id="590"/>
      <w:bookmarkEnd w:id="591"/>
      <w:r w:rsidR="0004224F" w:rsidRPr="00D47C37">
        <w:rPr>
          <w:b/>
        </w:rPr>
        <w:t xml:space="preserve"> </w:t>
      </w:r>
    </w:p>
    <w:p w:rsidR="0004224F" w:rsidRPr="003F5F8A" w:rsidRDefault="0004224F" w:rsidP="00A76F4A">
      <w:pPr>
        <w:pStyle w:val="Default"/>
        <w:ind w:right="12"/>
        <w:rPr>
          <w:rFonts w:ascii="Cambria" w:hAnsi="Cambria"/>
          <w:bCs/>
          <w:sz w:val="21"/>
          <w:szCs w:val="21"/>
        </w:rPr>
      </w:pPr>
    </w:p>
    <w:p w:rsidR="0004224F" w:rsidRPr="006D0904" w:rsidRDefault="0004224F" w:rsidP="00A76F4A">
      <w:pPr>
        <w:autoSpaceDE w:val="0"/>
        <w:autoSpaceDN w:val="0"/>
        <w:adjustRightInd w:val="0"/>
        <w:ind w:right="12"/>
        <w:jc w:val="both"/>
      </w:pPr>
      <w:r w:rsidRPr="006D0904">
        <w:t xml:space="preserve">Malgré la présence des Sautereaux locaux et Nymphulas observés en peu partout dans toutes les régions du pays. Pour le moment la situation phytosanitaire n’a pas connu beaucoup de perturbations. </w:t>
      </w:r>
    </w:p>
    <w:p w:rsidR="0004224F" w:rsidRPr="006D0904" w:rsidRDefault="0004224F" w:rsidP="00A76F4A">
      <w:pPr>
        <w:autoSpaceDE w:val="0"/>
        <w:autoSpaceDN w:val="0"/>
        <w:adjustRightInd w:val="0"/>
        <w:ind w:right="12"/>
        <w:jc w:val="both"/>
      </w:pPr>
      <w:r w:rsidRPr="006D0904">
        <w:t>Il est disponible au niveau de la DSPV 1039 litres produits phytosanitaires au niveau national afin d’atteindre la capacité d’intervention au plan national.</w:t>
      </w:r>
    </w:p>
    <w:p w:rsidR="0004224F" w:rsidRPr="003F5F8A" w:rsidRDefault="00AD7BEE" w:rsidP="00A76F4A">
      <w:pPr>
        <w:ind w:left="426" w:right="12"/>
        <w:jc w:val="center"/>
        <w:rPr>
          <w:b/>
          <w:sz w:val="21"/>
          <w:szCs w:val="21"/>
        </w:rPr>
      </w:pPr>
      <w:r w:rsidRPr="003F5F8A">
        <w:rPr>
          <w:b/>
          <w:sz w:val="21"/>
          <w:szCs w:val="21"/>
        </w:rPr>
        <w:t xml:space="preserve">Tableau </w:t>
      </w:r>
      <w:r w:rsidR="0004224F" w:rsidRPr="003F5F8A">
        <w:rPr>
          <w:b/>
          <w:sz w:val="21"/>
          <w:szCs w:val="21"/>
        </w:rPr>
        <w:t>: Distribuition d’inseticides par régions en 2020</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355"/>
        <w:gridCol w:w="1418"/>
        <w:gridCol w:w="2267"/>
        <w:gridCol w:w="1417"/>
        <w:gridCol w:w="846"/>
      </w:tblGrid>
      <w:tr w:rsidR="007264BD" w:rsidRPr="003F5F8A" w:rsidTr="0014229F">
        <w:trPr>
          <w:trHeight w:val="264"/>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Regiõe</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Inseticida</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Quant. (L)</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Inseticida</w:t>
            </w:r>
          </w:p>
        </w:tc>
        <w:tc>
          <w:tcPr>
            <w:tcW w:w="1417" w:type="dxa"/>
            <w:tcBorders>
              <w:top w:val="single" w:sz="4" w:space="0" w:color="auto"/>
              <w:left w:val="single" w:sz="4" w:space="0" w:color="auto"/>
              <w:bottom w:val="single" w:sz="4" w:space="0" w:color="auto"/>
              <w:right w:val="single" w:sz="4" w:space="0" w:color="auto"/>
            </w:tcBorders>
          </w:tcPr>
          <w:p w:rsidR="0004224F" w:rsidRPr="003F5F8A" w:rsidRDefault="0004224F" w:rsidP="00A76F4A">
            <w:pPr>
              <w:pStyle w:val="SemEspaamento"/>
              <w:ind w:right="12"/>
              <w:jc w:val="center"/>
              <w:rPr>
                <w:b/>
                <w:sz w:val="21"/>
                <w:szCs w:val="21"/>
                <w:lang w:val="pt-PT"/>
              </w:rPr>
            </w:pPr>
            <w:r w:rsidRPr="003F5F8A">
              <w:rPr>
                <w:b/>
                <w:sz w:val="21"/>
                <w:szCs w:val="21"/>
                <w:lang w:val="pt-PT"/>
              </w:rPr>
              <w:t>Quant. (L)</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b/>
                <w:sz w:val="21"/>
                <w:szCs w:val="21"/>
                <w:lang w:val="pt-PT"/>
              </w:rPr>
            </w:pPr>
            <w:r w:rsidRPr="003F5F8A">
              <w:rPr>
                <w:b/>
                <w:sz w:val="21"/>
                <w:szCs w:val="21"/>
                <w:lang w:val="pt-PT"/>
              </w:rPr>
              <w:t>Total (L)</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Biombo</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40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20</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60</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Cacheu</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80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10</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90</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Oio</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80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10</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90</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Quinara</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50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10</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60</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Bafatá</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100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10</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110</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Gabu</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90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10</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100</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Tombali</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100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20</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120</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Bolama/Bijagós</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50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9</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59</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SAB</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40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sz w:val="21"/>
                <w:szCs w:val="21"/>
                <w:lang w:val="pt-PT"/>
              </w:rPr>
            </w:pPr>
            <w:r w:rsidRPr="003F5F8A">
              <w:rPr>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10</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sz w:val="21"/>
                <w:szCs w:val="21"/>
                <w:lang w:val="pt-PT"/>
              </w:rPr>
            </w:pPr>
            <w:r w:rsidRPr="003F5F8A">
              <w:rPr>
                <w:sz w:val="21"/>
                <w:szCs w:val="21"/>
                <w:lang w:val="pt-PT"/>
              </w:rPr>
              <w:t>50</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b/>
                <w:sz w:val="21"/>
                <w:szCs w:val="21"/>
                <w:lang w:val="pt-PT"/>
              </w:rPr>
            </w:pPr>
            <w:r w:rsidRPr="003F5F8A">
              <w:rPr>
                <w:b/>
                <w:sz w:val="21"/>
                <w:szCs w:val="21"/>
                <w:lang w:val="pt-PT"/>
              </w:rPr>
              <w:t>TOTAL GERAL</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b/>
                <w:sz w:val="21"/>
                <w:szCs w:val="21"/>
                <w:lang w:val="pt-PT"/>
              </w:rPr>
            </w:pPr>
            <w:r w:rsidRPr="003F5F8A">
              <w:rPr>
                <w:b/>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630</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b/>
                <w:sz w:val="21"/>
                <w:szCs w:val="21"/>
                <w:lang w:val="pt-PT"/>
              </w:rPr>
            </w:pPr>
            <w:r w:rsidRPr="003F5F8A">
              <w:rPr>
                <w:b/>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109</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739</w:t>
            </w:r>
          </w:p>
        </w:tc>
      </w:tr>
      <w:tr w:rsidR="007264BD" w:rsidRPr="003F5F8A" w:rsidTr="0014229F">
        <w:trPr>
          <w:jc w:val="center"/>
        </w:trPr>
        <w:tc>
          <w:tcPr>
            <w:tcW w:w="1901"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b/>
                <w:sz w:val="21"/>
                <w:szCs w:val="21"/>
              </w:rPr>
            </w:pPr>
            <w:r w:rsidRPr="003F5F8A">
              <w:rPr>
                <w:b/>
                <w:sz w:val="21"/>
                <w:szCs w:val="21"/>
              </w:rPr>
              <w:t>STOCK à la DSPV</w:t>
            </w:r>
          </w:p>
        </w:tc>
        <w:tc>
          <w:tcPr>
            <w:tcW w:w="2355"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b/>
                <w:sz w:val="21"/>
                <w:szCs w:val="21"/>
                <w:lang w:val="pt-PT"/>
              </w:rPr>
            </w:pPr>
            <w:r w:rsidRPr="003F5F8A">
              <w:rPr>
                <w:b/>
                <w:sz w:val="21"/>
                <w:szCs w:val="21"/>
                <w:lang w:val="pt-PT"/>
              </w:rPr>
              <w:t>Clorsban 480% EC</w:t>
            </w:r>
          </w:p>
        </w:tc>
        <w:tc>
          <w:tcPr>
            <w:tcW w:w="1418"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219</w:t>
            </w:r>
          </w:p>
        </w:tc>
        <w:tc>
          <w:tcPr>
            <w:tcW w:w="226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rPr>
                <w:b/>
                <w:sz w:val="21"/>
                <w:szCs w:val="21"/>
                <w:lang w:val="pt-PT"/>
              </w:rPr>
            </w:pPr>
            <w:r w:rsidRPr="003F5F8A">
              <w:rPr>
                <w:b/>
                <w:sz w:val="21"/>
                <w:szCs w:val="21"/>
                <w:lang w:val="pt-PT"/>
              </w:rPr>
              <w:t>Deltamet 12.5% EC</w:t>
            </w:r>
          </w:p>
        </w:tc>
        <w:tc>
          <w:tcPr>
            <w:tcW w:w="1417"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81</w:t>
            </w:r>
          </w:p>
        </w:tc>
        <w:tc>
          <w:tcPr>
            <w:tcW w:w="846" w:type="dxa"/>
            <w:tcBorders>
              <w:top w:val="single" w:sz="4" w:space="0" w:color="auto"/>
              <w:left w:val="single" w:sz="4" w:space="0" w:color="auto"/>
              <w:bottom w:val="single" w:sz="4" w:space="0" w:color="auto"/>
              <w:right w:val="single" w:sz="4" w:space="0" w:color="auto"/>
            </w:tcBorders>
            <w:hideMark/>
          </w:tcPr>
          <w:p w:rsidR="0004224F" w:rsidRPr="003F5F8A" w:rsidRDefault="0004224F" w:rsidP="00A76F4A">
            <w:pPr>
              <w:pStyle w:val="SemEspaamento"/>
              <w:ind w:right="12"/>
              <w:jc w:val="center"/>
              <w:rPr>
                <w:b/>
                <w:sz w:val="21"/>
                <w:szCs w:val="21"/>
                <w:lang w:val="pt-PT"/>
              </w:rPr>
            </w:pPr>
            <w:r w:rsidRPr="003F5F8A">
              <w:rPr>
                <w:b/>
                <w:sz w:val="21"/>
                <w:szCs w:val="21"/>
                <w:lang w:val="pt-PT"/>
              </w:rPr>
              <w:t>300</w:t>
            </w:r>
          </w:p>
        </w:tc>
      </w:tr>
    </w:tbl>
    <w:p w:rsidR="00B600CF" w:rsidRPr="003F5F8A" w:rsidRDefault="00B600CF" w:rsidP="00A76F4A">
      <w:pPr>
        <w:tabs>
          <w:tab w:val="left" w:pos="1365"/>
        </w:tabs>
        <w:ind w:right="12"/>
        <w:jc w:val="both"/>
        <w:rPr>
          <w:sz w:val="21"/>
          <w:szCs w:val="21"/>
        </w:rPr>
      </w:pPr>
      <w:r w:rsidRPr="003F5F8A">
        <w:rPr>
          <w:sz w:val="21"/>
          <w:szCs w:val="21"/>
        </w:rPr>
        <w:t xml:space="preserve"> </w:t>
      </w:r>
    </w:p>
    <w:p w:rsidR="00B600CF" w:rsidRPr="006D0904" w:rsidRDefault="0060656E" w:rsidP="00A76F4A">
      <w:pPr>
        <w:autoSpaceDE w:val="0"/>
        <w:autoSpaceDN w:val="0"/>
        <w:adjustRightInd w:val="0"/>
        <w:ind w:right="12"/>
        <w:jc w:val="both"/>
      </w:pPr>
      <w:r w:rsidRPr="006D0904">
        <w:t xml:space="preserve">Ainsi, comme la liste des </w:t>
      </w:r>
      <w:r w:rsidR="00546E61" w:rsidRPr="006D0904">
        <w:t>pesticides</w:t>
      </w:r>
      <w:r w:rsidR="0055665E" w:rsidRPr="006D0904">
        <w:t xml:space="preserve"> sont nombreuse et </w:t>
      </w:r>
      <w:r w:rsidR="00546E61" w:rsidRPr="006D0904">
        <w:t>volumineuse</w:t>
      </w:r>
      <w:r w:rsidR="0055665E" w:rsidRPr="006D0904">
        <w:t>, ce lien ci-dessous permet d’</w:t>
      </w:r>
      <w:r w:rsidR="00546E61" w:rsidRPr="006D0904">
        <w:t>accéder</w:t>
      </w:r>
      <w:r w:rsidR="0055665E" w:rsidRPr="006D0904">
        <w:t xml:space="preserve"> à l’</w:t>
      </w:r>
      <w:r w:rsidR="00546E61" w:rsidRPr="006D0904">
        <w:t>ensemble</w:t>
      </w:r>
      <w:r w:rsidR="00E561B5" w:rsidRPr="006D0904">
        <w:t xml:space="preserve"> des données et les </w:t>
      </w:r>
      <w:r w:rsidR="00546E61" w:rsidRPr="006D0904">
        <w:t>propriétés</w:t>
      </w:r>
      <w:r w:rsidR="00E561B5" w:rsidRPr="006D0904">
        <w:t xml:space="preserve"> chimiques concernant ces pesticides autorise</w:t>
      </w:r>
      <w:r w:rsidR="00252F5A" w:rsidRPr="006D0904">
        <w:t xml:space="preserve"> et respectant les normes internationales</w:t>
      </w:r>
      <w:r w:rsidR="00E561B5" w:rsidRPr="006D0904">
        <w:t>.</w:t>
      </w:r>
    </w:p>
    <w:p w:rsidR="00546E61" w:rsidRPr="006D0904" w:rsidRDefault="00546E61" w:rsidP="00A76F4A">
      <w:pPr>
        <w:autoSpaceDE w:val="0"/>
        <w:autoSpaceDN w:val="0"/>
        <w:adjustRightInd w:val="0"/>
        <w:ind w:right="12"/>
        <w:jc w:val="both"/>
      </w:pPr>
    </w:p>
    <w:p w:rsidR="00554B0F" w:rsidRPr="006D0904" w:rsidRDefault="00554B0F" w:rsidP="00A76F4A">
      <w:pPr>
        <w:autoSpaceDE w:val="0"/>
        <w:autoSpaceDN w:val="0"/>
        <w:adjustRightInd w:val="0"/>
        <w:ind w:right="12"/>
        <w:jc w:val="both"/>
      </w:pPr>
      <w:r w:rsidRPr="006D0904">
        <w:t>http://www.insah.org/doc/liste_globale_pesticides_autorises_par_csp_version_mai-2018.pdf</w:t>
      </w:r>
    </w:p>
    <w:p w:rsidR="00E561B5" w:rsidRPr="003F5F8A" w:rsidRDefault="00E561B5" w:rsidP="00A76F4A">
      <w:pPr>
        <w:ind w:right="12"/>
        <w:jc w:val="both"/>
        <w:rPr>
          <w:sz w:val="21"/>
          <w:szCs w:val="21"/>
        </w:rPr>
      </w:pPr>
    </w:p>
    <w:p w:rsidR="007418E7" w:rsidRPr="00D47C37" w:rsidRDefault="00034AF3" w:rsidP="00A76F4A">
      <w:pPr>
        <w:pStyle w:val="PargrafodaLista"/>
        <w:numPr>
          <w:ilvl w:val="0"/>
          <w:numId w:val="143"/>
        </w:numPr>
        <w:ind w:right="12"/>
        <w:jc w:val="both"/>
        <w:rPr>
          <w:rFonts w:ascii="Times New Roman" w:hAnsi="Times New Roman"/>
          <w:b/>
          <w:sz w:val="24"/>
          <w:szCs w:val="24"/>
        </w:rPr>
      </w:pPr>
      <w:r w:rsidRPr="00D47C37">
        <w:rPr>
          <w:rFonts w:ascii="Times New Roman" w:hAnsi="Times New Roman"/>
          <w:b/>
          <w:sz w:val="24"/>
          <w:szCs w:val="24"/>
        </w:rPr>
        <w:t>Stratégies développées de lutte contre les pestes</w:t>
      </w:r>
    </w:p>
    <w:p w:rsidR="007418E7" w:rsidRPr="007F02AC" w:rsidRDefault="007418E7" w:rsidP="00A76F4A">
      <w:pPr>
        <w:autoSpaceDE w:val="0"/>
        <w:autoSpaceDN w:val="0"/>
        <w:adjustRightInd w:val="0"/>
        <w:ind w:right="12"/>
        <w:jc w:val="both"/>
      </w:pPr>
      <w:r w:rsidRPr="007F02AC">
        <w:t>Lutte Biologique : consiste à faire l’Elevage des autres insectes qui auront pour proies, les organismes nuisibles ou indésirables (les autres insectes).</w:t>
      </w:r>
    </w:p>
    <w:p w:rsidR="007418E7" w:rsidRPr="007F02AC" w:rsidRDefault="007418E7" w:rsidP="00A76F4A">
      <w:pPr>
        <w:autoSpaceDE w:val="0"/>
        <w:autoSpaceDN w:val="0"/>
        <w:adjustRightInd w:val="0"/>
        <w:ind w:right="12"/>
        <w:jc w:val="both"/>
      </w:pPr>
      <w:r w:rsidRPr="007F02AC">
        <w:t xml:space="preserve">Lutte biotechnique :  </w:t>
      </w:r>
      <w:r w:rsidR="00513A6A" w:rsidRPr="007F02AC">
        <w:t>consiste à la création des virus destinés à lutter contre la prolifération ou la</w:t>
      </w:r>
      <w:r w:rsidRPr="007F02AC">
        <w:t xml:space="preserve"> multiplication du reste des nuisibles.</w:t>
      </w:r>
    </w:p>
    <w:p w:rsidR="007418E7" w:rsidRPr="007F02AC" w:rsidRDefault="007418E7" w:rsidP="00A76F4A">
      <w:pPr>
        <w:autoSpaceDE w:val="0"/>
        <w:autoSpaceDN w:val="0"/>
        <w:adjustRightInd w:val="0"/>
        <w:ind w:right="12"/>
        <w:jc w:val="both"/>
      </w:pPr>
      <w:r w:rsidRPr="007F02AC">
        <w:t xml:space="preserve">Lutte intégrée : la lutte intégrée est une stratégie en cours de promotion pour la lutte contre les pestes. </w:t>
      </w:r>
    </w:p>
    <w:p w:rsidR="007418E7" w:rsidRPr="007F02AC" w:rsidRDefault="007418E7" w:rsidP="00A76F4A">
      <w:pPr>
        <w:autoSpaceDE w:val="0"/>
        <w:autoSpaceDN w:val="0"/>
        <w:adjustRightInd w:val="0"/>
        <w:ind w:right="12"/>
        <w:jc w:val="both"/>
      </w:pPr>
      <w:r w:rsidRPr="007F02AC">
        <w:t>La lutte intégrée concerne aussi l’utilisation des Organismes Génétiquement Modifiés (OGM) ou des espèces beaucoup plus robustes et résistantes aux parasites ou autres organismes nuisibles. Son utilisation n’est pas courante malgré les efforts entrepris bien.</w:t>
      </w:r>
    </w:p>
    <w:p w:rsidR="007418E7" w:rsidRPr="007F02AC" w:rsidRDefault="007418E7" w:rsidP="00A76F4A">
      <w:pPr>
        <w:autoSpaceDE w:val="0"/>
        <w:autoSpaceDN w:val="0"/>
        <w:adjustRightInd w:val="0"/>
        <w:ind w:right="12"/>
        <w:jc w:val="both"/>
      </w:pPr>
      <w:r w:rsidRPr="007F02AC">
        <w:t xml:space="preserve">Lutte naturelle : consiste à utiliser la technique de l’assolement pour échapper aux indésirables tout en </w:t>
      </w:r>
      <w:r w:rsidR="00513A6A" w:rsidRPr="007F02AC">
        <w:t>détruisant au feu les anciens sites larvaires (anciens champs ou parcelles contaminés ou infestés</w:t>
      </w:r>
      <w:r w:rsidRPr="007F02AC">
        <w:t xml:space="preserve"> précédemment par les nuisibles).</w:t>
      </w:r>
    </w:p>
    <w:p w:rsidR="00083B9D" w:rsidRPr="00D47C37" w:rsidRDefault="00083B9D" w:rsidP="00A76F4A">
      <w:pPr>
        <w:ind w:right="12"/>
        <w:jc w:val="both"/>
      </w:pPr>
    </w:p>
    <w:p w:rsidR="00083B9D" w:rsidRPr="00D47C37" w:rsidRDefault="00083B9D" w:rsidP="00A76F4A">
      <w:pPr>
        <w:pStyle w:val="PargrafodaLista"/>
        <w:numPr>
          <w:ilvl w:val="0"/>
          <w:numId w:val="143"/>
        </w:numPr>
        <w:ind w:right="12"/>
        <w:jc w:val="both"/>
        <w:rPr>
          <w:rFonts w:ascii="Times New Roman" w:hAnsi="Times New Roman"/>
          <w:b/>
          <w:sz w:val="24"/>
          <w:szCs w:val="24"/>
        </w:rPr>
      </w:pPr>
      <w:r w:rsidRPr="00D47C37">
        <w:rPr>
          <w:rFonts w:ascii="Times New Roman" w:hAnsi="Times New Roman"/>
          <w:b/>
          <w:sz w:val="24"/>
          <w:szCs w:val="24"/>
        </w:rPr>
        <w:t>Pratiques culturelles et sanitaires des cultures ou les pratiques que le plan de lutte contre les parasites</w:t>
      </w:r>
    </w:p>
    <w:p w:rsidR="007418E7" w:rsidRPr="007F02AC" w:rsidRDefault="007418E7" w:rsidP="00A76F4A">
      <w:pPr>
        <w:autoSpaceDE w:val="0"/>
        <w:autoSpaceDN w:val="0"/>
        <w:adjustRightInd w:val="0"/>
        <w:ind w:right="12"/>
        <w:jc w:val="both"/>
      </w:pPr>
      <w:r w:rsidRPr="007F02AC">
        <w:lastRenderedPageBreak/>
        <w:t xml:space="preserve">Plusieurs méthodes sont utilisées en lutte intégrée notamment : les techniques culturales ; le décalage des dates de semis ; le sarclage précoce des mauvaises herbes ; la prospection d’oothèques en saison sèche ;  l’utilisation  des  variétés  résistantes ;  la  lutte  biologique  (champignon,  insectes  parasites) ; utilisation de produits non nocifs comme les pyréthrinoides ; le développement de paquet technique en matière de méthodes alternatives à la lutte chimique par l’élaboration de fiches techniques appropriées. </w:t>
      </w:r>
    </w:p>
    <w:p w:rsidR="00083B9D" w:rsidRPr="007F02AC" w:rsidRDefault="00083B9D" w:rsidP="00A76F4A">
      <w:pPr>
        <w:autoSpaceDE w:val="0"/>
        <w:autoSpaceDN w:val="0"/>
        <w:adjustRightInd w:val="0"/>
        <w:ind w:right="12"/>
        <w:jc w:val="both"/>
      </w:pPr>
      <w:r w:rsidRPr="007F02AC">
        <w:t xml:space="preserve">Par définition, la lutte intégrée est une méthode décisionnelle qui a recours à toutes les techniques nécessaires pour réduire les populations de ravageurs de façon efficace et économique, tout en respectant l’environnement. </w:t>
      </w:r>
    </w:p>
    <w:p w:rsidR="00083B9D" w:rsidRPr="007F02AC" w:rsidRDefault="00083B9D" w:rsidP="00A76F4A">
      <w:pPr>
        <w:autoSpaceDE w:val="0"/>
        <w:autoSpaceDN w:val="0"/>
        <w:adjustRightInd w:val="0"/>
        <w:ind w:right="12"/>
        <w:jc w:val="both"/>
      </w:pPr>
      <w:r w:rsidRPr="007F02AC">
        <w:t xml:space="preserve">Ainsi elle consistera à combiner les moyens de lutte biologique, la sélection d’espèces résistantes et l’application de méthodes agricoles appropriées et passe par plusieurs phases :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identifier les maladies et ravageurs potentiels ;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dépister les ravageurs et les organismes utiles, les dommages causés par les ravageurs et les conditions environnementales ;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utiliser les seuils d’intervention pour décider des mesures de lutte à prendre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gérer les écosystèmes dans le but d’empêcher les organismes vivants de devenir des organismes nuisibles ;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réduire les populations de ravageurs à des niveaux acceptables en utilisant des stratégies qui combinent des méthodes de lutte biologique; culturale, mécanique, et, si nécessaire, chimique;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évaluer les conséquences et l’efficacité des stratégies de lutte contre les ravageurs. </w:t>
      </w:r>
    </w:p>
    <w:p w:rsidR="00083B9D" w:rsidRPr="003F5F8A" w:rsidRDefault="00083B9D" w:rsidP="00A76F4A">
      <w:pPr>
        <w:ind w:right="12"/>
        <w:jc w:val="both"/>
        <w:rPr>
          <w:sz w:val="21"/>
          <w:szCs w:val="21"/>
        </w:rPr>
      </w:pPr>
    </w:p>
    <w:p w:rsidR="00083B9D" w:rsidRPr="007F02AC" w:rsidRDefault="00083B9D" w:rsidP="00A76F4A">
      <w:pPr>
        <w:autoSpaceDE w:val="0"/>
        <w:autoSpaceDN w:val="0"/>
        <w:adjustRightInd w:val="0"/>
        <w:ind w:right="12"/>
        <w:jc w:val="both"/>
      </w:pPr>
      <w:r w:rsidRPr="007F02AC">
        <w:t xml:space="preserve">L’adoption de la lutte intégrée assure une agriculture durable et offre plusieurs avantages dont notamment :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L’amélioration de la conservation des eaux et des sols ;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La protection des écosystèmes et les habitats naturels ;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La réduction des impacts négatifs sur l’environnement ;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La participation à la promotion de l’utilisation durable des biotechnologies. </w:t>
      </w:r>
    </w:p>
    <w:p w:rsidR="00083B9D" w:rsidRPr="003F5F8A" w:rsidRDefault="00083B9D" w:rsidP="00A76F4A">
      <w:pPr>
        <w:ind w:right="12"/>
        <w:jc w:val="both"/>
        <w:rPr>
          <w:sz w:val="21"/>
          <w:szCs w:val="21"/>
        </w:rPr>
      </w:pPr>
    </w:p>
    <w:p w:rsidR="00083B9D" w:rsidRPr="007F02AC" w:rsidRDefault="00083B9D" w:rsidP="00A76F4A">
      <w:pPr>
        <w:autoSpaceDE w:val="0"/>
        <w:autoSpaceDN w:val="0"/>
        <w:adjustRightInd w:val="0"/>
        <w:ind w:right="12"/>
        <w:jc w:val="both"/>
      </w:pPr>
      <w:r w:rsidRPr="007F02AC">
        <w:t xml:space="preserve">On notera également les activités relatives à la vulgarisation et la promotion des alternatives aux pesticides qui crées des problèmes sur la santé humaine et l’Environnement notamment les substances naturelles à savoir :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L’utilisation des feuilles du Nime et de la citronnelle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L’utilisation des citrons pourris </w:t>
      </w:r>
    </w:p>
    <w:p w:rsidR="00083B9D" w:rsidRPr="003F5F8A" w:rsidRDefault="00083B9D" w:rsidP="00A76F4A">
      <w:pPr>
        <w:ind w:left="851" w:right="12"/>
        <w:jc w:val="both"/>
        <w:rPr>
          <w:sz w:val="21"/>
          <w:szCs w:val="21"/>
        </w:rPr>
      </w:pPr>
      <w:r w:rsidRPr="003F5F8A">
        <w:rPr>
          <w:rFonts w:ascii="Symbol" w:eastAsia="Symbol" w:hAnsi="Symbol" w:cs="Symbol"/>
          <w:sz w:val="21"/>
          <w:szCs w:val="21"/>
        </w:rPr>
        <w:sym w:font="Symbol" w:char="F0B7"/>
      </w:r>
      <w:r w:rsidRPr="003F5F8A">
        <w:rPr>
          <w:sz w:val="21"/>
          <w:szCs w:val="21"/>
        </w:rPr>
        <w:t xml:space="preserve"> L’utilisation du petit piment </w:t>
      </w:r>
    </w:p>
    <w:p w:rsidR="00083B9D" w:rsidRPr="003F5F8A" w:rsidRDefault="00083B9D" w:rsidP="00A76F4A">
      <w:pPr>
        <w:ind w:right="12"/>
        <w:jc w:val="both"/>
        <w:rPr>
          <w:sz w:val="21"/>
          <w:szCs w:val="21"/>
        </w:rPr>
      </w:pPr>
    </w:p>
    <w:p w:rsidR="00083B9D" w:rsidRPr="007F02AC" w:rsidRDefault="00083B9D" w:rsidP="00A76F4A">
      <w:pPr>
        <w:autoSpaceDE w:val="0"/>
        <w:autoSpaceDN w:val="0"/>
        <w:adjustRightInd w:val="0"/>
        <w:ind w:right="12"/>
        <w:jc w:val="both"/>
      </w:pPr>
      <w:r w:rsidRPr="007F02AC">
        <w:t>On notera aussi le développement/mise au point de méthodes de lutte intégrée par les services de la DPV en collaboration avec et les organisations des agriculteurs. La formation des formateurs sera assurée par les chercheurs de la DPV et les structures de recherche sur la base de supports notamment les fiches techniques.</w:t>
      </w:r>
      <w:r w:rsidRPr="007F02AC" w:rsidDel="00083B9D">
        <w:t xml:space="preserve"> </w:t>
      </w:r>
    </w:p>
    <w:p w:rsidR="00DA3604" w:rsidRPr="003F5F8A" w:rsidRDefault="00DA3604" w:rsidP="00A76F4A">
      <w:pPr>
        <w:ind w:right="12"/>
        <w:jc w:val="both"/>
        <w:rPr>
          <w:sz w:val="21"/>
          <w:szCs w:val="21"/>
        </w:rPr>
      </w:pPr>
    </w:p>
    <w:p w:rsidR="007418E7" w:rsidRPr="00D47C37" w:rsidRDefault="007418E7" w:rsidP="00A76F4A">
      <w:pPr>
        <w:keepNext/>
        <w:spacing w:line="276" w:lineRule="auto"/>
        <w:ind w:left="284" w:right="12"/>
        <w:jc w:val="both"/>
        <w:outlineLvl w:val="1"/>
        <w:rPr>
          <w:rFonts w:eastAsia="Calibri"/>
          <w:b/>
        </w:rPr>
      </w:pPr>
      <w:bookmarkStart w:id="592" w:name="_Toc521939542"/>
      <w:bookmarkStart w:id="593" w:name="_Toc62927865"/>
      <w:bookmarkStart w:id="594" w:name="_Toc63695107"/>
      <w:bookmarkStart w:id="595" w:name="_Toc67508599"/>
      <w:bookmarkStart w:id="596" w:name="_Toc69918789"/>
      <w:bookmarkStart w:id="597" w:name="_Toc73459834"/>
      <w:bookmarkStart w:id="598" w:name="_Toc75432386"/>
      <w:r w:rsidRPr="00D47C37">
        <w:rPr>
          <w:rFonts w:eastAsia="Calibri"/>
          <w:b/>
        </w:rPr>
        <w:t>Modes de gestion et usage des pesticides</w:t>
      </w:r>
      <w:bookmarkEnd w:id="592"/>
      <w:bookmarkEnd w:id="593"/>
      <w:bookmarkEnd w:id="594"/>
      <w:bookmarkEnd w:id="595"/>
      <w:bookmarkEnd w:id="596"/>
      <w:bookmarkEnd w:id="597"/>
      <w:bookmarkEnd w:id="598"/>
      <w:r w:rsidRPr="00D47C37">
        <w:rPr>
          <w:rFonts w:eastAsia="Calibri"/>
          <w:b/>
        </w:rPr>
        <w:t xml:space="preserve"> </w:t>
      </w:r>
    </w:p>
    <w:p w:rsidR="0033038F" w:rsidRDefault="0033038F" w:rsidP="00A76F4A">
      <w:pPr>
        <w:pStyle w:val="Textodecomentrio"/>
        <w:ind w:right="12"/>
        <w:rPr>
          <w:sz w:val="22"/>
          <w:szCs w:val="22"/>
        </w:rPr>
      </w:pPr>
      <w:bookmarkStart w:id="599" w:name="_Toc521939546"/>
    </w:p>
    <w:p w:rsidR="0033038F" w:rsidRPr="007F02AC" w:rsidRDefault="00305BC5" w:rsidP="00A76F4A">
      <w:pPr>
        <w:autoSpaceDE w:val="0"/>
        <w:autoSpaceDN w:val="0"/>
        <w:adjustRightInd w:val="0"/>
        <w:ind w:right="12"/>
        <w:jc w:val="both"/>
      </w:pPr>
      <w:r w:rsidRPr="007F02AC">
        <w:t xml:space="preserve">Ainsi, concernant les modes de gestion, </w:t>
      </w:r>
      <w:r w:rsidR="0033038F" w:rsidRPr="007F02AC">
        <w:t xml:space="preserve">l'exigence </w:t>
      </w:r>
      <w:r w:rsidRPr="007F02AC">
        <w:t xml:space="preserve">est </w:t>
      </w:r>
      <w:r w:rsidR="0033038F" w:rsidRPr="007F02AC">
        <w:t xml:space="preserve">que tous les pesticides utilisés seront fabriqués, formulés, emballés, étiquetés, manipulés, stockés, éliminés et </w:t>
      </w:r>
      <w:r w:rsidR="00E80682" w:rsidRPr="007F02AC">
        <w:t>appliqués conformément</w:t>
      </w:r>
      <w:r w:rsidR="0033038F" w:rsidRPr="007F02AC">
        <w:t xml:space="preserve"> aux normes internationales pertinentes et les codes de conduite, ainsi que les guides internationales de l’environnement, sante e sécurité (ESS). Les directives de la FAO sur l'emballage et le stockage des pesticides, les directives sur les bonnes pratiques d'étiquetage des pesticides et les directives sur l'élimination des déchets de pesticides et des conteneurs de pesticides à la ferme sont utilisées comme normes minimales</w:t>
      </w:r>
    </w:p>
    <w:p w:rsidR="0033038F" w:rsidRPr="007F02AC" w:rsidRDefault="0033038F" w:rsidP="00A76F4A">
      <w:pPr>
        <w:autoSpaceDE w:val="0"/>
        <w:autoSpaceDN w:val="0"/>
        <w:adjustRightInd w:val="0"/>
        <w:ind w:right="12"/>
        <w:jc w:val="both"/>
      </w:pPr>
    </w:p>
    <w:p w:rsidR="00E80682" w:rsidRDefault="00E80682" w:rsidP="00A76F4A">
      <w:pPr>
        <w:autoSpaceDE w:val="0"/>
        <w:autoSpaceDN w:val="0"/>
        <w:adjustRightInd w:val="0"/>
        <w:ind w:right="12"/>
        <w:jc w:val="both"/>
        <w:rPr>
          <w:sz w:val="22"/>
          <w:szCs w:val="22"/>
        </w:rPr>
      </w:pPr>
      <w:r w:rsidRPr="007F02AC">
        <w:lastRenderedPageBreak/>
        <w:t xml:space="preserve">Ainsi, il est </w:t>
      </w:r>
      <w:r w:rsidR="00516EFD" w:rsidRPr="007F02AC">
        <w:t>très</w:t>
      </w:r>
      <w:r w:rsidRPr="007F02AC">
        <w:t xml:space="preserve"> important de noté que :</w:t>
      </w:r>
      <w:r w:rsidR="00426327" w:rsidRPr="007F02AC">
        <w:t> «</w:t>
      </w:r>
      <w:r w:rsidR="00426327">
        <w:t xml:space="preserve"> l’Emprunteur évaluera la nature et le niveau des risques associés, en tenant compte de l’usage proposé et des utilisateurs visés. L’Emprunteur n’utilisera pas de pesticides ou de produits ou préparations pesticides à moins qu’une telle utilisation soit conforme aux Directives ESS. De plus, l’Emprunteur n’utilisera pas de produits pesticides qui contiennent des principes actifs faisant l’objet de restrictions en vertu de conventions internationales applicables ou de leurs protocoles, ou qui figurent dans les annexes de ces conventions ou protocoles, ou répondent aux critères de ces annexes, sauf lorsque l’objectif est jugé acceptable conformément aux dispositions de ces conventions, de leurs protocoles ou leurs annexes, ou si l’Emprunteur a obtenu une dérogation au titre de ces conventions, leurs protocoles ou annexes, selon les engagements qu’il aura pris en vertu de ceux-ci et d’autres accords internationaux applicables. L’Emprunteur n’utilisera pas de préparations pesticides qui présentent un caractère cancérogène, mutagène ou reprotoxique tel que décrit par les organismes internationaux compétents. Pour tous les autres produits pesticides qui présentent d’autres risques potentiellement graves pour la santé humaine ou l’environnement, et qui sont énoncés dans les systèmes de classification et d’étiquetage reconnus sur le plan international, l’Emprunteur n’utilisera pas de préparations pesticides si : a) le pays n’impose pas de restrictions sur leur distribution, gestion et utilisation; ou b) ils sont susceptibles d’être utilisés par des profanes, des agriculteurs et d’autres personnes sans formation, sans équipement et sans installations permettant de gérer, de stocker et d’utiliser correctement ces produits, ou d’être accessibles à ces catégories de personnes)</w:t>
      </w:r>
      <w:r w:rsidRPr="00AE7FC5">
        <w:rPr>
          <w:sz w:val="22"/>
          <w:szCs w:val="22"/>
        </w:rPr>
        <w:t> </w:t>
      </w:r>
    </w:p>
    <w:p w:rsidR="007418E7" w:rsidRPr="003F5F8A" w:rsidRDefault="007418E7" w:rsidP="00A76F4A">
      <w:pPr>
        <w:pStyle w:val="Cabealho4"/>
        <w:ind w:right="12"/>
        <w:rPr>
          <w:rFonts w:ascii="Times New Roman" w:hAnsi="Times New Roman"/>
          <w:sz w:val="21"/>
          <w:szCs w:val="21"/>
        </w:rPr>
      </w:pPr>
      <w:r w:rsidRPr="003F5F8A">
        <w:rPr>
          <w:rFonts w:ascii="Times New Roman" w:hAnsi="Times New Roman"/>
          <w:sz w:val="21"/>
          <w:szCs w:val="21"/>
        </w:rPr>
        <w:t>Transport de pesticides</w:t>
      </w:r>
      <w:bookmarkEnd w:id="599"/>
    </w:p>
    <w:p w:rsidR="007418E7" w:rsidRPr="007F02AC" w:rsidRDefault="007418E7" w:rsidP="00A76F4A">
      <w:pPr>
        <w:autoSpaceDE w:val="0"/>
        <w:autoSpaceDN w:val="0"/>
        <w:adjustRightInd w:val="0"/>
        <w:ind w:right="12"/>
        <w:jc w:val="both"/>
      </w:pPr>
      <w:r w:rsidRPr="007F02AC">
        <w:t xml:space="preserve">Les formateurs-distributeurs ont en général des véhicules spécifiques </w:t>
      </w:r>
      <w:r w:rsidR="00083B9D" w:rsidRPr="007F02AC">
        <w:t xml:space="preserve">pour </w:t>
      </w:r>
      <w:r w:rsidR="001F5335" w:rsidRPr="007F02AC">
        <w:t>le transport des</w:t>
      </w:r>
      <w:r w:rsidRPr="007F02AC">
        <w:t xml:space="preserve"> pesticides.  Il est à </w:t>
      </w:r>
      <w:r w:rsidR="00083B9D" w:rsidRPr="007F02AC">
        <w:t xml:space="preserve">noter </w:t>
      </w:r>
      <w:r w:rsidR="001F5335" w:rsidRPr="007F02AC">
        <w:t xml:space="preserve">que même </w:t>
      </w:r>
      <w:r w:rsidR="00252B4C" w:rsidRPr="007F02AC">
        <w:t>dans ces</w:t>
      </w:r>
      <w:r w:rsidRPr="007F02AC">
        <w:t xml:space="preserve">  cas,  les  normes  internationales  pour  le  transport  des produits  chimiques  ne  sont  pas  respectées.  Il arrive souvent que les clients eux même prennent en charge le transport. Dans ce cas, les véhicules ne sont pas toujours en bon état, les emballages ne sont pas solides et hermétiquement fermés et des personnes et des denrées alimentaires sont transportées en même temps.</w:t>
      </w:r>
    </w:p>
    <w:p w:rsidR="007418E7" w:rsidRPr="003F5F8A" w:rsidRDefault="007418E7" w:rsidP="00A76F4A">
      <w:pPr>
        <w:pStyle w:val="Cabealho4"/>
        <w:ind w:right="12"/>
        <w:rPr>
          <w:rFonts w:ascii="Times New Roman" w:hAnsi="Times New Roman"/>
          <w:sz w:val="21"/>
          <w:szCs w:val="21"/>
        </w:rPr>
      </w:pPr>
      <w:bookmarkStart w:id="600" w:name="_Toc521939547"/>
      <w:r w:rsidRPr="003F5F8A">
        <w:rPr>
          <w:rFonts w:ascii="Times New Roman" w:hAnsi="Times New Roman"/>
          <w:sz w:val="21"/>
          <w:szCs w:val="21"/>
        </w:rPr>
        <w:t>Commercialisation</w:t>
      </w:r>
      <w:bookmarkEnd w:id="600"/>
    </w:p>
    <w:p w:rsidR="007418E7" w:rsidRPr="003F5F8A" w:rsidRDefault="007418E7" w:rsidP="00A76F4A">
      <w:pPr>
        <w:ind w:left="284" w:right="12"/>
        <w:jc w:val="both"/>
        <w:rPr>
          <w:sz w:val="21"/>
          <w:szCs w:val="21"/>
        </w:rPr>
      </w:pPr>
      <w:r w:rsidRPr="007F02AC">
        <w:t xml:space="preserve">En ce qui concerne le circuit informel, il est bien développé dans l’ensemble de la zone du projet. Ainsi on croise sur les marchés de la zone divers produits phytosanitaires ayant différentes origines. Ces pesticides sont vendus dans des emballages et contenants non conformes, sans aucune indication sur la matière active, le mode d'utilisation, et les précautions d’emploi. Ces produits sont généralement exposés </w:t>
      </w:r>
      <w:r w:rsidR="00083B9D" w:rsidRPr="007F02AC">
        <w:t xml:space="preserve">au </w:t>
      </w:r>
      <w:r w:rsidR="001F5335" w:rsidRPr="007F02AC">
        <w:t xml:space="preserve">niveau des étals </w:t>
      </w:r>
      <w:r w:rsidR="00064F08" w:rsidRPr="007F02AC">
        <w:t>à côté</w:t>
      </w:r>
      <w:r w:rsidRPr="007F02AC">
        <w:t xml:space="preserve">  des  différents</w:t>
      </w:r>
      <w:r w:rsidRPr="003F5F8A">
        <w:rPr>
          <w:sz w:val="21"/>
          <w:szCs w:val="21"/>
        </w:rPr>
        <w:t xml:space="preserve">  produits  alimentaires  (huiles  végétales,  produits céréaliers et même de lait en poudre).</w:t>
      </w:r>
    </w:p>
    <w:p w:rsidR="007418E7" w:rsidRPr="003F5F8A" w:rsidRDefault="007418E7" w:rsidP="00A76F4A">
      <w:pPr>
        <w:pStyle w:val="Cabealho4"/>
        <w:ind w:right="12"/>
        <w:rPr>
          <w:rFonts w:ascii="Times New Roman" w:hAnsi="Times New Roman"/>
          <w:sz w:val="21"/>
          <w:szCs w:val="21"/>
        </w:rPr>
      </w:pPr>
      <w:bookmarkStart w:id="601" w:name="_Toc521939549"/>
      <w:r w:rsidRPr="003F5F8A">
        <w:rPr>
          <w:rFonts w:ascii="Times New Roman" w:hAnsi="Times New Roman"/>
          <w:sz w:val="21"/>
          <w:szCs w:val="21"/>
        </w:rPr>
        <w:t>Appréciation quantitative</w:t>
      </w:r>
      <w:bookmarkEnd w:id="601"/>
    </w:p>
    <w:p w:rsidR="007418E7" w:rsidRPr="007F02AC" w:rsidRDefault="007418E7" w:rsidP="00A76F4A">
      <w:pPr>
        <w:autoSpaceDE w:val="0"/>
        <w:autoSpaceDN w:val="0"/>
        <w:adjustRightInd w:val="0"/>
        <w:ind w:right="12"/>
        <w:jc w:val="both"/>
      </w:pPr>
      <w:r w:rsidRPr="007F02AC">
        <w:t xml:space="preserve">Des statistiques </w:t>
      </w:r>
      <w:r w:rsidR="00083B9D" w:rsidRPr="007F02AC">
        <w:t xml:space="preserve">complètes </w:t>
      </w:r>
      <w:r w:rsidR="001F5335" w:rsidRPr="007F02AC">
        <w:t xml:space="preserve">et fiables de la </w:t>
      </w:r>
      <w:r w:rsidR="00C9604D" w:rsidRPr="007F02AC">
        <w:t xml:space="preserve">consommation </w:t>
      </w:r>
      <w:r w:rsidR="00064F08" w:rsidRPr="007F02AC">
        <w:t>de pesticides n’existent pas dans le</w:t>
      </w:r>
      <w:r w:rsidRPr="007F02AC">
        <w:t xml:space="preserve">  pays. Seules des données isolées sont disponibles et aucune tendance ne peut être dégagée. L’absence d’une banque de données sur la gestion des pesticides (importation, consommation, etc.) Constitue une contrainte majeure et l’absence de statistiques centralisées ne permet plus de suivre son évolution et ses principaux acteurs.  Dans le cadre du</w:t>
      </w:r>
      <w:r w:rsidR="00083B9D" w:rsidRPr="007F02AC">
        <w:t xml:space="preserve"> projet</w:t>
      </w:r>
      <w:r w:rsidRPr="007F02AC">
        <w:t xml:space="preserve">, il est nécessaire de constituer une base régionale de données comportant l’ensemble des statistiques sur les produits utilisés. En plus, un recensement des </w:t>
      </w:r>
      <w:r w:rsidR="00083B9D" w:rsidRPr="007F02AC">
        <w:t xml:space="preserve">ventes </w:t>
      </w:r>
      <w:r w:rsidR="001F5335" w:rsidRPr="007F02AC">
        <w:t xml:space="preserve">effectuées par </w:t>
      </w:r>
      <w:r w:rsidR="00064F08" w:rsidRPr="007F02AC">
        <w:t>les distributeurs</w:t>
      </w:r>
      <w:r w:rsidRPr="007F02AC">
        <w:t xml:space="preserve">  et  les  revendeurs  de  pesticides  devrait  être  effectué  afin  de pouvoir estimer l’utilisation des pesticides. </w:t>
      </w:r>
    </w:p>
    <w:p w:rsidR="007418E7" w:rsidRPr="003F5F8A" w:rsidRDefault="007418E7" w:rsidP="00A76F4A">
      <w:pPr>
        <w:pStyle w:val="Cabealho4"/>
        <w:ind w:right="12"/>
        <w:rPr>
          <w:rFonts w:ascii="Times New Roman" w:hAnsi="Times New Roman"/>
          <w:sz w:val="21"/>
          <w:szCs w:val="21"/>
        </w:rPr>
      </w:pPr>
      <w:bookmarkStart w:id="602" w:name="_Toc521939550"/>
      <w:r w:rsidRPr="003F5F8A">
        <w:rPr>
          <w:rFonts w:ascii="Times New Roman" w:hAnsi="Times New Roman"/>
          <w:sz w:val="21"/>
          <w:szCs w:val="21"/>
        </w:rPr>
        <w:lastRenderedPageBreak/>
        <w:t>Appréciation Qualitative des Pesticides</w:t>
      </w:r>
      <w:bookmarkEnd w:id="602"/>
      <w:r w:rsidRPr="003F5F8A">
        <w:rPr>
          <w:rFonts w:ascii="Times New Roman" w:hAnsi="Times New Roman"/>
          <w:sz w:val="21"/>
          <w:szCs w:val="21"/>
        </w:rPr>
        <w:t xml:space="preserve"> </w:t>
      </w:r>
    </w:p>
    <w:p w:rsidR="007418E7" w:rsidRPr="007F02AC" w:rsidRDefault="007418E7" w:rsidP="00A76F4A">
      <w:pPr>
        <w:autoSpaceDE w:val="0"/>
        <w:autoSpaceDN w:val="0"/>
        <w:adjustRightInd w:val="0"/>
        <w:ind w:right="12"/>
        <w:jc w:val="both"/>
      </w:pPr>
      <w:r w:rsidRPr="007F02AC">
        <w:t xml:space="preserve">Le contrôle </w:t>
      </w:r>
      <w:r w:rsidR="00083B9D" w:rsidRPr="007F02AC">
        <w:t xml:space="preserve">de </w:t>
      </w:r>
      <w:r w:rsidR="00064F08" w:rsidRPr="007F02AC">
        <w:t>la conformité</w:t>
      </w:r>
      <w:r w:rsidRPr="007F02AC">
        <w:t xml:space="preserve">  des  pesticides  par  rapport  à  leur  étiquette  est  l'un  des  contrôles  dits prioritaires.  Toutefois, seule </w:t>
      </w:r>
      <w:r w:rsidR="00083B9D" w:rsidRPr="007F02AC">
        <w:t xml:space="preserve">la </w:t>
      </w:r>
      <w:r w:rsidR="00064F08" w:rsidRPr="007F02AC">
        <w:t>fondation CERES</w:t>
      </w:r>
      <w:r w:rsidRPr="007F02AC">
        <w:t xml:space="preserve">  Locustox  est  équipée  pour  pouvoir  faire  de  telles analyses).</w:t>
      </w:r>
    </w:p>
    <w:p w:rsidR="00863AFC" w:rsidRDefault="00863AFC" w:rsidP="00A76F4A">
      <w:pPr>
        <w:ind w:right="12"/>
        <w:jc w:val="both"/>
      </w:pPr>
    </w:p>
    <w:p w:rsidR="0014229F" w:rsidRDefault="0014229F" w:rsidP="00A76F4A">
      <w:pPr>
        <w:ind w:right="12"/>
        <w:jc w:val="both"/>
      </w:pPr>
    </w:p>
    <w:p w:rsidR="0014229F" w:rsidRDefault="0014229F" w:rsidP="00A76F4A">
      <w:pPr>
        <w:ind w:right="12"/>
        <w:jc w:val="both"/>
      </w:pPr>
    </w:p>
    <w:p w:rsidR="0014229F" w:rsidRPr="00D47C37" w:rsidRDefault="0014229F" w:rsidP="00A76F4A">
      <w:pPr>
        <w:ind w:right="12"/>
        <w:jc w:val="both"/>
      </w:pPr>
    </w:p>
    <w:p w:rsidR="007418E7" w:rsidRPr="00D47C37" w:rsidRDefault="00AD1589" w:rsidP="00A76F4A">
      <w:pPr>
        <w:ind w:right="12"/>
        <w:jc w:val="both"/>
        <w:rPr>
          <w:b/>
        </w:rPr>
      </w:pPr>
      <w:r w:rsidRPr="00D47C37">
        <w:rPr>
          <w:b/>
        </w:rPr>
        <w:t>Utilisation des pesticides</w:t>
      </w:r>
    </w:p>
    <w:p w:rsidR="007418E7" w:rsidRPr="003C123B" w:rsidRDefault="007418E7" w:rsidP="00A76F4A">
      <w:pPr>
        <w:pStyle w:val="Cabealho4"/>
        <w:numPr>
          <w:ilvl w:val="0"/>
          <w:numId w:val="0"/>
        </w:numPr>
        <w:ind w:right="12"/>
        <w:rPr>
          <w:rFonts w:ascii="Times New Roman" w:hAnsi="Times New Roman"/>
          <w:sz w:val="24"/>
          <w:szCs w:val="24"/>
        </w:rPr>
      </w:pPr>
      <w:bookmarkStart w:id="603" w:name="_Toc521939552"/>
      <w:r w:rsidRPr="003C123B">
        <w:rPr>
          <w:rFonts w:ascii="Times New Roman" w:hAnsi="Times New Roman"/>
          <w:sz w:val="24"/>
          <w:szCs w:val="24"/>
        </w:rPr>
        <w:t>Les types d'usage de pesticides</w:t>
      </w:r>
      <w:bookmarkEnd w:id="603"/>
    </w:p>
    <w:p w:rsidR="00537C45" w:rsidRPr="007F02AC" w:rsidRDefault="007418E7" w:rsidP="00A76F4A">
      <w:pPr>
        <w:autoSpaceDE w:val="0"/>
        <w:autoSpaceDN w:val="0"/>
        <w:adjustRightInd w:val="0"/>
        <w:ind w:right="12"/>
        <w:jc w:val="both"/>
      </w:pPr>
      <w:r w:rsidRPr="007F02AC">
        <w:t>Les pesticides sont parfois utilisés à tort et à travers : il se pose fondamentalement un problème d’information et de sensibilisation. Le pays regorge</w:t>
      </w:r>
      <w:r w:rsidR="00D355A6" w:rsidRPr="007F02AC">
        <w:t xml:space="preserve"> </w:t>
      </w:r>
      <w:r w:rsidRPr="007F02AC">
        <w:t xml:space="preserve">de revendeurs informels et d’étalagistes dont la gestion pose problème aux services chargés de la réglementation et du contrôle. En effet, bon nombre </w:t>
      </w:r>
      <w:r w:rsidR="00537C45" w:rsidRPr="007F02AC">
        <w:t xml:space="preserve">d’entre </w:t>
      </w:r>
      <w:r w:rsidR="00D355A6" w:rsidRPr="007F02AC">
        <w:t>eux ne</w:t>
      </w:r>
      <w:r w:rsidRPr="007F02AC">
        <w:t xml:space="preserve">  répondent  pas  aux  profils  exigés  par  le  métier  et  n’ont  pas  de  permis ou autorisation d’exercer.  Les emballages vides de pesticides sont utilisés pour stocker, conserver des denrées alimentaires</w:t>
      </w:r>
      <w:r w:rsidR="00D355A6" w:rsidRPr="007F02AC">
        <w:t xml:space="preserve">  (</w:t>
      </w:r>
      <w:r w:rsidRPr="007F02AC">
        <w:t xml:space="preserve">eau, lait, huile, huile de palme, etc.).  </w:t>
      </w:r>
    </w:p>
    <w:p w:rsidR="00537C45" w:rsidRPr="007F02AC" w:rsidRDefault="007418E7" w:rsidP="00A76F4A">
      <w:pPr>
        <w:autoSpaceDE w:val="0"/>
        <w:autoSpaceDN w:val="0"/>
        <w:adjustRightInd w:val="0"/>
        <w:ind w:right="12"/>
        <w:jc w:val="both"/>
      </w:pPr>
      <w:r w:rsidRPr="007F02AC">
        <w:t xml:space="preserve">Parmi les produits à risque (interdits), on peut  citer:  Endo  sulfan-DDT;  Endo  sulfan-DDT-méthylparathion ;  Aldrin-DDT ;  Poly  chloro camphène-DDT-méthylparathion.  </w:t>
      </w:r>
    </w:p>
    <w:p w:rsidR="00537C45" w:rsidRPr="007F02AC" w:rsidRDefault="007418E7" w:rsidP="00A76F4A">
      <w:pPr>
        <w:autoSpaceDE w:val="0"/>
        <w:autoSpaceDN w:val="0"/>
        <w:adjustRightInd w:val="0"/>
        <w:ind w:right="12"/>
        <w:jc w:val="both"/>
      </w:pPr>
      <w:r w:rsidRPr="007F02AC">
        <w:t xml:space="preserve">La facilité </w:t>
      </w:r>
      <w:r w:rsidR="00537C45" w:rsidRPr="007F02AC">
        <w:t>d’accès aux</w:t>
      </w:r>
      <w:r w:rsidRPr="007F02AC">
        <w:t xml:space="preserve">  pesticides,  parfois  même  des  pesticides prohibés notamment certains organochlorés (DDT, Dieldrine, Endosulfan, Endrine, etc.) est due à la multiplicité  des  points  de  vente  de  produits  phytosanitaires  mais  aussi  au  manque  de  contrôle  sur l’usage et la commercialisation de ces substances.</w:t>
      </w:r>
    </w:p>
    <w:p w:rsidR="00537C45" w:rsidRPr="007F02AC" w:rsidRDefault="00537C45" w:rsidP="00A76F4A">
      <w:pPr>
        <w:autoSpaceDE w:val="0"/>
        <w:autoSpaceDN w:val="0"/>
        <w:adjustRightInd w:val="0"/>
        <w:ind w:right="12"/>
        <w:jc w:val="both"/>
      </w:pPr>
      <w:bookmarkStart w:id="604" w:name="_Toc521939553"/>
    </w:p>
    <w:p w:rsidR="00537C45" w:rsidRPr="007F02AC" w:rsidRDefault="00537C45" w:rsidP="00A76F4A">
      <w:pPr>
        <w:autoSpaceDE w:val="0"/>
        <w:autoSpaceDN w:val="0"/>
        <w:adjustRightInd w:val="0"/>
        <w:ind w:right="12"/>
        <w:jc w:val="both"/>
      </w:pPr>
      <w:r w:rsidRPr="007F02AC">
        <w:t>En réalité, la notion de maîtrise de la gestion des pesticides au niveau de la Guinée Bissau, n’est pas encore bien cernée. Il faut relever surtout l’absence de système de la protection alternative, notamment les actions de protection intégrée ('utilisation de plants à effet insecticide ; promotion de l'utilisation de bio-pesticides pour le contrôle de différents nuisibles, etc.). Sur le terrain, les importations alimentaires, sont directement mises à la disposition des consommations, sans les mesures de sécurité, telles que la quarantaine ou les contrôles adéquats. Il en est de même des importations de pesticides et des semences par les maisons de la place.</w:t>
      </w:r>
    </w:p>
    <w:p w:rsidR="00537C45" w:rsidRPr="003F5F8A" w:rsidRDefault="00537C45" w:rsidP="00A76F4A">
      <w:pPr>
        <w:ind w:right="12"/>
        <w:jc w:val="both"/>
        <w:rPr>
          <w:sz w:val="21"/>
          <w:szCs w:val="21"/>
        </w:rPr>
      </w:pPr>
    </w:p>
    <w:p w:rsidR="007418E7" w:rsidRPr="003C123B" w:rsidRDefault="007418E7" w:rsidP="00A76F4A">
      <w:pPr>
        <w:ind w:right="12"/>
        <w:jc w:val="both"/>
        <w:rPr>
          <w:b/>
        </w:rPr>
      </w:pPr>
      <w:r w:rsidRPr="003C123B">
        <w:rPr>
          <w:b/>
        </w:rPr>
        <w:t>Propriétés physico-chimiques générales des pesticides</w:t>
      </w:r>
      <w:bookmarkEnd w:id="604"/>
    </w:p>
    <w:p w:rsidR="007418E7" w:rsidRPr="003F5F8A" w:rsidRDefault="007418E7" w:rsidP="00A76F4A">
      <w:pPr>
        <w:ind w:right="12"/>
        <w:jc w:val="both"/>
        <w:rPr>
          <w:sz w:val="21"/>
          <w:szCs w:val="21"/>
        </w:rPr>
      </w:pPr>
    </w:p>
    <w:p w:rsidR="007418E7" w:rsidRPr="007F02AC" w:rsidRDefault="007418E7" w:rsidP="00A76F4A">
      <w:pPr>
        <w:autoSpaceDE w:val="0"/>
        <w:autoSpaceDN w:val="0"/>
        <w:adjustRightInd w:val="0"/>
        <w:ind w:right="12"/>
        <w:jc w:val="both"/>
      </w:pPr>
      <w:r w:rsidRPr="007F02AC">
        <w:t xml:space="preserve">La grande variété structurale des pesticides est à l’origine d’une grande diversité de propriétés physico-chimiques dont dépend leur comportement dans les différents compartiments de l’environnement, le sol, les eaux et l’atmosphère. En effet, le potentiel de transfert des produits phytosanitaires peut être évalué à partir de quelques propriétés physicochimiques dont les plus importantes sont la solubilité, le coefficient de partage octanol/eau (KOW), la pression de vapeur, la constante de Henry (KH), le coefficient de partage sol/eau (Kd). </w:t>
      </w:r>
    </w:p>
    <w:p w:rsidR="007418E7" w:rsidRPr="003F5F8A" w:rsidRDefault="007418E7" w:rsidP="00A76F4A">
      <w:pPr>
        <w:pStyle w:val="Cabealho4"/>
        <w:ind w:right="12"/>
        <w:rPr>
          <w:rFonts w:ascii="Times New Roman" w:hAnsi="Times New Roman"/>
          <w:sz w:val="21"/>
          <w:szCs w:val="21"/>
        </w:rPr>
      </w:pPr>
      <w:bookmarkStart w:id="605" w:name="_Toc521939554"/>
      <w:r w:rsidRPr="003F5F8A">
        <w:rPr>
          <w:rFonts w:ascii="Times New Roman" w:hAnsi="Times New Roman"/>
          <w:sz w:val="21"/>
          <w:szCs w:val="21"/>
        </w:rPr>
        <w:t>Solubilité et coefficient de partage octanol/eau (KoW)</w:t>
      </w:r>
      <w:bookmarkEnd w:id="605"/>
      <w:r w:rsidRPr="003F5F8A">
        <w:rPr>
          <w:rFonts w:ascii="Times New Roman" w:hAnsi="Times New Roman"/>
          <w:sz w:val="21"/>
          <w:szCs w:val="21"/>
        </w:rPr>
        <w:t xml:space="preserve"> </w:t>
      </w:r>
    </w:p>
    <w:p w:rsidR="007418E7" w:rsidRPr="003F5F8A" w:rsidRDefault="007418E7" w:rsidP="00A76F4A">
      <w:pPr>
        <w:ind w:right="12"/>
        <w:jc w:val="both"/>
        <w:rPr>
          <w:sz w:val="21"/>
          <w:szCs w:val="21"/>
        </w:rPr>
      </w:pPr>
    </w:p>
    <w:p w:rsidR="007418E7" w:rsidRDefault="007418E7" w:rsidP="00A76F4A">
      <w:pPr>
        <w:autoSpaceDE w:val="0"/>
        <w:autoSpaceDN w:val="0"/>
        <w:adjustRightInd w:val="0"/>
        <w:ind w:right="12"/>
        <w:jc w:val="both"/>
      </w:pPr>
      <w:r w:rsidRPr="007F02AC">
        <w:t xml:space="preserve">La solubilité dans l’eau d’une molécule traduit sa facilité de dissolution après application. Les valeurs de solubilité des pesticides dans l’eau dépendent de la composition et de la structure chimique des molécules. Comme elles sont très diverses, les valeurs de solubilité le sont aussi. La solubilité des pesticides couvre un domaine de valeurs considérable d’environ douze </w:t>
      </w:r>
      <w:r w:rsidRPr="007F02AC">
        <w:lastRenderedPageBreak/>
        <w:t xml:space="preserve">ordres de grandeur. Les pesticides peuvent être regroupés approximativement en cinq catégories en fonction de ce critère comme illustré par le tableau. </w:t>
      </w:r>
    </w:p>
    <w:p w:rsidR="0014229F" w:rsidRDefault="0014229F" w:rsidP="00A76F4A">
      <w:pPr>
        <w:autoSpaceDE w:val="0"/>
        <w:autoSpaceDN w:val="0"/>
        <w:adjustRightInd w:val="0"/>
        <w:ind w:right="12"/>
        <w:jc w:val="both"/>
      </w:pPr>
    </w:p>
    <w:p w:rsidR="0014229F" w:rsidRDefault="0014229F" w:rsidP="00A76F4A">
      <w:pPr>
        <w:autoSpaceDE w:val="0"/>
        <w:autoSpaceDN w:val="0"/>
        <w:adjustRightInd w:val="0"/>
        <w:ind w:right="12"/>
        <w:jc w:val="both"/>
      </w:pPr>
    </w:p>
    <w:p w:rsidR="0014229F" w:rsidRDefault="0014229F" w:rsidP="00A76F4A">
      <w:pPr>
        <w:autoSpaceDE w:val="0"/>
        <w:autoSpaceDN w:val="0"/>
        <w:adjustRightInd w:val="0"/>
        <w:ind w:right="12"/>
        <w:jc w:val="both"/>
      </w:pPr>
    </w:p>
    <w:p w:rsidR="0014229F" w:rsidRDefault="0014229F" w:rsidP="00A76F4A">
      <w:pPr>
        <w:autoSpaceDE w:val="0"/>
        <w:autoSpaceDN w:val="0"/>
        <w:adjustRightInd w:val="0"/>
        <w:ind w:right="12"/>
        <w:jc w:val="both"/>
      </w:pPr>
    </w:p>
    <w:p w:rsidR="0014229F" w:rsidRDefault="0014229F" w:rsidP="00A76F4A">
      <w:pPr>
        <w:autoSpaceDE w:val="0"/>
        <w:autoSpaceDN w:val="0"/>
        <w:adjustRightInd w:val="0"/>
        <w:ind w:right="12"/>
        <w:jc w:val="both"/>
      </w:pPr>
    </w:p>
    <w:p w:rsidR="0014229F" w:rsidRDefault="0014229F" w:rsidP="00A76F4A">
      <w:pPr>
        <w:autoSpaceDE w:val="0"/>
        <w:autoSpaceDN w:val="0"/>
        <w:adjustRightInd w:val="0"/>
        <w:ind w:right="12"/>
        <w:jc w:val="both"/>
      </w:pPr>
    </w:p>
    <w:p w:rsidR="0014229F" w:rsidRDefault="0014229F" w:rsidP="00A76F4A">
      <w:pPr>
        <w:autoSpaceDE w:val="0"/>
        <w:autoSpaceDN w:val="0"/>
        <w:adjustRightInd w:val="0"/>
        <w:ind w:right="12"/>
        <w:jc w:val="both"/>
      </w:pPr>
    </w:p>
    <w:p w:rsidR="0014229F" w:rsidRPr="007F02AC" w:rsidRDefault="0014229F" w:rsidP="00A76F4A">
      <w:pPr>
        <w:autoSpaceDE w:val="0"/>
        <w:autoSpaceDN w:val="0"/>
        <w:adjustRightInd w:val="0"/>
        <w:ind w:right="12"/>
        <w:jc w:val="both"/>
      </w:pPr>
    </w:p>
    <w:p w:rsidR="007418E7" w:rsidRPr="00A05698" w:rsidRDefault="007418E7" w:rsidP="00A76F4A">
      <w:pPr>
        <w:pStyle w:val="Legenda"/>
        <w:ind w:right="12"/>
        <w:jc w:val="center"/>
      </w:pPr>
      <w:r w:rsidRPr="00A05698">
        <w:t>Catégorie de pesticides regroupés selon leur solubilité</w:t>
      </w:r>
    </w:p>
    <w:p w:rsidR="007418E7" w:rsidRPr="00A05698" w:rsidRDefault="007418E7" w:rsidP="00A76F4A">
      <w:pPr>
        <w:ind w:right="12"/>
        <w:jc w:val="both"/>
      </w:pPr>
      <w:r w:rsidRPr="00A05698">
        <w:rPr>
          <w:noProof/>
          <w:lang w:val="pt-PT" w:eastAsia="pt-PT"/>
        </w:rPr>
        <w:drawing>
          <wp:inline distT="0" distB="0" distL="0" distR="0" wp14:anchorId="251334AB" wp14:editId="6CD84B60">
            <wp:extent cx="5760720" cy="1686560"/>
            <wp:effectExtent l="0" t="0" r="0" b="8890"/>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686560"/>
                    </a:xfrm>
                    <a:prstGeom prst="rect">
                      <a:avLst/>
                    </a:prstGeom>
                  </pic:spPr>
                </pic:pic>
              </a:graphicData>
            </a:graphic>
          </wp:inline>
        </w:drawing>
      </w:r>
    </w:p>
    <w:p w:rsidR="007418E7" w:rsidRPr="00A05698" w:rsidRDefault="007418E7" w:rsidP="00A76F4A">
      <w:pPr>
        <w:ind w:right="12"/>
        <w:jc w:val="both"/>
      </w:pPr>
      <w:r w:rsidRPr="00A05698">
        <w:t>Le coefficient de partage d’un composé organique entre l’octanol (Coct) et l’eau (Cw) est défini par le rapport de ses concentrations dans les deux phases à l’équilibre (coefficient sans dimension).</w:t>
      </w:r>
    </w:p>
    <w:p w:rsidR="007418E7" w:rsidRPr="00A05698" w:rsidRDefault="007418E7" w:rsidP="00A76F4A">
      <w:pPr>
        <w:pBdr>
          <w:top w:val="single" w:sz="4" w:space="1" w:color="auto"/>
          <w:left w:val="single" w:sz="4" w:space="4" w:color="auto"/>
          <w:bottom w:val="single" w:sz="4" w:space="1" w:color="auto"/>
          <w:right w:val="single" w:sz="4" w:space="4" w:color="auto"/>
        </w:pBdr>
        <w:shd w:val="clear" w:color="auto" w:fill="70AD47" w:themeFill="accent6"/>
        <w:ind w:right="12"/>
        <w:jc w:val="center"/>
        <w:rPr>
          <w:lang w:val="en-GB"/>
        </w:rPr>
      </w:pPr>
      <w:r w:rsidRPr="00A05698">
        <w:rPr>
          <w:lang w:val="en-GB"/>
        </w:rPr>
        <w:t>KoW= Coct (mol/L) / Cw (mol/L)  (2-1)</w:t>
      </w:r>
    </w:p>
    <w:p w:rsidR="007418E7" w:rsidRPr="0014229F" w:rsidRDefault="007418E7" w:rsidP="00A76F4A">
      <w:pPr>
        <w:pStyle w:val="Cabealho4"/>
        <w:numPr>
          <w:ilvl w:val="0"/>
          <w:numId w:val="0"/>
        </w:numPr>
        <w:ind w:left="864" w:right="12"/>
        <w:rPr>
          <w:rFonts w:ascii="Times New Roman" w:hAnsi="Times New Roman"/>
          <w:sz w:val="24"/>
          <w:szCs w:val="24"/>
        </w:rPr>
      </w:pPr>
      <w:bookmarkStart w:id="606" w:name="_Toc521939555"/>
      <w:r w:rsidRPr="0014229F">
        <w:rPr>
          <w:rFonts w:ascii="Times New Roman" w:hAnsi="Times New Roman"/>
          <w:sz w:val="24"/>
          <w:szCs w:val="24"/>
        </w:rPr>
        <w:t>Utilisation par les Agriculteurs</w:t>
      </w:r>
      <w:bookmarkEnd w:id="606"/>
    </w:p>
    <w:p w:rsidR="007418E7" w:rsidRPr="007F02AC" w:rsidRDefault="007418E7" w:rsidP="00A76F4A">
      <w:pPr>
        <w:autoSpaceDE w:val="0"/>
        <w:autoSpaceDN w:val="0"/>
        <w:adjustRightInd w:val="0"/>
        <w:ind w:right="12"/>
        <w:jc w:val="both"/>
      </w:pPr>
      <w:r w:rsidRPr="007F02AC">
        <w:t xml:space="preserve">Les pesticides sont parfois utilisés à tort et à travers, par les agriculteurs mais aussi par des applicateurs informels, </w:t>
      </w:r>
      <w:r w:rsidR="00260B47" w:rsidRPr="007F02AC">
        <w:t>surtout dans</w:t>
      </w:r>
      <w:r w:rsidRPr="007F02AC">
        <w:t xml:space="preserve">  le  maraîchage.  Il se </w:t>
      </w:r>
      <w:r w:rsidR="00260B47" w:rsidRPr="007F02AC">
        <w:t>pose fondamentalement</w:t>
      </w:r>
      <w:r w:rsidRPr="007F02AC">
        <w:t xml:space="preserve">  un  problème d’information  et  de  sensibilisation  car  les  agriculteurs  effectuent  ces  opération  sans  équipement  de protection  (masques,  gants,  tenues,  etc.).  Il existe peu  de  données  sur  l’utilisation  des  produits phytosanitaires  (pesticides,  herbicides,  fongicides)  en  agriculture  et  leurs  impacts  sur  la  qualité  des eaux.  Cette utilisation reste  mal  maîtrisée  notamment  chez  les  petits  producteurs  qui,  en  termes  de bonnes pratiques d’utilisation, font preuve de lacunes notoires.</w:t>
      </w:r>
    </w:p>
    <w:p w:rsidR="007418E7" w:rsidRPr="0014229F" w:rsidRDefault="007418E7" w:rsidP="00A76F4A">
      <w:pPr>
        <w:pStyle w:val="Cabealho4"/>
        <w:numPr>
          <w:ilvl w:val="0"/>
          <w:numId w:val="0"/>
        </w:numPr>
        <w:ind w:left="864" w:right="12"/>
        <w:rPr>
          <w:rFonts w:ascii="Times New Roman" w:hAnsi="Times New Roman"/>
          <w:sz w:val="24"/>
          <w:szCs w:val="24"/>
        </w:rPr>
      </w:pPr>
      <w:bookmarkStart w:id="607" w:name="_Toc521939556"/>
      <w:r w:rsidRPr="0014229F">
        <w:rPr>
          <w:rFonts w:ascii="Times New Roman" w:hAnsi="Times New Roman"/>
          <w:sz w:val="24"/>
          <w:szCs w:val="24"/>
        </w:rPr>
        <w:t>Stockage des pesticides</w:t>
      </w:r>
      <w:bookmarkEnd w:id="607"/>
      <w:r w:rsidRPr="0014229F">
        <w:rPr>
          <w:rFonts w:ascii="Times New Roman" w:hAnsi="Times New Roman"/>
          <w:sz w:val="24"/>
          <w:szCs w:val="24"/>
        </w:rPr>
        <w:t xml:space="preserve"> </w:t>
      </w:r>
    </w:p>
    <w:p w:rsidR="007418E7" w:rsidRPr="007F02AC" w:rsidRDefault="007418E7" w:rsidP="00A76F4A">
      <w:pPr>
        <w:autoSpaceDE w:val="0"/>
        <w:autoSpaceDN w:val="0"/>
        <w:adjustRightInd w:val="0"/>
        <w:ind w:right="12"/>
        <w:jc w:val="both"/>
      </w:pPr>
      <w:r w:rsidRPr="007F02AC">
        <w:t xml:space="preserve">Très peu de magasins existent dans les localités pour le stockage des produits et, généralement, ils ne sont pas adaptés aux normes de la FAO en la matière. Les services de la protection des végétaux et les bases phytosanitaires visités dans la région souffrent de l’absence d’infrastructures adéquates pour le stockage et le conditionnement des pesticides. Au niveau </w:t>
      </w:r>
      <w:r w:rsidR="00537C45" w:rsidRPr="007F02AC">
        <w:t xml:space="preserve">des </w:t>
      </w:r>
      <w:r w:rsidR="00260B47" w:rsidRPr="007F02AC">
        <w:t>populations, le</w:t>
      </w:r>
      <w:r w:rsidRPr="007F02AC">
        <w:t xml:space="preserve">  système  de  stockage  à  domicile  n’est  pas  conforme  et  présente  des risques majeurs. En effet il peut arriver que les produits soient stockés dans les chambres, au niveau d’un </w:t>
      </w:r>
      <w:r w:rsidR="00537C45" w:rsidRPr="007F02AC">
        <w:t xml:space="preserve">coin </w:t>
      </w:r>
      <w:r w:rsidR="00260B47" w:rsidRPr="007F02AC">
        <w:t>de l’habitation</w:t>
      </w:r>
      <w:r w:rsidRPr="007F02AC">
        <w:t xml:space="preserve">, dans  des  contenants  non identifiés  avec  tous  les  risques  inhérents  à  cette pratique notamment l’utilisation pour des fins d’alimentation par les enfants et aussi les adultes. Aussi, il </w:t>
      </w:r>
      <w:r w:rsidR="00537C45" w:rsidRPr="007F02AC">
        <w:t xml:space="preserve">est </w:t>
      </w:r>
      <w:r w:rsidR="00260B47" w:rsidRPr="007F02AC">
        <w:t>possible que</w:t>
      </w:r>
      <w:r w:rsidRPr="007F02AC">
        <w:t xml:space="preserve">  les  emballages  vides  de  pesticides  soient  utilisés  pour  stocker,  conserver  et transporter des boissons (dont l'eau,  l’huile,  l’huile de palme, le lait, etc.) ainsi que des aliments tels que les bouillies. Il n’existe aucun système de gestion et d’élimination des emballages vides et des restants de produits phytosanitaires.  En général, </w:t>
      </w:r>
      <w:r w:rsidR="00537C45" w:rsidRPr="007F02AC">
        <w:t xml:space="preserve">ces </w:t>
      </w:r>
      <w:r w:rsidR="00260B47" w:rsidRPr="007F02AC">
        <w:t>emballages vides</w:t>
      </w:r>
      <w:r w:rsidRPr="007F02AC">
        <w:t xml:space="preserve">  sont  réutilisés  par  les  agriculteurs  avec  </w:t>
      </w:r>
      <w:r w:rsidRPr="007F02AC">
        <w:lastRenderedPageBreak/>
        <w:t xml:space="preserve">tous  les risques sanitaires que cela comporte, soit ils sont rejetés dans la nature d’une manière anarchique, soit ils sont enfouis ou brûlés sur place. </w:t>
      </w:r>
    </w:p>
    <w:p w:rsidR="007418E7" w:rsidRPr="007F02AC" w:rsidRDefault="007418E7" w:rsidP="00A76F4A">
      <w:pPr>
        <w:autoSpaceDE w:val="0"/>
        <w:autoSpaceDN w:val="0"/>
        <w:adjustRightInd w:val="0"/>
        <w:ind w:right="12"/>
        <w:jc w:val="both"/>
      </w:pPr>
      <w:bookmarkStart w:id="608" w:name="_Toc521939557"/>
      <w:r w:rsidRPr="007F02AC">
        <w:t xml:space="preserve"> Gestion des emballages et des pesticides obsolètes</w:t>
      </w:r>
      <w:bookmarkEnd w:id="608"/>
    </w:p>
    <w:p w:rsidR="007418E7" w:rsidRPr="007F02AC" w:rsidRDefault="007418E7" w:rsidP="00A76F4A">
      <w:pPr>
        <w:autoSpaceDE w:val="0"/>
        <w:autoSpaceDN w:val="0"/>
        <w:adjustRightInd w:val="0"/>
        <w:ind w:right="12"/>
        <w:jc w:val="both"/>
      </w:pPr>
      <w:r w:rsidRPr="007F02AC">
        <w:t>Les pesticides peuvent devenir obsolètes en cas de non utilisation prolongée des stocks présents dans le pays. En outre, le stockage prolongé des pesticides peut provoquer des fuites</w:t>
      </w:r>
      <w:r w:rsidR="001C798E" w:rsidRPr="007F02AC">
        <w:t xml:space="preserve"> et contaminer le sol et l’eau des</w:t>
      </w:r>
      <w:r w:rsidRPr="007F02AC">
        <w:t xml:space="preserve"> zones  de  stockage.  La destruction saine  de  ces  produits  obsolètes  nécessite  des  moyens financiers énormes et des technologies de pointe. Concernant les emballages vides, en général, ils sont jetés dans la nature d’u</w:t>
      </w:r>
      <w:r w:rsidR="001C798E" w:rsidRPr="007F02AC">
        <w:t>ne manière anarchique, ou alors</w:t>
      </w:r>
      <w:r w:rsidRPr="007F02AC">
        <w:t xml:space="preserve"> enfouis ou brûlés, et rarement stockés dans un endroit  sécurisé.</w:t>
      </w:r>
      <w:r w:rsidR="001C798E" w:rsidRPr="007F02AC">
        <w:t xml:space="preserve">  Les recommandations récentes de </w:t>
      </w:r>
      <w:r w:rsidRPr="007F02AC">
        <w:t>la  FAO  stipulent  que  ces  emballages  vides devraient  être  repris  par  les  distributeurs  de  pesticides  pour  un  traitement  approprié</w:t>
      </w:r>
      <w:r w:rsidR="00537C45" w:rsidRPr="007F02AC">
        <w:t>.</w:t>
      </w:r>
      <w:r w:rsidRPr="007F02AC">
        <w:t xml:space="preserve"> </w:t>
      </w:r>
    </w:p>
    <w:p w:rsidR="004630E4" w:rsidRPr="00252B4C" w:rsidRDefault="004630E4" w:rsidP="00A76F4A">
      <w:pPr>
        <w:ind w:right="12"/>
      </w:pPr>
      <w:bookmarkStart w:id="609" w:name="_Toc521939558"/>
      <w:bookmarkStart w:id="610" w:name="_Toc62927866"/>
      <w:bookmarkStart w:id="611" w:name="_Toc63695108"/>
    </w:p>
    <w:p w:rsidR="007418E7" w:rsidRPr="0014229F" w:rsidRDefault="007418E7" w:rsidP="00A76F4A">
      <w:pPr>
        <w:keepNext/>
        <w:spacing w:line="276" w:lineRule="auto"/>
        <w:ind w:right="12"/>
        <w:jc w:val="both"/>
        <w:outlineLvl w:val="1"/>
        <w:rPr>
          <w:rFonts w:eastAsia="Calibri"/>
          <w:b/>
        </w:rPr>
      </w:pPr>
      <w:bookmarkStart w:id="612" w:name="_Toc67508600"/>
      <w:bookmarkStart w:id="613" w:name="_Toc69918790"/>
      <w:bookmarkStart w:id="614" w:name="_Toc73459835"/>
      <w:bookmarkStart w:id="615" w:name="_Toc75432387"/>
      <w:r w:rsidRPr="0014229F">
        <w:rPr>
          <w:rFonts w:eastAsia="Calibri"/>
          <w:b/>
        </w:rPr>
        <w:t>Les accidents causés par les pesticides</w:t>
      </w:r>
      <w:bookmarkEnd w:id="609"/>
      <w:bookmarkEnd w:id="610"/>
      <w:bookmarkEnd w:id="611"/>
      <w:bookmarkEnd w:id="612"/>
      <w:bookmarkEnd w:id="613"/>
      <w:bookmarkEnd w:id="614"/>
      <w:bookmarkEnd w:id="615"/>
    </w:p>
    <w:p w:rsidR="007418E7" w:rsidRPr="007F02AC" w:rsidRDefault="007418E7" w:rsidP="00A76F4A">
      <w:pPr>
        <w:autoSpaceDE w:val="0"/>
        <w:autoSpaceDN w:val="0"/>
        <w:adjustRightInd w:val="0"/>
        <w:ind w:right="12"/>
        <w:jc w:val="both"/>
      </w:pPr>
      <w:r w:rsidRPr="007F02AC">
        <w:t xml:space="preserve">Les conditions de stockage de ces déchets toxiques sont souvent très précaires et peuvent causer des accidents, surtout pour les enfants.  En plus, les pesticides obsolètes peuvent poser des risques majeurs sur la santé des hommes, des animaux et l'environnement. S’agissant de l’utilisation des pesticides ses conséquences sanitaires sont souvent des cas de décès ou d’intoxication.  En effet au  cours  des  années,  il  a  été  noté  plusieurs  cas  d’intoxication  notamment mortels  soit  pour  l’homme,  le  bétail  ou  la  population  halieutique  (cette  liste  n’est  pas  exhaustive). PAN Africa dispose d’une base de données sur les cas notamment au </w:t>
      </w:r>
      <w:r w:rsidR="00537C45" w:rsidRPr="007F02AC">
        <w:t>Guinée Bissau</w:t>
      </w:r>
      <w:r w:rsidRPr="007F02AC">
        <w:t xml:space="preserve"> et quelques pays de la sous-région Ouest Africaine. Cette initiative est à soutenir pour la tenue de statistiques fiables de ces événements.  En effet, au  niveau du pays,  les  données  ne  sont  pas  encore  enregistrées  ou  sinon  sont parcellaires.  L’encadré ci-dessous montre l’urgence d’action de sensibilisation en direction des différents utilisateurs afin d’éviter les accidents et incidents.</w:t>
      </w:r>
    </w:p>
    <w:p w:rsidR="00A55D21" w:rsidRPr="00260B47" w:rsidRDefault="00A55D21" w:rsidP="00A76F4A">
      <w:pPr>
        <w:ind w:right="12"/>
        <w:jc w:val="both"/>
        <w:rPr>
          <w:sz w:val="21"/>
          <w:szCs w:val="21"/>
        </w:rPr>
      </w:pPr>
    </w:p>
    <w:p w:rsidR="007418E7" w:rsidRPr="0014229F" w:rsidRDefault="007418E7" w:rsidP="00A76F4A">
      <w:pPr>
        <w:keepNext/>
        <w:spacing w:line="276" w:lineRule="auto"/>
        <w:ind w:right="12"/>
        <w:jc w:val="both"/>
        <w:outlineLvl w:val="1"/>
        <w:rPr>
          <w:rFonts w:eastAsia="Calibri"/>
          <w:b/>
        </w:rPr>
      </w:pPr>
      <w:bookmarkStart w:id="616" w:name="_Toc521939559"/>
      <w:bookmarkStart w:id="617" w:name="_Toc62927867"/>
      <w:bookmarkStart w:id="618" w:name="_Toc63695109"/>
      <w:bookmarkStart w:id="619" w:name="_Toc67508601"/>
      <w:bookmarkStart w:id="620" w:name="_Toc69918791"/>
      <w:bookmarkStart w:id="621" w:name="_Toc73459836"/>
      <w:bookmarkStart w:id="622" w:name="_Toc75432388"/>
      <w:r w:rsidRPr="0014229F">
        <w:rPr>
          <w:rFonts w:eastAsia="Calibri"/>
          <w:b/>
        </w:rPr>
        <w:t>Appréciation des connaissances et pratiques dans la gestion des pesticides</w:t>
      </w:r>
      <w:bookmarkEnd w:id="616"/>
      <w:bookmarkEnd w:id="617"/>
      <w:bookmarkEnd w:id="618"/>
      <w:bookmarkEnd w:id="619"/>
      <w:bookmarkEnd w:id="620"/>
      <w:bookmarkEnd w:id="621"/>
      <w:bookmarkEnd w:id="622"/>
    </w:p>
    <w:p w:rsidR="007418E7" w:rsidRPr="007F02AC" w:rsidRDefault="007418E7" w:rsidP="00A76F4A">
      <w:pPr>
        <w:autoSpaceDE w:val="0"/>
        <w:autoSpaceDN w:val="0"/>
        <w:adjustRightInd w:val="0"/>
        <w:ind w:right="12"/>
        <w:jc w:val="both"/>
      </w:pPr>
      <w:r w:rsidRPr="007F02AC">
        <w:t xml:space="preserve">Si  au  niveau  des  Services  techniques  (Ministère  agriculture,  Ministère  de  la  Santé,  Ministère  de l’Environnement, etc.), les connaissances et les bonnes pratiques sont relativement bien maîtrisées en matière  de  Gestion  des  Pesticides,  il  reste  qu’au  niveau  des usagers, notamment les privés « informels » et les populations, les besoins sont importants en matière d’information, de formation et de sensibilisation sur les procédures  réglementaires,  les  caractéristiques  des  produits  et  les  bonnes pratiques d’exécution. Il est évident que, dans la majorité des cas, les étalagistes et autres chargés de la vente de ces produits n’ont pas les aptitudes nécessaires pour exercer la fonction.  </w:t>
      </w:r>
    </w:p>
    <w:p w:rsidR="007418E7" w:rsidRPr="007F02AC" w:rsidRDefault="007418E7" w:rsidP="00A76F4A">
      <w:pPr>
        <w:autoSpaceDE w:val="0"/>
        <w:autoSpaceDN w:val="0"/>
        <w:adjustRightInd w:val="0"/>
        <w:ind w:right="12"/>
        <w:jc w:val="both"/>
      </w:pPr>
      <w:r w:rsidRPr="007F02AC">
        <w:t>La plupart des  usagers  privés,  y  compris  les  populations,  ignorent  l’usage  adéquat  et  pertinent  des pesticides  et  les  différentes  méthodes  alternatives.  Par ailleurs, les  mesures  de  sécurité  sont généralement  précaires,  c’est  pourquoi  le  contrôle  des  lieux  de  stockage  et  de  vente  des  pesticides devient  une  nécessité  afin  d’éviter  ou  tout  au  moins  de  réduire  l’exposition  de  la  population  à  ces produits.  Les risques restent  plus  importants  dans  la  zone  du  projet  où  les  populations  ne  sont  pas toujours  informées  et  sensibilisées  sur  les  dispositions  de  sécurité  nécessaires  à  prendre  quand  on manipule les pesticides.</w:t>
      </w:r>
    </w:p>
    <w:p w:rsidR="00BF0DC9" w:rsidRPr="00252B4C" w:rsidRDefault="00BF0DC9" w:rsidP="00A76F4A">
      <w:pPr>
        <w:ind w:right="12"/>
      </w:pPr>
      <w:bookmarkStart w:id="623" w:name="_Toc521939560"/>
      <w:bookmarkStart w:id="624" w:name="_Toc62927868"/>
      <w:bookmarkStart w:id="625" w:name="_Toc63695110"/>
    </w:p>
    <w:p w:rsidR="007418E7" w:rsidRPr="00260B47" w:rsidRDefault="007418E7" w:rsidP="00A76F4A">
      <w:pPr>
        <w:keepNext/>
        <w:spacing w:line="276" w:lineRule="auto"/>
        <w:ind w:right="12"/>
        <w:jc w:val="both"/>
        <w:outlineLvl w:val="1"/>
        <w:rPr>
          <w:rFonts w:eastAsia="Calibri"/>
          <w:b/>
          <w:sz w:val="21"/>
          <w:szCs w:val="21"/>
        </w:rPr>
      </w:pPr>
      <w:bookmarkStart w:id="626" w:name="_Toc67508602"/>
      <w:bookmarkStart w:id="627" w:name="_Toc69918792"/>
      <w:bookmarkStart w:id="628" w:name="_Toc73459837"/>
      <w:bookmarkStart w:id="629" w:name="_Toc75432389"/>
      <w:r w:rsidRPr="00260B47">
        <w:rPr>
          <w:rFonts w:eastAsia="Calibri"/>
          <w:b/>
          <w:sz w:val="21"/>
          <w:szCs w:val="21"/>
        </w:rPr>
        <w:t>Paramètres globaux de minimisation des effets négatifs des Pesticides</w:t>
      </w:r>
      <w:bookmarkEnd w:id="623"/>
      <w:bookmarkEnd w:id="624"/>
      <w:bookmarkEnd w:id="625"/>
      <w:bookmarkEnd w:id="626"/>
      <w:bookmarkEnd w:id="627"/>
      <w:bookmarkEnd w:id="628"/>
      <w:bookmarkEnd w:id="629"/>
      <w:r w:rsidRPr="00260B47">
        <w:rPr>
          <w:rFonts w:eastAsia="Calibri"/>
          <w:b/>
          <w:sz w:val="21"/>
          <w:szCs w:val="21"/>
        </w:rPr>
        <w:t xml:space="preserve"> </w:t>
      </w:r>
    </w:p>
    <w:p w:rsidR="007418E7" w:rsidRPr="007F02AC" w:rsidRDefault="007418E7" w:rsidP="00A76F4A">
      <w:pPr>
        <w:autoSpaceDE w:val="0"/>
        <w:autoSpaceDN w:val="0"/>
        <w:adjustRightInd w:val="0"/>
        <w:ind w:right="12"/>
        <w:jc w:val="both"/>
      </w:pPr>
      <w:r w:rsidRPr="007F02AC">
        <w:t xml:space="preserve">Les pesticides,  en  rapport  avec  leur  utilisation,  peuvent  porter  préjudice  à  la  qualité  de l’environnement sinon occasionner des risques divers. Ils peuvent occasionner la baisse de la fertilité des sols, provoquer son acidification et renforcer sa teneur en métaux lourds avec des conséquences diverses notamment pour la chaîne alimentaire.  Leur intrusion ou déversement dans les eaux souterraines ou de surface contribue à l’augmentation des taux de métaux </w:t>
      </w:r>
      <w:r w:rsidRPr="007F02AC">
        <w:lastRenderedPageBreak/>
        <w:t>lourds, de nitrates pouvant occasionner des phénomènes d’eutrophisation et/ou incommoder voire détruire la faune et la flore.</w:t>
      </w:r>
    </w:p>
    <w:p w:rsidR="007418E7" w:rsidRPr="007F02AC" w:rsidRDefault="007418E7" w:rsidP="00A76F4A">
      <w:pPr>
        <w:autoSpaceDE w:val="0"/>
        <w:autoSpaceDN w:val="0"/>
        <w:adjustRightInd w:val="0"/>
        <w:ind w:right="12"/>
        <w:jc w:val="both"/>
      </w:pPr>
    </w:p>
    <w:p w:rsidR="007418E7" w:rsidRPr="007F02AC" w:rsidRDefault="007418E7" w:rsidP="00A76F4A">
      <w:pPr>
        <w:autoSpaceDE w:val="0"/>
        <w:autoSpaceDN w:val="0"/>
        <w:adjustRightInd w:val="0"/>
        <w:ind w:right="12"/>
        <w:jc w:val="both"/>
      </w:pPr>
      <w:r w:rsidRPr="007F02AC">
        <w:t>Les pesticides contribuent aussi fortement à la baisse notamment de la population faunique notamment les oiseaux dont les œufs n’atteignent pas l’éclosion du fait de la faiblesse de texture des coquilles. Chez l’homme et le bétail, les effets peuvent être des effets chocs par mortalité ou être plus insidieux avec l’accumulation de longue durée pouvant occasionner notamment des effets mutagènes, la perte de fertilité, des problèmes broncho-pulmonaires, etc.</w:t>
      </w:r>
    </w:p>
    <w:p w:rsidR="00A55D21" w:rsidRPr="00260B47" w:rsidRDefault="00A55D21" w:rsidP="00A76F4A">
      <w:pPr>
        <w:ind w:right="12"/>
        <w:jc w:val="both"/>
        <w:rPr>
          <w:sz w:val="21"/>
          <w:szCs w:val="21"/>
        </w:rPr>
      </w:pPr>
    </w:p>
    <w:p w:rsidR="007418E7" w:rsidRPr="004C4F3D" w:rsidRDefault="00A55D21" w:rsidP="00A76F4A">
      <w:pPr>
        <w:ind w:right="12"/>
        <w:jc w:val="both"/>
        <w:rPr>
          <w:b/>
          <w:sz w:val="21"/>
          <w:szCs w:val="21"/>
        </w:rPr>
      </w:pPr>
      <w:r w:rsidRPr="00260B47">
        <w:rPr>
          <w:b/>
          <w:sz w:val="21"/>
          <w:szCs w:val="21"/>
        </w:rPr>
        <w:t xml:space="preserve">Plan d’action </w:t>
      </w:r>
      <w:r w:rsidR="00266D52">
        <w:rPr>
          <w:b/>
          <w:sz w:val="21"/>
          <w:szCs w:val="21"/>
        </w:rPr>
        <w:t>pour la gestion intégrée</w:t>
      </w:r>
      <w:r w:rsidR="000734FA">
        <w:rPr>
          <w:b/>
          <w:sz w:val="21"/>
          <w:szCs w:val="21"/>
        </w:rPr>
        <w:t xml:space="preserve"> des pestes dans le cadre du projet</w:t>
      </w:r>
      <w:r w:rsidR="00266D52">
        <w:rPr>
          <w:b/>
          <w:sz w:val="21"/>
          <w:szCs w:val="21"/>
        </w:rPr>
        <w:t xml:space="preserve"> </w:t>
      </w:r>
      <w:r w:rsidRPr="00260B47">
        <w:rPr>
          <w:b/>
          <w:sz w:val="21"/>
          <w:szCs w:val="21"/>
        </w:rPr>
        <w:t>: objectifs et mesures proposées</w:t>
      </w:r>
    </w:p>
    <w:p w:rsidR="003C330B" w:rsidRPr="007F02AC" w:rsidRDefault="007418E7" w:rsidP="00A76F4A">
      <w:pPr>
        <w:autoSpaceDE w:val="0"/>
        <w:autoSpaceDN w:val="0"/>
        <w:adjustRightInd w:val="0"/>
        <w:ind w:right="12"/>
        <w:jc w:val="both"/>
      </w:pPr>
      <w:r w:rsidRPr="007F02AC">
        <w:t xml:space="preserve">Pour renverser les tendances négatives concernant les limites de la gestion rationnelle des pestes et des pesticides </w:t>
      </w:r>
      <w:r w:rsidR="00077EB2" w:rsidRPr="007F02AC">
        <w:t xml:space="preserve">dans </w:t>
      </w:r>
      <w:r w:rsidR="00537C45" w:rsidRPr="007F02AC">
        <w:t xml:space="preserve">la </w:t>
      </w:r>
      <w:r w:rsidR="004C4F3D" w:rsidRPr="007F02AC">
        <w:t>zone d’intervention</w:t>
      </w:r>
      <w:r w:rsidRPr="007F02AC">
        <w:t xml:space="preserve"> </w:t>
      </w:r>
      <w:r w:rsidR="004C4F3D" w:rsidRPr="007F02AC">
        <w:t xml:space="preserve">du </w:t>
      </w:r>
      <w:r w:rsidR="001E6141" w:rsidRPr="007F02AC">
        <w:t>projet, le</w:t>
      </w:r>
      <w:r w:rsidRPr="007F02AC">
        <w:t xml:space="preserve">  plan  d’action  ci-dessous  est  proposé.  </w:t>
      </w:r>
      <w:r w:rsidR="007557DB" w:rsidRPr="007F02AC">
        <w:t xml:space="preserve">Le plan d’action vise </w:t>
      </w:r>
      <w:r w:rsidR="00A81CDC" w:rsidRPr="007F02AC">
        <w:t>à (i) protéger l’environnement biophysique et humain, à travers la promotion de l’usage de stratégies alternatives de lutte, (ii) renforcer les capacités des producteurs et autres parties prenantes et (iii) prévenir et gérer les risques sanitaires et environnementaux liés aux pesticides dans le cadre du projet. De plus, le processus permet une gestion optimale des stocks obsolètes et des contenants vides ainsi que la fourniture aux producteurs de matériels de protection et de pulvérisation.</w:t>
      </w:r>
      <w:r w:rsidR="003C330B" w:rsidRPr="007F02AC">
        <w:t xml:space="preserve"> </w:t>
      </w:r>
    </w:p>
    <w:p w:rsidR="002379F2" w:rsidRPr="007F02AC" w:rsidRDefault="001E6141" w:rsidP="00A76F4A">
      <w:pPr>
        <w:autoSpaceDE w:val="0"/>
        <w:autoSpaceDN w:val="0"/>
        <w:adjustRightInd w:val="0"/>
        <w:ind w:right="12"/>
        <w:jc w:val="both"/>
      </w:pPr>
      <w:r w:rsidRPr="007F02AC">
        <w:t>Les principaux risques identifiés</w:t>
      </w:r>
      <w:r w:rsidR="00473DAD" w:rsidRPr="007F02AC">
        <w:t xml:space="preserve"> au niveau </w:t>
      </w:r>
      <w:r w:rsidR="007457F8" w:rsidRPr="007F02AC">
        <w:t>de la capacité des acteurs et populations </w:t>
      </w:r>
      <w:r w:rsidR="00270B37" w:rsidRPr="007F02AC">
        <w:t>pour parvenir à une lutte intégrée contre les ravageurs sont les suivants :</w:t>
      </w:r>
    </w:p>
    <w:p w:rsidR="002379F2" w:rsidRDefault="002379F2" w:rsidP="00A76F4A">
      <w:pPr>
        <w:spacing w:line="27" w:lineRule="exact"/>
        <w:ind w:right="12"/>
        <w:rPr>
          <w:sz w:val="21"/>
          <w:szCs w:val="21"/>
        </w:rPr>
      </w:pPr>
    </w:p>
    <w:p w:rsidR="00E7761D" w:rsidRPr="00260B47" w:rsidRDefault="00E7761D" w:rsidP="00A76F4A">
      <w:pPr>
        <w:spacing w:line="27" w:lineRule="exact"/>
        <w:ind w:right="12"/>
        <w:rPr>
          <w:sz w:val="21"/>
          <w:szCs w:val="21"/>
        </w:rPr>
      </w:pPr>
    </w:p>
    <w:p w:rsidR="002379F2" w:rsidRPr="00260B47" w:rsidRDefault="002379F2" w:rsidP="00A76F4A">
      <w:pPr>
        <w:numPr>
          <w:ilvl w:val="0"/>
          <w:numId w:val="172"/>
        </w:numPr>
        <w:tabs>
          <w:tab w:val="left" w:pos="720"/>
        </w:tabs>
        <w:spacing w:line="227" w:lineRule="auto"/>
        <w:ind w:right="12"/>
        <w:jc w:val="both"/>
        <w:rPr>
          <w:rFonts w:ascii="Symbol" w:eastAsia="Symbol" w:hAnsi="Symbol" w:cs="Symbol"/>
          <w:sz w:val="21"/>
          <w:szCs w:val="21"/>
        </w:rPr>
      </w:pPr>
      <w:r w:rsidRPr="00260B47">
        <w:rPr>
          <w:rFonts w:eastAsia="Times New Roman"/>
          <w:sz w:val="21"/>
          <w:szCs w:val="21"/>
        </w:rPr>
        <w:t>La fourniture de pesticides ne s'accompagne pas souvent de kit de protection pour les applicateurs ;</w:t>
      </w:r>
    </w:p>
    <w:p w:rsidR="002379F2" w:rsidRPr="00260B47" w:rsidRDefault="002379F2" w:rsidP="00A76F4A">
      <w:pPr>
        <w:spacing w:line="29" w:lineRule="exact"/>
        <w:ind w:right="12"/>
        <w:jc w:val="both"/>
        <w:rPr>
          <w:rFonts w:ascii="Symbol" w:eastAsia="Symbol" w:hAnsi="Symbol" w:cs="Symbol"/>
          <w:sz w:val="21"/>
          <w:szCs w:val="21"/>
        </w:rPr>
      </w:pPr>
    </w:p>
    <w:p w:rsidR="002379F2" w:rsidRPr="00260B47" w:rsidRDefault="002379F2" w:rsidP="00A76F4A">
      <w:pPr>
        <w:numPr>
          <w:ilvl w:val="0"/>
          <w:numId w:val="172"/>
        </w:numPr>
        <w:tabs>
          <w:tab w:val="left" w:pos="720"/>
        </w:tabs>
        <w:spacing w:line="227" w:lineRule="auto"/>
        <w:ind w:right="12"/>
        <w:jc w:val="both"/>
        <w:rPr>
          <w:rFonts w:ascii="Symbol" w:eastAsia="Symbol" w:hAnsi="Symbol" w:cs="Symbol"/>
          <w:sz w:val="21"/>
          <w:szCs w:val="21"/>
        </w:rPr>
      </w:pPr>
      <w:r w:rsidRPr="00260B47">
        <w:rPr>
          <w:rFonts w:eastAsia="Times New Roman"/>
          <w:sz w:val="21"/>
          <w:szCs w:val="21"/>
        </w:rPr>
        <w:t>La plupart des agriculteurs ignorent encore l’usage adéquat et pertinent des pesticides et les différentes méthodes alternatives notamment dans le cadre de la gestion intégrée des pestes.</w:t>
      </w:r>
    </w:p>
    <w:p w:rsidR="002379F2" w:rsidRPr="00260B47" w:rsidRDefault="002379F2" w:rsidP="00A76F4A">
      <w:pPr>
        <w:spacing w:line="1" w:lineRule="exact"/>
        <w:ind w:right="12"/>
        <w:jc w:val="both"/>
        <w:rPr>
          <w:rFonts w:ascii="Symbol" w:eastAsia="Symbol" w:hAnsi="Symbol" w:cs="Symbol"/>
          <w:sz w:val="21"/>
          <w:szCs w:val="21"/>
        </w:rPr>
      </w:pPr>
    </w:p>
    <w:p w:rsidR="002379F2" w:rsidRPr="00260B47" w:rsidRDefault="002379F2" w:rsidP="00A76F4A">
      <w:pPr>
        <w:numPr>
          <w:ilvl w:val="0"/>
          <w:numId w:val="172"/>
        </w:numPr>
        <w:tabs>
          <w:tab w:val="left" w:pos="720"/>
        </w:tabs>
        <w:spacing w:line="237" w:lineRule="auto"/>
        <w:ind w:right="12"/>
        <w:jc w:val="both"/>
        <w:rPr>
          <w:rFonts w:ascii="Symbol" w:eastAsia="Symbol" w:hAnsi="Symbol" w:cs="Symbol"/>
          <w:sz w:val="21"/>
          <w:szCs w:val="21"/>
        </w:rPr>
      </w:pPr>
      <w:r w:rsidRPr="00260B47">
        <w:rPr>
          <w:rFonts w:eastAsia="Times New Roman"/>
          <w:sz w:val="21"/>
          <w:szCs w:val="21"/>
        </w:rPr>
        <w:t>Les méthodes alternatives sont rarement utilisées pour venir à bout des ennemis de cultures ;</w:t>
      </w:r>
    </w:p>
    <w:p w:rsidR="002379F2" w:rsidRPr="00260B47" w:rsidRDefault="002379F2" w:rsidP="00A76F4A">
      <w:pPr>
        <w:numPr>
          <w:ilvl w:val="0"/>
          <w:numId w:val="172"/>
        </w:numPr>
        <w:tabs>
          <w:tab w:val="left" w:pos="720"/>
        </w:tabs>
        <w:ind w:right="12"/>
        <w:jc w:val="both"/>
        <w:rPr>
          <w:rFonts w:ascii="Symbol" w:eastAsia="Symbol" w:hAnsi="Symbol" w:cs="Symbol"/>
          <w:sz w:val="21"/>
          <w:szCs w:val="21"/>
        </w:rPr>
      </w:pPr>
      <w:r w:rsidRPr="00260B47">
        <w:rPr>
          <w:rFonts w:eastAsia="Times New Roman"/>
          <w:sz w:val="21"/>
          <w:szCs w:val="21"/>
        </w:rPr>
        <w:t>Dans bien des cas les méthodes alternatives sont jugées peu efficace ;</w:t>
      </w:r>
    </w:p>
    <w:p w:rsidR="002379F2" w:rsidRPr="00260B47" w:rsidRDefault="002379F2" w:rsidP="00A76F4A">
      <w:pPr>
        <w:spacing w:line="20" w:lineRule="exact"/>
        <w:ind w:right="12"/>
        <w:jc w:val="both"/>
        <w:rPr>
          <w:sz w:val="21"/>
          <w:szCs w:val="21"/>
        </w:rPr>
      </w:pPr>
    </w:p>
    <w:p w:rsidR="009623EA" w:rsidRPr="00A55914" w:rsidRDefault="002379F2" w:rsidP="00A76F4A">
      <w:pPr>
        <w:numPr>
          <w:ilvl w:val="0"/>
          <w:numId w:val="172"/>
        </w:numPr>
        <w:tabs>
          <w:tab w:val="left" w:pos="720"/>
        </w:tabs>
        <w:spacing w:line="227" w:lineRule="auto"/>
        <w:ind w:right="12"/>
        <w:jc w:val="both"/>
        <w:rPr>
          <w:rFonts w:eastAsia="Times New Roman"/>
          <w:sz w:val="21"/>
          <w:szCs w:val="21"/>
        </w:rPr>
      </w:pPr>
      <w:bookmarkStart w:id="630" w:name="page19"/>
      <w:bookmarkEnd w:id="630"/>
      <w:r w:rsidRPr="00260B47">
        <w:rPr>
          <w:rFonts w:eastAsia="Times New Roman"/>
          <w:sz w:val="21"/>
          <w:szCs w:val="21"/>
        </w:rPr>
        <w:t>les contenants vides ne sont pas pris en charge de manière adéquate et sont souvent réutilisés par les populations pour le conditionnement du vin ou de l'huile.</w:t>
      </w:r>
    </w:p>
    <w:p w:rsidR="00334DC6" w:rsidRPr="00334DC6" w:rsidRDefault="00334DC6" w:rsidP="00A76F4A">
      <w:pPr>
        <w:numPr>
          <w:ilvl w:val="0"/>
          <w:numId w:val="172"/>
        </w:numPr>
        <w:tabs>
          <w:tab w:val="left" w:pos="720"/>
        </w:tabs>
        <w:spacing w:line="227" w:lineRule="auto"/>
        <w:ind w:right="12"/>
        <w:jc w:val="both"/>
        <w:rPr>
          <w:rFonts w:eastAsia="Times New Roman"/>
          <w:sz w:val="21"/>
          <w:szCs w:val="21"/>
        </w:rPr>
      </w:pPr>
      <w:r w:rsidRPr="00334DC6">
        <w:rPr>
          <w:rFonts w:eastAsia="Times New Roman"/>
          <w:sz w:val="21"/>
          <w:szCs w:val="21"/>
        </w:rPr>
        <w:t xml:space="preserve">Le manque de personnel qualifié et assermenté, d’où la priorité dans la formation des cadres du Ministère de l’Agriculture ; </w:t>
      </w:r>
    </w:p>
    <w:p w:rsidR="00334DC6" w:rsidRPr="00334DC6" w:rsidRDefault="00334DC6" w:rsidP="00A76F4A">
      <w:pPr>
        <w:numPr>
          <w:ilvl w:val="0"/>
          <w:numId w:val="172"/>
        </w:numPr>
        <w:tabs>
          <w:tab w:val="left" w:pos="720"/>
        </w:tabs>
        <w:spacing w:line="227" w:lineRule="auto"/>
        <w:ind w:right="12"/>
        <w:jc w:val="both"/>
        <w:rPr>
          <w:rFonts w:eastAsia="Times New Roman"/>
          <w:sz w:val="21"/>
          <w:szCs w:val="21"/>
        </w:rPr>
      </w:pPr>
      <w:r w:rsidRPr="00334DC6">
        <w:rPr>
          <w:rFonts w:eastAsia="Times New Roman"/>
          <w:sz w:val="21"/>
          <w:szCs w:val="21"/>
        </w:rPr>
        <w:t xml:space="preserve">Le manque de matériel de travail (moyens logistiques et technique) ; </w:t>
      </w:r>
    </w:p>
    <w:p w:rsidR="00334DC6" w:rsidRPr="00334DC6" w:rsidRDefault="00334DC6" w:rsidP="00A76F4A">
      <w:pPr>
        <w:numPr>
          <w:ilvl w:val="0"/>
          <w:numId w:val="172"/>
        </w:numPr>
        <w:tabs>
          <w:tab w:val="left" w:pos="720"/>
        </w:tabs>
        <w:spacing w:line="227" w:lineRule="auto"/>
        <w:ind w:right="12"/>
        <w:jc w:val="both"/>
        <w:rPr>
          <w:rFonts w:eastAsia="Times New Roman"/>
          <w:sz w:val="21"/>
          <w:szCs w:val="21"/>
        </w:rPr>
      </w:pPr>
      <w:r w:rsidRPr="00334DC6">
        <w:rPr>
          <w:rFonts w:eastAsia="Times New Roman"/>
          <w:sz w:val="21"/>
          <w:szCs w:val="21"/>
        </w:rPr>
        <w:t xml:space="preserve">Le manque de mise en application effective des textes régissant l’activité phytosanitaire ; </w:t>
      </w:r>
    </w:p>
    <w:p w:rsidR="00334DC6" w:rsidRPr="00334DC6" w:rsidRDefault="00334DC6" w:rsidP="00A76F4A">
      <w:pPr>
        <w:numPr>
          <w:ilvl w:val="0"/>
          <w:numId w:val="172"/>
        </w:numPr>
        <w:tabs>
          <w:tab w:val="left" w:pos="720"/>
        </w:tabs>
        <w:spacing w:line="227" w:lineRule="auto"/>
        <w:ind w:right="12"/>
        <w:jc w:val="both"/>
        <w:rPr>
          <w:rFonts w:eastAsia="Times New Roman"/>
          <w:sz w:val="21"/>
          <w:szCs w:val="21"/>
        </w:rPr>
      </w:pPr>
      <w:r w:rsidRPr="00334DC6">
        <w:rPr>
          <w:rFonts w:eastAsia="Times New Roman"/>
          <w:sz w:val="21"/>
          <w:szCs w:val="21"/>
        </w:rPr>
        <w:t xml:space="preserve">La non maîtrise des structures de production, vente et distribution de pesticides ; </w:t>
      </w:r>
    </w:p>
    <w:p w:rsidR="00334DC6" w:rsidRPr="008371D1" w:rsidRDefault="00334DC6" w:rsidP="00A76F4A">
      <w:pPr>
        <w:numPr>
          <w:ilvl w:val="0"/>
          <w:numId w:val="172"/>
        </w:numPr>
        <w:tabs>
          <w:tab w:val="left" w:pos="720"/>
        </w:tabs>
        <w:spacing w:line="227" w:lineRule="auto"/>
        <w:ind w:right="12"/>
        <w:jc w:val="both"/>
        <w:rPr>
          <w:rFonts w:eastAsia="Times New Roman"/>
          <w:sz w:val="21"/>
          <w:szCs w:val="21"/>
        </w:rPr>
      </w:pPr>
      <w:r w:rsidRPr="00334DC6">
        <w:rPr>
          <w:rFonts w:eastAsia="Times New Roman"/>
          <w:sz w:val="21"/>
          <w:szCs w:val="21"/>
        </w:rPr>
        <w:t>Le manque de laboratoire d’analyse des données récoltées.</w:t>
      </w:r>
    </w:p>
    <w:p w:rsidR="002379F2" w:rsidRPr="00260B47" w:rsidRDefault="002379F2" w:rsidP="00A76F4A">
      <w:pPr>
        <w:spacing w:line="255" w:lineRule="exact"/>
        <w:ind w:right="12"/>
        <w:rPr>
          <w:sz w:val="21"/>
          <w:szCs w:val="21"/>
        </w:rPr>
      </w:pPr>
    </w:p>
    <w:p w:rsidR="002379F2" w:rsidRPr="00260B47" w:rsidRDefault="002379F2" w:rsidP="00A76F4A">
      <w:pPr>
        <w:ind w:left="284" w:right="12"/>
        <w:jc w:val="both"/>
        <w:rPr>
          <w:sz w:val="21"/>
          <w:szCs w:val="21"/>
        </w:rPr>
      </w:pPr>
      <w:r w:rsidRPr="00283500">
        <w:rPr>
          <w:sz w:val="21"/>
          <w:szCs w:val="21"/>
        </w:rPr>
        <w:t>Ces conclusions appellent les pistes d’actions suivantes :</w:t>
      </w:r>
    </w:p>
    <w:p w:rsidR="002379F2" w:rsidRPr="00260B47" w:rsidRDefault="002379F2" w:rsidP="00A76F4A">
      <w:pPr>
        <w:spacing w:line="27" w:lineRule="exact"/>
        <w:ind w:right="12"/>
        <w:rPr>
          <w:sz w:val="21"/>
          <w:szCs w:val="21"/>
        </w:rPr>
      </w:pPr>
    </w:p>
    <w:p w:rsidR="002379F2" w:rsidRPr="00260B47" w:rsidRDefault="002379F2" w:rsidP="00A76F4A">
      <w:pPr>
        <w:numPr>
          <w:ilvl w:val="0"/>
          <w:numId w:val="148"/>
        </w:numPr>
        <w:tabs>
          <w:tab w:val="left" w:pos="720"/>
        </w:tabs>
        <w:spacing w:line="227" w:lineRule="auto"/>
        <w:ind w:left="720" w:right="12" w:hanging="364"/>
        <w:jc w:val="both"/>
        <w:rPr>
          <w:rFonts w:ascii="Symbol" w:eastAsia="Symbol" w:hAnsi="Symbol" w:cs="Symbol"/>
          <w:sz w:val="21"/>
          <w:szCs w:val="21"/>
        </w:rPr>
      </w:pPr>
      <w:r w:rsidRPr="00260B47">
        <w:rPr>
          <w:rFonts w:eastAsia="Times New Roman"/>
          <w:sz w:val="21"/>
          <w:szCs w:val="21"/>
        </w:rPr>
        <w:t>le renforcement des capacités notamment la formation sur l’utilisation des pesticides et les méthodes alternatives;</w:t>
      </w:r>
    </w:p>
    <w:p w:rsidR="002379F2" w:rsidRPr="00260B47" w:rsidRDefault="002379F2" w:rsidP="00A76F4A">
      <w:pPr>
        <w:spacing w:line="1" w:lineRule="exact"/>
        <w:ind w:right="12"/>
        <w:jc w:val="both"/>
        <w:rPr>
          <w:rFonts w:ascii="Symbol" w:eastAsia="Symbol" w:hAnsi="Symbol" w:cs="Symbol"/>
          <w:sz w:val="21"/>
          <w:szCs w:val="21"/>
        </w:rPr>
      </w:pPr>
    </w:p>
    <w:p w:rsidR="002379F2" w:rsidRPr="00260B47" w:rsidRDefault="002379F2" w:rsidP="00A76F4A">
      <w:pPr>
        <w:numPr>
          <w:ilvl w:val="0"/>
          <w:numId w:val="148"/>
        </w:numPr>
        <w:tabs>
          <w:tab w:val="left" w:pos="720"/>
        </w:tabs>
        <w:spacing w:line="237" w:lineRule="auto"/>
        <w:ind w:left="720" w:right="12" w:hanging="364"/>
        <w:jc w:val="both"/>
        <w:rPr>
          <w:rFonts w:ascii="Symbol" w:eastAsia="Symbol" w:hAnsi="Symbol" w:cs="Symbol"/>
          <w:sz w:val="21"/>
          <w:szCs w:val="21"/>
        </w:rPr>
      </w:pPr>
      <w:r w:rsidRPr="00260B47">
        <w:rPr>
          <w:rFonts w:eastAsia="Times New Roman"/>
          <w:sz w:val="21"/>
          <w:szCs w:val="21"/>
        </w:rPr>
        <w:t>le renforcement de la sensibilisation sur l'importance de la lutte biologique;</w:t>
      </w:r>
    </w:p>
    <w:p w:rsidR="002379F2" w:rsidRPr="00260B47" w:rsidRDefault="002379F2" w:rsidP="00A76F4A">
      <w:pPr>
        <w:numPr>
          <w:ilvl w:val="0"/>
          <w:numId w:val="148"/>
        </w:numPr>
        <w:tabs>
          <w:tab w:val="left" w:pos="720"/>
        </w:tabs>
        <w:ind w:left="720" w:right="12" w:hanging="364"/>
        <w:jc w:val="both"/>
        <w:rPr>
          <w:rFonts w:ascii="Symbol" w:eastAsia="Symbol" w:hAnsi="Symbol" w:cs="Symbol"/>
          <w:sz w:val="21"/>
          <w:szCs w:val="21"/>
        </w:rPr>
      </w:pPr>
      <w:r w:rsidRPr="00260B47">
        <w:rPr>
          <w:rFonts w:eastAsia="Times New Roman"/>
          <w:sz w:val="21"/>
          <w:szCs w:val="21"/>
        </w:rPr>
        <w:t>la vulgarisation du manuel de bonnes pratiques  concernant l'utilisation des pesticides</w:t>
      </w:r>
    </w:p>
    <w:p w:rsidR="002379F2" w:rsidRPr="00260B47" w:rsidRDefault="002379F2" w:rsidP="00A76F4A">
      <w:pPr>
        <w:numPr>
          <w:ilvl w:val="0"/>
          <w:numId w:val="148"/>
        </w:numPr>
        <w:tabs>
          <w:tab w:val="left" w:pos="720"/>
        </w:tabs>
        <w:ind w:left="720" w:right="12" w:hanging="364"/>
        <w:jc w:val="both"/>
        <w:rPr>
          <w:rFonts w:ascii="Symbol" w:eastAsia="Symbol" w:hAnsi="Symbol" w:cs="Symbol"/>
          <w:sz w:val="21"/>
          <w:szCs w:val="21"/>
        </w:rPr>
      </w:pPr>
      <w:r w:rsidRPr="00260B47">
        <w:rPr>
          <w:rFonts w:eastAsia="Times New Roman"/>
          <w:sz w:val="21"/>
          <w:szCs w:val="21"/>
        </w:rPr>
        <w:t>La sensibilisation de toutes les parties prenantes à la bonne gestion des pesticides</w:t>
      </w:r>
    </w:p>
    <w:p w:rsidR="002379F2" w:rsidRPr="00260B47" w:rsidRDefault="002379F2" w:rsidP="00A76F4A">
      <w:pPr>
        <w:numPr>
          <w:ilvl w:val="0"/>
          <w:numId w:val="148"/>
        </w:numPr>
        <w:tabs>
          <w:tab w:val="left" w:pos="720"/>
        </w:tabs>
        <w:ind w:left="720" w:right="12" w:hanging="364"/>
        <w:jc w:val="both"/>
        <w:rPr>
          <w:rFonts w:ascii="Symbol" w:eastAsia="Symbol" w:hAnsi="Symbol" w:cs="Symbol"/>
          <w:sz w:val="21"/>
          <w:szCs w:val="21"/>
        </w:rPr>
      </w:pPr>
      <w:r w:rsidRPr="00260B47">
        <w:rPr>
          <w:rFonts w:eastAsia="Times New Roman"/>
          <w:sz w:val="21"/>
          <w:szCs w:val="21"/>
        </w:rPr>
        <w:t>Formation sensibilisation sur les techniques d’élimination des emballages vides.</w:t>
      </w:r>
    </w:p>
    <w:p w:rsidR="002379F2" w:rsidRPr="00260B47" w:rsidRDefault="002379F2" w:rsidP="00A76F4A">
      <w:pPr>
        <w:spacing w:line="258" w:lineRule="exact"/>
        <w:ind w:right="12"/>
        <w:rPr>
          <w:sz w:val="21"/>
          <w:szCs w:val="21"/>
        </w:rPr>
      </w:pPr>
    </w:p>
    <w:p w:rsidR="002379F2" w:rsidRPr="00260B47" w:rsidRDefault="002379F2" w:rsidP="00A76F4A">
      <w:pPr>
        <w:ind w:right="12"/>
        <w:rPr>
          <w:sz w:val="21"/>
          <w:szCs w:val="21"/>
        </w:rPr>
      </w:pPr>
      <w:r w:rsidRPr="00260B47">
        <w:rPr>
          <w:rFonts w:eastAsia="Times New Roman"/>
          <w:b/>
          <w:bCs/>
          <w:i/>
          <w:iCs/>
          <w:sz w:val="21"/>
          <w:szCs w:val="21"/>
          <w:u w:val="single"/>
        </w:rPr>
        <w:t>La formation et le renforcement des capacités des acteurs</w:t>
      </w:r>
    </w:p>
    <w:p w:rsidR="002379F2" w:rsidRPr="007F02AC" w:rsidRDefault="002379F2" w:rsidP="00A76F4A">
      <w:pPr>
        <w:autoSpaceDE w:val="0"/>
        <w:autoSpaceDN w:val="0"/>
        <w:adjustRightInd w:val="0"/>
        <w:ind w:right="12"/>
        <w:jc w:val="both"/>
      </w:pPr>
      <w:r w:rsidRPr="007F02AC">
        <w:t xml:space="preserve">Il s'agira de former </w:t>
      </w:r>
      <w:r w:rsidR="004C4F3D" w:rsidRPr="007F02AC">
        <w:t>un certain membre</w:t>
      </w:r>
      <w:r w:rsidRPr="007F02AC">
        <w:t xml:space="preserve"> d’Organisation de Producteurs et des applicateurs informels identifiés sur toute la filière de gestion des pesticides avec un accent particulier sur les aspects épandage, traçabilité des produits.</w:t>
      </w:r>
    </w:p>
    <w:p w:rsidR="002379F2" w:rsidRPr="007F02AC" w:rsidRDefault="002379F2" w:rsidP="00A76F4A">
      <w:pPr>
        <w:autoSpaceDE w:val="0"/>
        <w:autoSpaceDN w:val="0"/>
        <w:adjustRightInd w:val="0"/>
        <w:ind w:right="12"/>
        <w:jc w:val="both"/>
      </w:pPr>
      <w:r w:rsidRPr="007F02AC">
        <w:t>Afin d'éviter les déperditions d'informations clés une formation itinérante sera mise en place. Il s'agira d'organiser des sessions dans chaque région avec l'appui des directeurs régionaux.</w:t>
      </w:r>
    </w:p>
    <w:p w:rsidR="002379F2" w:rsidRPr="007F02AC" w:rsidRDefault="002379F2" w:rsidP="00A76F4A">
      <w:pPr>
        <w:autoSpaceDE w:val="0"/>
        <w:autoSpaceDN w:val="0"/>
        <w:adjustRightInd w:val="0"/>
        <w:ind w:right="12"/>
        <w:jc w:val="both"/>
      </w:pPr>
      <w:r w:rsidRPr="007F02AC">
        <w:lastRenderedPageBreak/>
        <w:t xml:space="preserve">Ainsi, le point focal de la DPV </w:t>
      </w:r>
      <w:r w:rsidR="009651A4" w:rsidRPr="007F02AC">
        <w:t>doit</w:t>
      </w:r>
      <w:r w:rsidRPr="007F02AC">
        <w:t xml:space="preserve"> </w:t>
      </w:r>
      <w:r w:rsidR="009651A4" w:rsidRPr="007F02AC">
        <w:t>élaborer</w:t>
      </w:r>
      <w:r w:rsidRPr="007F02AC">
        <w:t xml:space="preserve"> un manuel de bonnes pratiques sur l'utilisation des pesticides</w:t>
      </w:r>
      <w:r w:rsidR="00570081" w:rsidRPr="007F02AC">
        <w:t xml:space="preserve"> et que c</w:t>
      </w:r>
      <w:r w:rsidRPr="007F02AC">
        <w:t xml:space="preserve">haque </w:t>
      </w:r>
      <w:r w:rsidR="00570081" w:rsidRPr="007F02AC">
        <w:t xml:space="preserve">acteur </w:t>
      </w:r>
      <w:r w:rsidRPr="007F02AC">
        <w:t>formé devra disposer d'un manuel afin de pouvoir s'en référer en cas de besoin.</w:t>
      </w:r>
    </w:p>
    <w:p w:rsidR="002379F2" w:rsidRPr="007F02AC" w:rsidRDefault="002379F2" w:rsidP="00A76F4A">
      <w:pPr>
        <w:autoSpaceDE w:val="0"/>
        <w:autoSpaceDN w:val="0"/>
        <w:adjustRightInd w:val="0"/>
        <w:ind w:right="12"/>
        <w:jc w:val="both"/>
      </w:pPr>
      <w:r w:rsidRPr="007F02AC">
        <w:t>Aussi, les Agents de protection des végétaux, les agents de vulgarisation au niveau régional vont recevoir une formation de rafraîchissement sur la gestion des pesticides sous forme de séminaire atelier.</w:t>
      </w:r>
    </w:p>
    <w:p w:rsidR="002379F2" w:rsidRPr="00260B47" w:rsidRDefault="002379F2" w:rsidP="00A76F4A">
      <w:pPr>
        <w:spacing w:line="258" w:lineRule="exact"/>
        <w:ind w:right="12"/>
        <w:rPr>
          <w:sz w:val="21"/>
          <w:szCs w:val="21"/>
        </w:rPr>
      </w:pPr>
    </w:p>
    <w:p w:rsidR="002379F2" w:rsidRPr="00260B47" w:rsidRDefault="002379F2" w:rsidP="00A76F4A">
      <w:pPr>
        <w:ind w:right="12"/>
        <w:rPr>
          <w:sz w:val="21"/>
          <w:szCs w:val="21"/>
        </w:rPr>
      </w:pPr>
      <w:r w:rsidRPr="00260B47">
        <w:rPr>
          <w:rFonts w:eastAsia="Times New Roman"/>
          <w:b/>
          <w:bCs/>
          <w:i/>
          <w:iCs/>
          <w:sz w:val="21"/>
          <w:szCs w:val="21"/>
          <w:u w:val="single"/>
        </w:rPr>
        <w:t>Promotion de l’usage des stratégies alternatives de lutte</w:t>
      </w:r>
    </w:p>
    <w:p w:rsidR="002379F2" w:rsidRPr="007F02AC" w:rsidRDefault="002379F2" w:rsidP="00A76F4A">
      <w:pPr>
        <w:autoSpaceDE w:val="0"/>
        <w:autoSpaceDN w:val="0"/>
        <w:adjustRightInd w:val="0"/>
        <w:ind w:right="12"/>
        <w:jc w:val="both"/>
      </w:pPr>
      <w:r w:rsidRPr="007F02AC">
        <w:t>Les méthodes alternatives sont rarement utilisées pour venir à bout des ennemis de cultures ou des insectes vecteurs de maladie. La promotion de l’usage des stratégies alternatives passe par le renforcement des mécanismes d’apprentissage sur le terrain, de la vulgarisation/appui conseil et d’information.</w:t>
      </w:r>
    </w:p>
    <w:p w:rsidR="002379F2" w:rsidRDefault="002379F2" w:rsidP="00A76F4A">
      <w:pPr>
        <w:ind w:left="284" w:right="12"/>
        <w:jc w:val="both"/>
        <w:rPr>
          <w:sz w:val="21"/>
          <w:szCs w:val="21"/>
        </w:rPr>
      </w:pPr>
    </w:p>
    <w:p w:rsidR="003C123B" w:rsidRPr="00260B47" w:rsidRDefault="003C123B" w:rsidP="00A76F4A">
      <w:pPr>
        <w:ind w:left="284" w:right="12"/>
        <w:jc w:val="both"/>
        <w:rPr>
          <w:sz w:val="21"/>
          <w:szCs w:val="21"/>
        </w:rPr>
      </w:pPr>
    </w:p>
    <w:p w:rsidR="002379F2" w:rsidRPr="003C123B" w:rsidRDefault="002379F2" w:rsidP="00A76F4A">
      <w:pPr>
        <w:ind w:right="12"/>
      </w:pPr>
      <w:r w:rsidRPr="003C123B">
        <w:rPr>
          <w:rFonts w:eastAsia="Times New Roman"/>
          <w:b/>
          <w:bCs/>
          <w:i/>
          <w:iCs/>
          <w:u w:val="single"/>
        </w:rPr>
        <w:t>Sensibilisation à la bonne gestion des pesticides</w:t>
      </w:r>
    </w:p>
    <w:p w:rsidR="002379F2" w:rsidRPr="007F02AC" w:rsidRDefault="002379F2" w:rsidP="00A76F4A">
      <w:pPr>
        <w:autoSpaceDE w:val="0"/>
        <w:autoSpaceDN w:val="0"/>
        <w:adjustRightInd w:val="0"/>
        <w:ind w:right="12"/>
        <w:jc w:val="both"/>
      </w:pPr>
      <w:r w:rsidRPr="007F02AC">
        <w:t>La gestion des pesticides ne peut être efficace que si un large écho est donné aux pratiques saines et mesures de précaution, les risques sur l’environnement et la santé. Cette sensibilisation élargie nécessite l’utilisation de canaux de large audience.</w:t>
      </w:r>
    </w:p>
    <w:p w:rsidR="002379F2" w:rsidRPr="007F02AC" w:rsidRDefault="002379F2" w:rsidP="00A76F4A">
      <w:pPr>
        <w:autoSpaceDE w:val="0"/>
        <w:autoSpaceDN w:val="0"/>
        <w:adjustRightInd w:val="0"/>
        <w:ind w:right="12"/>
        <w:jc w:val="both"/>
      </w:pPr>
      <w:r w:rsidRPr="007F02AC">
        <w:t>Il s’agit d’inciter à utiliser des messages concernant la gestion des pestes, des pesticides et les méthodes alternatives concernant les pestes les plus fréquents selon les régions.</w:t>
      </w:r>
    </w:p>
    <w:p w:rsidR="002379F2" w:rsidRPr="007F02AC" w:rsidRDefault="002379F2" w:rsidP="00A76F4A">
      <w:pPr>
        <w:autoSpaceDE w:val="0"/>
        <w:autoSpaceDN w:val="0"/>
        <w:adjustRightInd w:val="0"/>
        <w:ind w:right="12"/>
        <w:jc w:val="both"/>
      </w:pPr>
      <w:r w:rsidRPr="007F02AC">
        <w:t>Les organisations de producteurs seront chargées du relais d’information s’agissant de la gestion des pestes et des pesticides. Des causeries et échanges de bonnes pratiques ou de méthodes d’utilisation saines pourront être partagées en séances collectives ; les activités seront menées en rapport avec la coordination régionale de l'agriculture.</w:t>
      </w:r>
    </w:p>
    <w:p w:rsidR="002379F2" w:rsidRPr="00260B47" w:rsidRDefault="002379F2" w:rsidP="00A76F4A">
      <w:pPr>
        <w:spacing w:line="259" w:lineRule="exact"/>
        <w:ind w:right="12"/>
        <w:rPr>
          <w:sz w:val="21"/>
          <w:szCs w:val="21"/>
        </w:rPr>
      </w:pPr>
    </w:p>
    <w:p w:rsidR="002379F2" w:rsidRPr="003C123B" w:rsidRDefault="002379F2" w:rsidP="00A76F4A">
      <w:pPr>
        <w:ind w:right="12"/>
      </w:pPr>
      <w:r w:rsidRPr="003C123B">
        <w:rPr>
          <w:rFonts w:eastAsia="Times New Roman"/>
          <w:b/>
          <w:bCs/>
          <w:i/>
          <w:iCs/>
          <w:u w:val="single"/>
        </w:rPr>
        <w:t>Formation Sensibilisation sur la Gestion des contenants vides</w:t>
      </w:r>
    </w:p>
    <w:p w:rsidR="002379F2" w:rsidRPr="007F02AC" w:rsidRDefault="002379F2" w:rsidP="00A76F4A">
      <w:pPr>
        <w:autoSpaceDE w:val="0"/>
        <w:autoSpaceDN w:val="0"/>
        <w:adjustRightInd w:val="0"/>
        <w:ind w:right="12"/>
        <w:jc w:val="both"/>
      </w:pPr>
      <w:r w:rsidRPr="00283500">
        <w:rPr>
          <w:sz w:val="21"/>
          <w:szCs w:val="21"/>
        </w:rPr>
        <w:t xml:space="preserve">Un module spécial sera introduit en ce qui concerne le conditionnement et de l’enfouissement des contenants </w:t>
      </w:r>
      <w:r w:rsidRPr="007F02AC">
        <w:t>décontaminés.</w:t>
      </w:r>
    </w:p>
    <w:p w:rsidR="002379F2" w:rsidRPr="007F02AC" w:rsidRDefault="002379F2" w:rsidP="00A76F4A">
      <w:pPr>
        <w:autoSpaceDE w:val="0"/>
        <w:autoSpaceDN w:val="0"/>
        <w:adjustRightInd w:val="0"/>
        <w:ind w:right="12"/>
        <w:jc w:val="both"/>
      </w:pPr>
    </w:p>
    <w:p w:rsidR="002379F2" w:rsidRPr="00260B47" w:rsidRDefault="002379F2" w:rsidP="00A76F4A">
      <w:pPr>
        <w:autoSpaceDE w:val="0"/>
        <w:autoSpaceDN w:val="0"/>
        <w:adjustRightInd w:val="0"/>
        <w:ind w:right="12"/>
        <w:jc w:val="both"/>
        <w:rPr>
          <w:sz w:val="21"/>
          <w:szCs w:val="21"/>
        </w:rPr>
      </w:pPr>
      <w:bookmarkStart w:id="631" w:name="page20"/>
      <w:bookmarkEnd w:id="631"/>
      <w:r w:rsidRPr="007F02AC">
        <w:t>Les contenants et récipients vides ayant renfermé des pesticides ne devraient pas être réutilisés. En fonction de la nature et de la capacité du contenant plusieurs options sont possibles pour l’élimination. Dépendamment du type d’emballage, le processus d’élimination diffère. Ainsi, une formation sera délivrée dans ce sens aux Organisations</w:t>
      </w:r>
      <w:r w:rsidRPr="00283500">
        <w:rPr>
          <w:sz w:val="21"/>
          <w:szCs w:val="21"/>
        </w:rPr>
        <w:t xml:space="preserve"> de producteurs par la DPV. Le</w:t>
      </w:r>
      <w:r w:rsidRPr="00260B47">
        <w:rPr>
          <w:rFonts w:eastAsia="Times New Roman"/>
          <w:sz w:val="21"/>
          <w:szCs w:val="21"/>
        </w:rPr>
        <w:t xml:space="preserve"> traitement des contenants vides s’articule autour de deux opérations fondamentales : la décontamination et l’élimination à proprement parler avec son préalable de conditionnement.</w:t>
      </w:r>
    </w:p>
    <w:p w:rsidR="002379F2" w:rsidRPr="00260B47" w:rsidRDefault="002379F2" w:rsidP="00A76F4A">
      <w:pPr>
        <w:spacing w:line="254" w:lineRule="exact"/>
        <w:ind w:right="12"/>
        <w:jc w:val="both"/>
        <w:rPr>
          <w:sz w:val="21"/>
          <w:szCs w:val="21"/>
        </w:rPr>
      </w:pPr>
    </w:p>
    <w:p w:rsidR="002379F2" w:rsidRPr="003C123B" w:rsidRDefault="002379F2" w:rsidP="00A76F4A">
      <w:pPr>
        <w:ind w:left="284" w:right="12"/>
        <w:jc w:val="both"/>
      </w:pPr>
      <w:r w:rsidRPr="003C123B">
        <w:t>a) La décontamination</w:t>
      </w:r>
    </w:p>
    <w:p w:rsidR="002379F2" w:rsidRPr="007F02AC" w:rsidRDefault="002379F2" w:rsidP="00A76F4A">
      <w:pPr>
        <w:autoSpaceDE w:val="0"/>
        <w:autoSpaceDN w:val="0"/>
        <w:adjustRightInd w:val="0"/>
        <w:ind w:right="12"/>
        <w:jc w:val="both"/>
      </w:pPr>
      <w:r w:rsidRPr="007F02AC">
        <w:t>Elle comprend trois étapes et concerne tous les récipients de pesticides :</w:t>
      </w:r>
    </w:p>
    <w:p w:rsidR="002379F2" w:rsidRPr="00260B47" w:rsidRDefault="002379F2" w:rsidP="00A76F4A">
      <w:pPr>
        <w:spacing w:line="26" w:lineRule="exact"/>
        <w:ind w:right="12"/>
        <w:jc w:val="both"/>
        <w:rPr>
          <w:sz w:val="21"/>
          <w:szCs w:val="21"/>
        </w:rPr>
      </w:pPr>
    </w:p>
    <w:p w:rsidR="002379F2" w:rsidRPr="00260B47" w:rsidRDefault="00B00248" w:rsidP="00A76F4A">
      <w:pPr>
        <w:numPr>
          <w:ilvl w:val="0"/>
          <w:numId w:val="149"/>
        </w:numPr>
        <w:tabs>
          <w:tab w:val="left" w:pos="724"/>
        </w:tabs>
        <w:spacing w:line="232" w:lineRule="auto"/>
        <w:ind w:left="724" w:right="12" w:hanging="364"/>
        <w:jc w:val="both"/>
        <w:rPr>
          <w:rFonts w:ascii="Symbol" w:eastAsia="Symbol" w:hAnsi="Symbol" w:cs="Symbol"/>
          <w:sz w:val="21"/>
          <w:szCs w:val="21"/>
        </w:rPr>
      </w:pPr>
      <w:r w:rsidRPr="00260B47">
        <w:rPr>
          <w:rFonts w:eastAsia="Times New Roman"/>
          <w:sz w:val="21"/>
          <w:szCs w:val="21"/>
        </w:rPr>
        <w:t>S’assurer</w:t>
      </w:r>
      <w:r w:rsidR="002379F2" w:rsidRPr="00260B47">
        <w:rPr>
          <w:rFonts w:eastAsia="Times New Roman"/>
          <w:sz w:val="21"/>
          <w:szCs w:val="21"/>
        </w:rPr>
        <w:t xml:space="preserve"> de la vidange maximale du produit et égouttage pendant 30 secondes (le contenu est vidé dans un récipient à mélange, dans un verre pour le dernier dosage s’agissant de l’imprégnation) ;</w:t>
      </w:r>
    </w:p>
    <w:p w:rsidR="002379F2" w:rsidRPr="00260B47" w:rsidRDefault="00B00248" w:rsidP="00A76F4A">
      <w:pPr>
        <w:numPr>
          <w:ilvl w:val="0"/>
          <w:numId w:val="149"/>
        </w:numPr>
        <w:tabs>
          <w:tab w:val="left" w:pos="724"/>
        </w:tabs>
        <w:spacing w:line="237" w:lineRule="auto"/>
        <w:ind w:left="724" w:right="12" w:hanging="364"/>
        <w:jc w:val="both"/>
        <w:rPr>
          <w:rFonts w:ascii="Symbol" w:eastAsia="Symbol" w:hAnsi="Symbol" w:cs="Symbol"/>
          <w:sz w:val="21"/>
          <w:szCs w:val="21"/>
        </w:rPr>
      </w:pPr>
      <w:r w:rsidRPr="00260B47">
        <w:rPr>
          <w:rFonts w:eastAsia="Times New Roman"/>
          <w:sz w:val="21"/>
          <w:szCs w:val="21"/>
        </w:rPr>
        <w:t>Rincer</w:t>
      </w:r>
      <w:r w:rsidR="002379F2" w:rsidRPr="00260B47">
        <w:rPr>
          <w:rFonts w:eastAsia="Times New Roman"/>
          <w:sz w:val="21"/>
          <w:szCs w:val="21"/>
        </w:rPr>
        <w:t xml:space="preserve"> le récipient au moins trois fois avec un volume d’eau qui ne doit pas être inférieur à</w:t>
      </w:r>
    </w:p>
    <w:p w:rsidR="002379F2" w:rsidRPr="00260B47" w:rsidRDefault="002379F2" w:rsidP="00A76F4A">
      <w:pPr>
        <w:spacing w:line="2" w:lineRule="exact"/>
        <w:ind w:right="12"/>
        <w:jc w:val="both"/>
        <w:rPr>
          <w:rFonts w:ascii="Symbol" w:eastAsia="Symbol" w:hAnsi="Symbol" w:cs="Symbol"/>
          <w:sz w:val="21"/>
          <w:szCs w:val="21"/>
        </w:rPr>
      </w:pPr>
    </w:p>
    <w:p w:rsidR="002379F2" w:rsidRPr="00260B47" w:rsidRDefault="002379F2" w:rsidP="00A76F4A">
      <w:pPr>
        <w:ind w:left="724" w:right="12"/>
        <w:jc w:val="both"/>
        <w:rPr>
          <w:rFonts w:ascii="Symbol" w:eastAsia="Symbol" w:hAnsi="Symbol" w:cs="Symbol"/>
          <w:sz w:val="21"/>
          <w:szCs w:val="21"/>
        </w:rPr>
      </w:pPr>
      <w:r w:rsidRPr="00260B47">
        <w:rPr>
          <w:rFonts w:eastAsia="Times New Roman"/>
          <w:sz w:val="21"/>
          <w:szCs w:val="21"/>
        </w:rPr>
        <w:t>10% du volume total du récipient ;</w:t>
      </w:r>
    </w:p>
    <w:p w:rsidR="002379F2" w:rsidRPr="00260B47" w:rsidRDefault="00B00248" w:rsidP="00A76F4A">
      <w:pPr>
        <w:numPr>
          <w:ilvl w:val="0"/>
          <w:numId w:val="149"/>
        </w:numPr>
        <w:tabs>
          <w:tab w:val="left" w:pos="724"/>
        </w:tabs>
        <w:ind w:left="724" w:right="12" w:hanging="364"/>
        <w:jc w:val="both"/>
        <w:rPr>
          <w:rFonts w:ascii="Symbol" w:eastAsia="Symbol" w:hAnsi="Symbol" w:cs="Symbol"/>
          <w:sz w:val="21"/>
          <w:szCs w:val="21"/>
        </w:rPr>
      </w:pPr>
      <w:r w:rsidRPr="00260B47">
        <w:rPr>
          <w:rFonts w:eastAsia="Times New Roman"/>
          <w:sz w:val="21"/>
          <w:szCs w:val="21"/>
        </w:rPr>
        <w:t>Verser</w:t>
      </w:r>
      <w:r w:rsidR="002379F2" w:rsidRPr="00260B47">
        <w:rPr>
          <w:rFonts w:eastAsia="Times New Roman"/>
          <w:sz w:val="21"/>
          <w:szCs w:val="21"/>
        </w:rPr>
        <w:t xml:space="preserve"> les eaux de rinçage dans un pulvérisateur, dans une fosse (imprégnation).</w:t>
      </w:r>
    </w:p>
    <w:p w:rsidR="002379F2" w:rsidRPr="007F02AC" w:rsidRDefault="002379F2" w:rsidP="00A76F4A">
      <w:pPr>
        <w:autoSpaceDE w:val="0"/>
        <w:autoSpaceDN w:val="0"/>
        <w:adjustRightInd w:val="0"/>
        <w:ind w:right="12"/>
        <w:jc w:val="both"/>
      </w:pPr>
      <w:r w:rsidRPr="007F02AC">
        <w:t>Un contenant décontaminé n’est cependant pas éligible pour le stockage de produits d’alimentation humaine ou animale ou d’eau pour la consommation domestique.</w:t>
      </w:r>
    </w:p>
    <w:p w:rsidR="002379F2" w:rsidRPr="00260B47" w:rsidRDefault="002379F2" w:rsidP="00A76F4A">
      <w:pPr>
        <w:spacing w:line="254" w:lineRule="exact"/>
        <w:ind w:right="12"/>
        <w:jc w:val="both"/>
        <w:rPr>
          <w:sz w:val="21"/>
          <w:szCs w:val="21"/>
        </w:rPr>
      </w:pPr>
    </w:p>
    <w:p w:rsidR="002379F2" w:rsidRPr="003C123B" w:rsidRDefault="002379F2" w:rsidP="00A76F4A">
      <w:pPr>
        <w:ind w:left="284" w:right="12"/>
        <w:jc w:val="both"/>
      </w:pPr>
      <w:r w:rsidRPr="003C123B">
        <w:t>b) L’élimination</w:t>
      </w:r>
    </w:p>
    <w:p w:rsidR="002379F2" w:rsidRPr="007F02AC" w:rsidRDefault="002379F2" w:rsidP="00A76F4A">
      <w:pPr>
        <w:autoSpaceDE w:val="0"/>
        <w:autoSpaceDN w:val="0"/>
        <w:adjustRightInd w:val="0"/>
        <w:ind w:right="12"/>
        <w:jc w:val="both"/>
      </w:pPr>
      <w:r w:rsidRPr="007F02AC">
        <w:t xml:space="preserve">Sauf </w:t>
      </w:r>
      <w:r w:rsidR="00B00248" w:rsidRPr="007F02AC">
        <w:t>s’il</w:t>
      </w:r>
      <w:r w:rsidRPr="007F02AC">
        <w:t xml:space="preserve"> est envisagé que les contenants soient récupérés, la première opération d’élimination consiste</w:t>
      </w:r>
      <w:r w:rsidR="00B00248" w:rsidRPr="007F02AC">
        <w:t xml:space="preserve"> à </w:t>
      </w:r>
      <w:r w:rsidRPr="007F02AC">
        <w:t xml:space="preserve">les rendre inutilisables à d’autres fins : « conditionnement ». Aussi il faut veiller à faire des trous avec un outil pointu et aplanir le récipient lorsqu’il s’agit de bidons en métal et </w:t>
      </w:r>
      <w:r w:rsidRPr="007F02AC">
        <w:lastRenderedPageBreak/>
        <w:t xml:space="preserve">pour les fûts ; les bouteilles en verre doivent être </w:t>
      </w:r>
      <w:r w:rsidR="00B00248" w:rsidRPr="007F02AC">
        <w:t>classées</w:t>
      </w:r>
      <w:r w:rsidRPr="007F02AC">
        <w:t xml:space="preserve"> dans un sac pour éviter les esquilles ; les plastiques sont déchiquetés et broyés. Les bondes ou capsules sont auparavant retirés.</w:t>
      </w:r>
    </w:p>
    <w:p w:rsidR="002379F2" w:rsidRPr="007F02AC" w:rsidRDefault="002379F2" w:rsidP="00A76F4A">
      <w:pPr>
        <w:autoSpaceDE w:val="0"/>
        <w:autoSpaceDN w:val="0"/>
        <w:adjustRightInd w:val="0"/>
        <w:ind w:right="12"/>
        <w:jc w:val="both"/>
      </w:pPr>
      <w:r w:rsidRPr="007F02AC">
        <w:t>Les récipients combustibles sont éliminés par voie de brûlage surveillé (emballages en papier et en plastique [les bidons en PVC ne devront pas être brûlés], carton) ou déposés dans une décharge publique acceptant les déchets toxiques de cette nature (mettre en pièces les bidons en plastique, en verre et en métal) ; les cendres résultant du brûlage à nu sont enfouies. Cependant, l’étiquette collée sur le récipient peut porter une mention déconseillant le brûlage. En effet le brûlage par exemple de certains récipients d’herbicides (à base d’acide phénoxy) peut entraîner le dégagement de vapeurs toxiques pour l’homme ou la flore environnante.</w:t>
      </w:r>
    </w:p>
    <w:p w:rsidR="002379F2" w:rsidRPr="007F02AC" w:rsidRDefault="002379F2" w:rsidP="00A76F4A">
      <w:pPr>
        <w:autoSpaceDE w:val="0"/>
        <w:autoSpaceDN w:val="0"/>
        <w:adjustRightInd w:val="0"/>
        <w:ind w:right="12"/>
        <w:jc w:val="both"/>
      </w:pPr>
    </w:p>
    <w:p w:rsidR="002379F2" w:rsidRPr="007F02AC" w:rsidRDefault="002379F2" w:rsidP="00A76F4A">
      <w:pPr>
        <w:autoSpaceDE w:val="0"/>
        <w:autoSpaceDN w:val="0"/>
        <w:adjustRightInd w:val="0"/>
        <w:ind w:right="12"/>
        <w:jc w:val="both"/>
      </w:pPr>
      <w:r w:rsidRPr="007F02AC">
        <w:t>Précautions : la combustion ne doit avoir lieu que dans des conditions où le vent ne risque pas de pousser la fumée toxique en direction des maisons d’habitation, de personnes, de bétail ou de cultures se trouvant à proximité, ni vers ceux qui réalisent l’opération.</w:t>
      </w:r>
    </w:p>
    <w:p w:rsidR="002379F2" w:rsidRPr="007F02AC" w:rsidRDefault="002379F2" w:rsidP="00A76F4A">
      <w:pPr>
        <w:autoSpaceDE w:val="0"/>
        <w:autoSpaceDN w:val="0"/>
        <w:adjustRightInd w:val="0"/>
        <w:ind w:right="12"/>
        <w:jc w:val="both"/>
      </w:pPr>
    </w:p>
    <w:p w:rsidR="002379F2" w:rsidRPr="007F02AC" w:rsidRDefault="002379F2" w:rsidP="00A76F4A">
      <w:pPr>
        <w:autoSpaceDE w:val="0"/>
        <w:autoSpaceDN w:val="0"/>
        <w:adjustRightInd w:val="0"/>
        <w:ind w:right="12"/>
        <w:jc w:val="both"/>
      </w:pPr>
      <w:r w:rsidRPr="007F02AC">
        <w:t>Les grands récipients non combustibles 50 à 200 litres peuvent suivent les filières suivantes :</w:t>
      </w:r>
    </w:p>
    <w:p w:rsidR="002379F2" w:rsidRPr="00260B47" w:rsidRDefault="002379F2" w:rsidP="00A76F4A">
      <w:pPr>
        <w:numPr>
          <w:ilvl w:val="0"/>
          <w:numId w:val="150"/>
        </w:numPr>
        <w:tabs>
          <w:tab w:val="left" w:pos="724"/>
        </w:tabs>
        <w:spacing w:line="238" w:lineRule="auto"/>
        <w:ind w:left="724" w:right="12" w:hanging="364"/>
        <w:jc w:val="both"/>
        <w:rPr>
          <w:rFonts w:ascii="Symbol" w:eastAsia="Symbol" w:hAnsi="Symbol" w:cs="Symbol"/>
          <w:sz w:val="21"/>
          <w:szCs w:val="21"/>
        </w:rPr>
      </w:pPr>
      <w:r w:rsidRPr="00260B47">
        <w:rPr>
          <w:rFonts w:eastAsia="Times New Roman"/>
          <w:sz w:val="21"/>
          <w:szCs w:val="21"/>
        </w:rPr>
        <w:t>renvoi au fournisseur</w:t>
      </w:r>
    </w:p>
    <w:p w:rsidR="002379F2" w:rsidRPr="00260B47" w:rsidRDefault="002379F2" w:rsidP="00A76F4A">
      <w:pPr>
        <w:spacing w:line="27" w:lineRule="exact"/>
        <w:ind w:right="12"/>
        <w:jc w:val="both"/>
        <w:rPr>
          <w:rFonts w:ascii="Symbol" w:eastAsia="Symbol" w:hAnsi="Symbol" w:cs="Symbol"/>
          <w:sz w:val="21"/>
          <w:szCs w:val="21"/>
        </w:rPr>
      </w:pPr>
    </w:p>
    <w:p w:rsidR="002379F2" w:rsidRPr="00260B47" w:rsidRDefault="002379F2" w:rsidP="00A76F4A">
      <w:pPr>
        <w:numPr>
          <w:ilvl w:val="0"/>
          <w:numId w:val="150"/>
        </w:numPr>
        <w:tabs>
          <w:tab w:val="left" w:pos="724"/>
        </w:tabs>
        <w:spacing w:line="232" w:lineRule="auto"/>
        <w:ind w:left="724" w:right="12" w:hanging="364"/>
        <w:jc w:val="both"/>
        <w:rPr>
          <w:rFonts w:ascii="Symbol" w:eastAsia="Symbol" w:hAnsi="Symbol" w:cs="Symbol"/>
          <w:sz w:val="21"/>
          <w:szCs w:val="21"/>
        </w:rPr>
      </w:pPr>
      <w:r w:rsidRPr="00260B47">
        <w:rPr>
          <w:rFonts w:eastAsia="Times New Roman"/>
          <w:sz w:val="21"/>
          <w:szCs w:val="21"/>
        </w:rPr>
        <w:t>vente/récupération /par une entreprise spécialisée dans le commerce des fûts et barils usagés possédant la technologie de neutralisation de la toxicité des matières adhérentes qui peut aussi procéder à leur récupération</w:t>
      </w:r>
    </w:p>
    <w:p w:rsidR="002379F2" w:rsidRPr="00260B47" w:rsidRDefault="002379F2" w:rsidP="00A76F4A">
      <w:pPr>
        <w:spacing w:line="25" w:lineRule="exact"/>
        <w:ind w:right="12"/>
        <w:jc w:val="both"/>
        <w:rPr>
          <w:rFonts w:ascii="Symbol" w:eastAsia="Symbol" w:hAnsi="Symbol" w:cs="Symbol"/>
          <w:sz w:val="21"/>
          <w:szCs w:val="21"/>
        </w:rPr>
      </w:pPr>
    </w:p>
    <w:p w:rsidR="002379F2" w:rsidRPr="00260B47" w:rsidRDefault="002379F2" w:rsidP="00A76F4A">
      <w:pPr>
        <w:numPr>
          <w:ilvl w:val="0"/>
          <w:numId w:val="150"/>
        </w:numPr>
        <w:tabs>
          <w:tab w:val="left" w:pos="724"/>
        </w:tabs>
        <w:spacing w:line="227" w:lineRule="auto"/>
        <w:ind w:left="724" w:right="12" w:hanging="364"/>
        <w:jc w:val="both"/>
        <w:rPr>
          <w:rFonts w:ascii="Symbol" w:eastAsia="Symbol" w:hAnsi="Symbol" w:cs="Symbol"/>
          <w:sz w:val="21"/>
          <w:szCs w:val="21"/>
        </w:rPr>
      </w:pPr>
      <w:r w:rsidRPr="00260B47">
        <w:rPr>
          <w:rFonts w:eastAsia="Times New Roman"/>
          <w:sz w:val="21"/>
          <w:szCs w:val="21"/>
        </w:rPr>
        <w:t>évacuation vers une décharge contrôlée dont l’exploitant est informée du contenu des fûts et est prévenu du potentiel dégagement de vapeurs toxiques si on applique une combustion.</w:t>
      </w:r>
    </w:p>
    <w:p w:rsidR="002379F2" w:rsidRPr="00260B47" w:rsidRDefault="002379F2" w:rsidP="00A76F4A">
      <w:pPr>
        <w:spacing w:line="29" w:lineRule="exact"/>
        <w:ind w:right="12"/>
        <w:jc w:val="both"/>
        <w:rPr>
          <w:rFonts w:ascii="Symbol" w:eastAsia="Symbol" w:hAnsi="Symbol" w:cs="Symbol"/>
          <w:sz w:val="21"/>
          <w:szCs w:val="21"/>
        </w:rPr>
      </w:pPr>
    </w:p>
    <w:p w:rsidR="002379F2" w:rsidRPr="00260B47" w:rsidRDefault="002379F2" w:rsidP="00A76F4A">
      <w:pPr>
        <w:numPr>
          <w:ilvl w:val="0"/>
          <w:numId w:val="150"/>
        </w:numPr>
        <w:tabs>
          <w:tab w:val="left" w:pos="724"/>
        </w:tabs>
        <w:spacing w:line="227" w:lineRule="auto"/>
        <w:ind w:left="724" w:right="12" w:hanging="364"/>
        <w:jc w:val="both"/>
        <w:rPr>
          <w:rFonts w:ascii="Symbol" w:eastAsia="Symbol" w:hAnsi="Symbol" w:cs="Symbol"/>
          <w:sz w:val="21"/>
          <w:szCs w:val="21"/>
        </w:rPr>
      </w:pPr>
      <w:r w:rsidRPr="00260B47">
        <w:rPr>
          <w:rFonts w:eastAsia="Times New Roman"/>
          <w:sz w:val="21"/>
          <w:szCs w:val="21"/>
        </w:rPr>
        <w:t>évacuation vers un site privé, clôturé, gardienné, respectant les normes environnementales et utilisé spécifiquement pour les pesticides.</w:t>
      </w:r>
    </w:p>
    <w:p w:rsidR="002379F2" w:rsidRPr="00260B47" w:rsidRDefault="002379F2" w:rsidP="00A76F4A">
      <w:pPr>
        <w:spacing w:line="253" w:lineRule="exact"/>
        <w:ind w:right="12"/>
        <w:jc w:val="both"/>
        <w:rPr>
          <w:sz w:val="21"/>
          <w:szCs w:val="21"/>
        </w:rPr>
      </w:pPr>
    </w:p>
    <w:p w:rsidR="002379F2" w:rsidRPr="007F02AC" w:rsidRDefault="002379F2" w:rsidP="00A76F4A">
      <w:pPr>
        <w:autoSpaceDE w:val="0"/>
        <w:autoSpaceDN w:val="0"/>
        <w:adjustRightInd w:val="0"/>
        <w:ind w:right="12"/>
        <w:jc w:val="both"/>
      </w:pPr>
      <w:r w:rsidRPr="007F02AC">
        <w:t xml:space="preserve">Les petits récipients non combustibles jusqu’à 20 litres </w:t>
      </w:r>
      <w:r w:rsidR="0001635C" w:rsidRPr="007F02AC">
        <w:t>ont</w:t>
      </w:r>
      <w:r w:rsidRPr="007F02AC">
        <w:t xml:space="preserve"> </w:t>
      </w:r>
      <w:r w:rsidR="00B00248" w:rsidRPr="007F02AC">
        <w:t>été</w:t>
      </w:r>
      <w:r w:rsidRPr="007F02AC">
        <w:t xml:space="preserve"> :</w:t>
      </w:r>
    </w:p>
    <w:p w:rsidR="002379F2" w:rsidRPr="00260B47" w:rsidRDefault="002379F2" w:rsidP="00A76F4A">
      <w:pPr>
        <w:numPr>
          <w:ilvl w:val="0"/>
          <w:numId w:val="151"/>
        </w:numPr>
        <w:tabs>
          <w:tab w:val="left" w:pos="724"/>
        </w:tabs>
        <w:ind w:left="724" w:right="12" w:hanging="364"/>
        <w:jc w:val="both"/>
        <w:rPr>
          <w:rFonts w:ascii="Symbol" w:eastAsia="Symbol" w:hAnsi="Symbol" w:cs="Symbol"/>
          <w:sz w:val="21"/>
          <w:szCs w:val="21"/>
        </w:rPr>
      </w:pPr>
      <w:r w:rsidRPr="00260B47">
        <w:rPr>
          <w:rFonts w:eastAsia="Times New Roman"/>
          <w:sz w:val="21"/>
          <w:szCs w:val="21"/>
        </w:rPr>
        <w:t>acheminés vers la décharge publique</w:t>
      </w:r>
    </w:p>
    <w:p w:rsidR="002379F2" w:rsidRPr="00260B47" w:rsidRDefault="002379F2" w:rsidP="00A76F4A">
      <w:pPr>
        <w:spacing w:line="26" w:lineRule="exact"/>
        <w:ind w:right="12"/>
        <w:jc w:val="both"/>
        <w:rPr>
          <w:rFonts w:ascii="Symbol" w:eastAsia="Symbol" w:hAnsi="Symbol" w:cs="Symbol"/>
          <w:sz w:val="21"/>
          <w:szCs w:val="21"/>
        </w:rPr>
      </w:pPr>
    </w:p>
    <w:p w:rsidR="002379F2" w:rsidRPr="00260B47" w:rsidRDefault="002379F2" w:rsidP="00A76F4A">
      <w:pPr>
        <w:numPr>
          <w:ilvl w:val="0"/>
          <w:numId w:val="151"/>
        </w:numPr>
        <w:tabs>
          <w:tab w:val="left" w:pos="724"/>
        </w:tabs>
        <w:spacing w:line="231" w:lineRule="auto"/>
        <w:ind w:left="724" w:right="12" w:hanging="364"/>
        <w:jc w:val="both"/>
        <w:rPr>
          <w:rFonts w:ascii="Symbol" w:eastAsia="Symbol" w:hAnsi="Symbol" w:cs="Symbol"/>
          <w:sz w:val="21"/>
          <w:szCs w:val="21"/>
        </w:rPr>
      </w:pPr>
      <w:r w:rsidRPr="00260B47">
        <w:rPr>
          <w:rFonts w:eastAsia="Times New Roman"/>
          <w:sz w:val="21"/>
          <w:szCs w:val="21"/>
        </w:rPr>
        <w:t>enfouis sur site privé après retrait des capsules ou couvercles, perforations des récipients, brisure des récipients en verre. La fosse 1m à 1,5m de profondeur utilisée à des fins d’enfouissement sera rempli jusqu’à 50 cm de la surface du sol et recouvert ensuite de terre.</w:t>
      </w:r>
    </w:p>
    <w:p w:rsidR="002379F2" w:rsidRPr="00260B47" w:rsidRDefault="002379F2" w:rsidP="00A76F4A">
      <w:pPr>
        <w:spacing w:line="20" w:lineRule="exact"/>
        <w:ind w:right="12"/>
        <w:rPr>
          <w:sz w:val="21"/>
          <w:szCs w:val="21"/>
        </w:rPr>
      </w:pPr>
    </w:p>
    <w:p w:rsidR="002379F2" w:rsidRPr="007F02AC" w:rsidRDefault="002379F2" w:rsidP="00A76F4A">
      <w:pPr>
        <w:autoSpaceDE w:val="0"/>
        <w:autoSpaceDN w:val="0"/>
        <w:adjustRightInd w:val="0"/>
        <w:ind w:right="12"/>
        <w:jc w:val="both"/>
      </w:pPr>
      <w:bookmarkStart w:id="632" w:name="page21"/>
      <w:bookmarkEnd w:id="632"/>
      <w:r w:rsidRPr="007F02AC">
        <w:t>Le site sera éloigné des habitations et des points d’eau (puits, mares, cours d’eau), doit être non cultivé et ne sera pas en zone inondable ; la nappe aquifère doit se trouver à au moins 3 m de la surface du sol, la terre doit y être imperméable (argileuse ou franche). Le site sera clôturé et identifié.</w:t>
      </w:r>
    </w:p>
    <w:p w:rsidR="002379F2" w:rsidRPr="00260B47" w:rsidRDefault="002379F2" w:rsidP="00A76F4A">
      <w:pPr>
        <w:spacing w:line="254" w:lineRule="exact"/>
        <w:ind w:right="12"/>
        <w:rPr>
          <w:sz w:val="21"/>
          <w:szCs w:val="21"/>
        </w:rPr>
      </w:pPr>
    </w:p>
    <w:p w:rsidR="002379F2" w:rsidRPr="00260B47" w:rsidRDefault="002379F2" w:rsidP="00A76F4A">
      <w:pPr>
        <w:ind w:left="120" w:right="12"/>
        <w:rPr>
          <w:sz w:val="21"/>
          <w:szCs w:val="21"/>
        </w:rPr>
      </w:pPr>
      <w:r w:rsidRPr="00260B47">
        <w:rPr>
          <w:rFonts w:eastAsia="Times New Roman"/>
          <w:sz w:val="21"/>
          <w:szCs w:val="21"/>
        </w:rPr>
        <w:t>Le tableau ci-après résume ces aspects en rapport avec le type de contenant.</w:t>
      </w:r>
    </w:p>
    <w:tbl>
      <w:tblPr>
        <w:tblW w:w="9280" w:type="dxa"/>
        <w:tblInd w:w="50" w:type="dxa"/>
        <w:tblLayout w:type="fixed"/>
        <w:tblCellMar>
          <w:left w:w="0" w:type="dxa"/>
          <w:right w:w="0" w:type="dxa"/>
        </w:tblCellMar>
        <w:tblLook w:val="04A0" w:firstRow="1" w:lastRow="0" w:firstColumn="1" w:lastColumn="0" w:noHBand="0" w:noVBand="1"/>
      </w:tblPr>
      <w:tblGrid>
        <w:gridCol w:w="2240"/>
        <w:gridCol w:w="900"/>
        <w:gridCol w:w="740"/>
        <w:gridCol w:w="740"/>
        <w:gridCol w:w="700"/>
        <w:gridCol w:w="1080"/>
        <w:gridCol w:w="920"/>
        <w:gridCol w:w="1260"/>
        <w:gridCol w:w="700"/>
      </w:tblGrid>
      <w:tr w:rsidR="002379F2" w:rsidRPr="00260B47" w:rsidTr="005C5F10">
        <w:trPr>
          <w:trHeight w:val="238"/>
        </w:trPr>
        <w:tc>
          <w:tcPr>
            <w:tcW w:w="2240" w:type="dxa"/>
            <w:tcBorders>
              <w:top w:val="single" w:sz="8" w:space="0" w:color="auto"/>
              <w:left w:val="single" w:sz="8" w:space="0" w:color="auto"/>
              <w:bottom w:val="single" w:sz="8" w:space="0" w:color="auto"/>
            </w:tcBorders>
            <w:vAlign w:val="bottom"/>
          </w:tcPr>
          <w:p w:rsidR="002379F2" w:rsidRPr="00260B47" w:rsidRDefault="002379F2" w:rsidP="00A76F4A">
            <w:pPr>
              <w:ind w:left="80" w:right="12"/>
              <w:rPr>
                <w:sz w:val="21"/>
                <w:szCs w:val="21"/>
              </w:rPr>
            </w:pPr>
            <w:r w:rsidRPr="00260B47">
              <w:rPr>
                <w:rFonts w:eastAsia="Times New Roman"/>
                <w:b/>
                <w:bCs/>
                <w:sz w:val="21"/>
                <w:szCs w:val="21"/>
              </w:rPr>
              <w:t>Traitement</w:t>
            </w:r>
          </w:p>
        </w:tc>
        <w:tc>
          <w:tcPr>
            <w:tcW w:w="900" w:type="dxa"/>
            <w:tcBorders>
              <w:top w:val="single" w:sz="8" w:space="0" w:color="auto"/>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top w:val="single" w:sz="8" w:space="0" w:color="auto"/>
              <w:bottom w:val="single" w:sz="8" w:space="0" w:color="auto"/>
            </w:tcBorders>
            <w:vAlign w:val="bottom"/>
          </w:tcPr>
          <w:p w:rsidR="002379F2" w:rsidRPr="00260B47" w:rsidRDefault="002379F2" w:rsidP="00A76F4A">
            <w:pPr>
              <w:ind w:left="40" w:right="12"/>
              <w:rPr>
                <w:sz w:val="21"/>
                <w:szCs w:val="21"/>
              </w:rPr>
            </w:pPr>
            <w:r w:rsidRPr="00260B47">
              <w:rPr>
                <w:rFonts w:eastAsia="Times New Roman"/>
                <w:b/>
                <w:bCs/>
                <w:sz w:val="21"/>
                <w:szCs w:val="21"/>
              </w:rPr>
              <w:t>Type</w:t>
            </w:r>
          </w:p>
        </w:tc>
        <w:tc>
          <w:tcPr>
            <w:tcW w:w="740" w:type="dxa"/>
            <w:tcBorders>
              <w:top w:val="single" w:sz="8" w:space="0" w:color="auto"/>
              <w:bottom w:val="single" w:sz="8" w:space="0" w:color="auto"/>
            </w:tcBorders>
            <w:vAlign w:val="bottom"/>
          </w:tcPr>
          <w:p w:rsidR="002379F2" w:rsidRPr="00260B47" w:rsidRDefault="002379F2" w:rsidP="00A76F4A">
            <w:pPr>
              <w:ind w:right="12"/>
              <w:rPr>
                <w:sz w:val="21"/>
                <w:szCs w:val="21"/>
              </w:rPr>
            </w:pPr>
          </w:p>
        </w:tc>
        <w:tc>
          <w:tcPr>
            <w:tcW w:w="700" w:type="dxa"/>
            <w:tcBorders>
              <w:top w:val="single" w:sz="8" w:space="0" w:color="auto"/>
              <w:bottom w:val="single" w:sz="8" w:space="0" w:color="auto"/>
            </w:tcBorders>
            <w:vAlign w:val="bottom"/>
          </w:tcPr>
          <w:p w:rsidR="002379F2" w:rsidRPr="00260B47" w:rsidRDefault="002379F2" w:rsidP="00A76F4A">
            <w:pPr>
              <w:ind w:right="12"/>
              <w:rPr>
                <w:sz w:val="21"/>
                <w:szCs w:val="21"/>
              </w:rPr>
            </w:pPr>
          </w:p>
        </w:tc>
        <w:tc>
          <w:tcPr>
            <w:tcW w:w="1080" w:type="dxa"/>
            <w:tcBorders>
              <w:top w:val="single" w:sz="8" w:space="0" w:color="auto"/>
              <w:bottom w:val="single" w:sz="8" w:space="0" w:color="auto"/>
            </w:tcBorders>
            <w:vAlign w:val="bottom"/>
          </w:tcPr>
          <w:p w:rsidR="002379F2" w:rsidRPr="00260B47" w:rsidRDefault="002379F2" w:rsidP="00A76F4A">
            <w:pPr>
              <w:ind w:right="12"/>
              <w:rPr>
                <w:sz w:val="21"/>
                <w:szCs w:val="21"/>
              </w:rPr>
            </w:pPr>
          </w:p>
        </w:tc>
        <w:tc>
          <w:tcPr>
            <w:tcW w:w="920" w:type="dxa"/>
            <w:tcBorders>
              <w:top w:val="single" w:sz="8" w:space="0" w:color="auto"/>
              <w:bottom w:val="single" w:sz="8" w:space="0" w:color="auto"/>
            </w:tcBorders>
            <w:vAlign w:val="bottom"/>
          </w:tcPr>
          <w:p w:rsidR="002379F2" w:rsidRPr="00260B47" w:rsidRDefault="002379F2" w:rsidP="00A76F4A">
            <w:pPr>
              <w:ind w:right="12"/>
              <w:rPr>
                <w:sz w:val="21"/>
                <w:szCs w:val="21"/>
              </w:rPr>
            </w:pPr>
          </w:p>
        </w:tc>
        <w:tc>
          <w:tcPr>
            <w:tcW w:w="1260" w:type="dxa"/>
            <w:tcBorders>
              <w:top w:val="single" w:sz="8" w:space="0" w:color="auto"/>
              <w:bottom w:val="single" w:sz="8" w:space="0" w:color="auto"/>
            </w:tcBorders>
            <w:vAlign w:val="bottom"/>
          </w:tcPr>
          <w:p w:rsidR="002379F2" w:rsidRPr="00260B47" w:rsidRDefault="002379F2" w:rsidP="00A76F4A">
            <w:pPr>
              <w:ind w:right="12"/>
              <w:rPr>
                <w:sz w:val="21"/>
                <w:szCs w:val="21"/>
              </w:rPr>
            </w:pPr>
          </w:p>
        </w:tc>
        <w:tc>
          <w:tcPr>
            <w:tcW w:w="700" w:type="dxa"/>
            <w:tcBorders>
              <w:top w:val="single" w:sz="8" w:space="0" w:color="auto"/>
              <w:bottom w:val="single" w:sz="8" w:space="0" w:color="auto"/>
              <w:right w:val="single" w:sz="8" w:space="0" w:color="auto"/>
            </w:tcBorders>
            <w:vAlign w:val="bottom"/>
          </w:tcPr>
          <w:p w:rsidR="002379F2" w:rsidRPr="00260B47" w:rsidRDefault="002379F2" w:rsidP="00A76F4A">
            <w:pPr>
              <w:ind w:right="12"/>
              <w:rPr>
                <w:sz w:val="21"/>
                <w:szCs w:val="21"/>
              </w:rPr>
            </w:pPr>
          </w:p>
        </w:tc>
      </w:tr>
      <w:tr w:rsidR="005C5F10" w:rsidRPr="00260B47" w:rsidTr="008C4DA8">
        <w:trPr>
          <w:trHeight w:val="86"/>
        </w:trPr>
        <w:tc>
          <w:tcPr>
            <w:tcW w:w="3140" w:type="dxa"/>
            <w:gridSpan w:val="2"/>
            <w:tcBorders>
              <w:left w:val="single" w:sz="8" w:space="0" w:color="auto"/>
              <w:right w:val="single" w:sz="8" w:space="0" w:color="auto"/>
            </w:tcBorders>
            <w:vAlign w:val="bottom"/>
          </w:tcPr>
          <w:p w:rsidR="005C5F10" w:rsidRPr="00260B47" w:rsidRDefault="005C5F10" w:rsidP="00A76F4A">
            <w:pPr>
              <w:ind w:right="12"/>
              <w:rPr>
                <w:sz w:val="21"/>
                <w:szCs w:val="21"/>
              </w:rPr>
            </w:pPr>
          </w:p>
        </w:tc>
        <w:tc>
          <w:tcPr>
            <w:tcW w:w="740" w:type="dxa"/>
            <w:tcBorders>
              <w:left w:val="single" w:sz="8" w:space="0" w:color="auto"/>
              <w:right w:val="single" w:sz="8" w:space="0" w:color="auto"/>
            </w:tcBorders>
            <w:vAlign w:val="bottom"/>
          </w:tcPr>
          <w:p w:rsidR="005C5F10" w:rsidRPr="00260B47" w:rsidRDefault="005C5F10" w:rsidP="00A76F4A">
            <w:pPr>
              <w:spacing w:line="213" w:lineRule="exact"/>
              <w:ind w:left="40" w:right="12"/>
              <w:rPr>
                <w:sz w:val="21"/>
                <w:szCs w:val="21"/>
              </w:rPr>
            </w:pPr>
            <w:r w:rsidRPr="00260B47">
              <w:rPr>
                <w:rFonts w:eastAsia="Times New Roman"/>
                <w:sz w:val="21"/>
                <w:szCs w:val="21"/>
              </w:rPr>
              <w:t>papier</w:t>
            </w:r>
          </w:p>
        </w:tc>
        <w:tc>
          <w:tcPr>
            <w:tcW w:w="740" w:type="dxa"/>
            <w:tcBorders>
              <w:right w:val="single" w:sz="8" w:space="0" w:color="auto"/>
            </w:tcBorders>
            <w:vAlign w:val="bottom"/>
          </w:tcPr>
          <w:p w:rsidR="005C5F10" w:rsidRPr="00260B47" w:rsidRDefault="005C5F10" w:rsidP="00A76F4A">
            <w:pPr>
              <w:spacing w:line="213" w:lineRule="exact"/>
              <w:ind w:left="40" w:right="12"/>
              <w:rPr>
                <w:sz w:val="21"/>
                <w:szCs w:val="21"/>
              </w:rPr>
            </w:pPr>
            <w:r w:rsidRPr="00260B47">
              <w:rPr>
                <w:rFonts w:eastAsia="Times New Roman"/>
                <w:sz w:val="21"/>
                <w:szCs w:val="21"/>
              </w:rPr>
              <w:t>carton</w:t>
            </w:r>
          </w:p>
        </w:tc>
        <w:tc>
          <w:tcPr>
            <w:tcW w:w="700" w:type="dxa"/>
            <w:tcBorders>
              <w:right w:val="single" w:sz="8" w:space="0" w:color="auto"/>
            </w:tcBorders>
            <w:vAlign w:val="bottom"/>
          </w:tcPr>
          <w:p w:rsidR="005C5F10" w:rsidRPr="00260B47" w:rsidRDefault="005C5F10" w:rsidP="00A76F4A">
            <w:pPr>
              <w:spacing w:line="213" w:lineRule="exact"/>
              <w:ind w:left="40" w:right="12"/>
              <w:rPr>
                <w:sz w:val="21"/>
                <w:szCs w:val="21"/>
              </w:rPr>
            </w:pPr>
            <w:r w:rsidRPr="00260B47">
              <w:rPr>
                <w:rFonts w:eastAsia="Times New Roman"/>
                <w:sz w:val="21"/>
                <w:szCs w:val="21"/>
              </w:rPr>
              <w:t>fibre</w:t>
            </w:r>
          </w:p>
        </w:tc>
        <w:tc>
          <w:tcPr>
            <w:tcW w:w="1080" w:type="dxa"/>
            <w:tcBorders>
              <w:right w:val="single" w:sz="8" w:space="0" w:color="auto"/>
            </w:tcBorders>
            <w:vAlign w:val="bottom"/>
          </w:tcPr>
          <w:p w:rsidR="005C5F10" w:rsidRPr="00260B47" w:rsidRDefault="005C5F10" w:rsidP="00A76F4A">
            <w:pPr>
              <w:spacing w:line="213" w:lineRule="exact"/>
              <w:ind w:left="40" w:right="12"/>
              <w:rPr>
                <w:sz w:val="21"/>
                <w:szCs w:val="21"/>
              </w:rPr>
            </w:pPr>
            <w:r w:rsidRPr="00260B47">
              <w:rPr>
                <w:rFonts w:eastAsia="Times New Roman"/>
                <w:sz w:val="21"/>
                <w:szCs w:val="21"/>
              </w:rPr>
              <w:t>plastique</w:t>
            </w:r>
          </w:p>
        </w:tc>
        <w:tc>
          <w:tcPr>
            <w:tcW w:w="920" w:type="dxa"/>
            <w:tcBorders>
              <w:right w:val="single" w:sz="8" w:space="0" w:color="auto"/>
            </w:tcBorders>
            <w:vAlign w:val="bottom"/>
          </w:tcPr>
          <w:p w:rsidR="005C5F10" w:rsidRPr="00260B47" w:rsidRDefault="005C5F10" w:rsidP="00A76F4A">
            <w:pPr>
              <w:spacing w:line="213" w:lineRule="exact"/>
              <w:ind w:left="40" w:right="12"/>
              <w:rPr>
                <w:sz w:val="21"/>
                <w:szCs w:val="21"/>
              </w:rPr>
            </w:pPr>
            <w:r w:rsidRPr="00260B47">
              <w:rPr>
                <w:rFonts w:eastAsia="Times New Roman"/>
                <w:sz w:val="21"/>
                <w:szCs w:val="21"/>
              </w:rPr>
              <w:t>verre</w:t>
            </w:r>
          </w:p>
        </w:tc>
        <w:tc>
          <w:tcPr>
            <w:tcW w:w="1960" w:type="dxa"/>
            <w:gridSpan w:val="2"/>
            <w:tcBorders>
              <w:bottom w:val="single" w:sz="4" w:space="0" w:color="auto"/>
              <w:right w:val="single" w:sz="8" w:space="0" w:color="auto"/>
            </w:tcBorders>
            <w:vAlign w:val="bottom"/>
          </w:tcPr>
          <w:p w:rsidR="005C5F10" w:rsidRPr="00260B47" w:rsidRDefault="005C5F10" w:rsidP="00A76F4A">
            <w:pPr>
              <w:ind w:right="12"/>
              <w:rPr>
                <w:sz w:val="21"/>
                <w:szCs w:val="21"/>
              </w:rPr>
            </w:pPr>
            <w:r w:rsidRPr="00260B47">
              <w:rPr>
                <w:rFonts w:eastAsia="Times New Roman"/>
                <w:sz w:val="21"/>
                <w:szCs w:val="21"/>
              </w:rPr>
              <w:t>Fût</w:t>
            </w:r>
          </w:p>
        </w:tc>
      </w:tr>
      <w:tr w:rsidR="005C1878" w:rsidRPr="00260B47" w:rsidTr="005C1878">
        <w:trPr>
          <w:trHeight w:val="111"/>
        </w:trPr>
        <w:tc>
          <w:tcPr>
            <w:tcW w:w="2240" w:type="dxa"/>
            <w:tcBorders>
              <w:left w:val="single" w:sz="8" w:space="0" w:color="auto"/>
              <w:bottom w:val="single" w:sz="4" w:space="0" w:color="auto"/>
            </w:tcBorders>
            <w:vAlign w:val="bottom"/>
          </w:tcPr>
          <w:p w:rsidR="005C1878" w:rsidRPr="00260B47" w:rsidRDefault="005C1878" w:rsidP="00A76F4A">
            <w:pPr>
              <w:ind w:right="12"/>
              <w:rPr>
                <w:sz w:val="21"/>
                <w:szCs w:val="21"/>
              </w:rPr>
            </w:pPr>
          </w:p>
        </w:tc>
        <w:tc>
          <w:tcPr>
            <w:tcW w:w="900" w:type="dxa"/>
            <w:tcBorders>
              <w:bottom w:val="single" w:sz="4" w:space="0" w:color="auto"/>
              <w:right w:val="single" w:sz="8" w:space="0" w:color="auto"/>
            </w:tcBorders>
            <w:vAlign w:val="bottom"/>
          </w:tcPr>
          <w:p w:rsidR="005C1878" w:rsidRPr="00260B47" w:rsidRDefault="005C1878" w:rsidP="00A76F4A">
            <w:pPr>
              <w:ind w:right="12"/>
              <w:rPr>
                <w:sz w:val="21"/>
                <w:szCs w:val="21"/>
              </w:rPr>
            </w:pPr>
          </w:p>
        </w:tc>
        <w:tc>
          <w:tcPr>
            <w:tcW w:w="740" w:type="dxa"/>
            <w:tcBorders>
              <w:bottom w:val="single" w:sz="4" w:space="0" w:color="auto"/>
              <w:right w:val="single" w:sz="8" w:space="0" w:color="auto"/>
            </w:tcBorders>
            <w:vAlign w:val="bottom"/>
          </w:tcPr>
          <w:p w:rsidR="005C1878" w:rsidRPr="00260B47" w:rsidRDefault="005C1878" w:rsidP="00A76F4A">
            <w:pPr>
              <w:ind w:right="12"/>
              <w:rPr>
                <w:sz w:val="21"/>
                <w:szCs w:val="21"/>
              </w:rPr>
            </w:pPr>
          </w:p>
        </w:tc>
        <w:tc>
          <w:tcPr>
            <w:tcW w:w="740" w:type="dxa"/>
            <w:tcBorders>
              <w:bottom w:val="single" w:sz="4" w:space="0" w:color="auto"/>
              <w:right w:val="single" w:sz="8" w:space="0" w:color="auto"/>
            </w:tcBorders>
            <w:vAlign w:val="bottom"/>
          </w:tcPr>
          <w:p w:rsidR="005C1878" w:rsidRPr="00260B47" w:rsidRDefault="005C1878" w:rsidP="00A76F4A">
            <w:pPr>
              <w:ind w:right="12"/>
              <w:rPr>
                <w:sz w:val="21"/>
                <w:szCs w:val="21"/>
              </w:rPr>
            </w:pPr>
          </w:p>
        </w:tc>
        <w:tc>
          <w:tcPr>
            <w:tcW w:w="700" w:type="dxa"/>
            <w:tcBorders>
              <w:bottom w:val="single" w:sz="4" w:space="0" w:color="auto"/>
              <w:right w:val="single" w:sz="8" w:space="0" w:color="auto"/>
            </w:tcBorders>
            <w:vAlign w:val="bottom"/>
          </w:tcPr>
          <w:p w:rsidR="005C1878" w:rsidRPr="00260B47" w:rsidRDefault="005C1878" w:rsidP="00A76F4A">
            <w:pPr>
              <w:ind w:right="12"/>
              <w:rPr>
                <w:sz w:val="21"/>
                <w:szCs w:val="21"/>
              </w:rPr>
            </w:pPr>
          </w:p>
        </w:tc>
        <w:tc>
          <w:tcPr>
            <w:tcW w:w="1080" w:type="dxa"/>
            <w:tcBorders>
              <w:bottom w:val="single" w:sz="4" w:space="0" w:color="auto"/>
              <w:right w:val="single" w:sz="8" w:space="0" w:color="auto"/>
            </w:tcBorders>
            <w:vAlign w:val="bottom"/>
          </w:tcPr>
          <w:p w:rsidR="005C1878" w:rsidRPr="00260B47" w:rsidRDefault="005C1878" w:rsidP="00A76F4A">
            <w:pPr>
              <w:ind w:right="12"/>
              <w:rPr>
                <w:sz w:val="21"/>
                <w:szCs w:val="21"/>
              </w:rPr>
            </w:pPr>
          </w:p>
        </w:tc>
        <w:tc>
          <w:tcPr>
            <w:tcW w:w="920" w:type="dxa"/>
            <w:tcBorders>
              <w:bottom w:val="single" w:sz="4" w:space="0" w:color="auto"/>
              <w:right w:val="single" w:sz="8" w:space="0" w:color="auto"/>
            </w:tcBorders>
            <w:vAlign w:val="bottom"/>
          </w:tcPr>
          <w:p w:rsidR="005C1878" w:rsidRPr="00260B47" w:rsidRDefault="005C1878" w:rsidP="00A76F4A">
            <w:pPr>
              <w:ind w:right="12"/>
              <w:rPr>
                <w:sz w:val="21"/>
                <w:szCs w:val="21"/>
              </w:rPr>
            </w:pPr>
          </w:p>
        </w:tc>
        <w:tc>
          <w:tcPr>
            <w:tcW w:w="1260" w:type="dxa"/>
            <w:tcBorders>
              <w:top w:val="single" w:sz="4" w:space="0" w:color="auto"/>
              <w:bottom w:val="single" w:sz="4" w:space="0" w:color="auto"/>
              <w:right w:val="single" w:sz="8" w:space="0" w:color="auto"/>
            </w:tcBorders>
            <w:vAlign w:val="bottom"/>
          </w:tcPr>
          <w:p w:rsidR="005C1878" w:rsidRPr="00260B47" w:rsidRDefault="005C1878" w:rsidP="00A76F4A">
            <w:pPr>
              <w:spacing w:line="219" w:lineRule="exact"/>
              <w:ind w:left="40" w:right="12"/>
              <w:rPr>
                <w:sz w:val="21"/>
                <w:szCs w:val="21"/>
              </w:rPr>
            </w:pPr>
            <w:r w:rsidRPr="00260B47">
              <w:rPr>
                <w:rFonts w:eastAsia="Times New Roman"/>
                <w:sz w:val="21"/>
                <w:szCs w:val="21"/>
              </w:rPr>
              <w:t>50 à 200l</w:t>
            </w:r>
          </w:p>
        </w:tc>
        <w:tc>
          <w:tcPr>
            <w:tcW w:w="700" w:type="dxa"/>
            <w:tcBorders>
              <w:top w:val="single" w:sz="4" w:space="0" w:color="auto"/>
              <w:bottom w:val="single" w:sz="4" w:space="0" w:color="auto"/>
              <w:right w:val="single" w:sz="8" w:space="0" w:color="auto"/>
            </w:tcBorders>
            <w:vAlign w:val="bottom"/>
          </w:tcPr>
          <w:p w:rsidR="005C1878" w:rsidRPr="00260B47" w:rsidRDefault="005C1878" w:rsidP="00A76F4A">
            <w:pPr>
              <w:spacing w:line="232" w:lineRule="exact"/>
              <w:ind w:left="40" w:right="12"/>
              <w:rPr>
                <w:sz w:val="21"/>
                <w:szCs w:val="21"/>
              </w:rPr>
            </w:pPr>
            <w:r w:rsidRPr="00260B47">
              <w:rPr>
                <w:rFonts w:ascii="Symbol" w:eastAsia="Symbol" w:hAnsi="Symbol" w:cs="Symbol"/>
                <w:sz w:val="21"/>
                <w:szCs w:val="21"/>
              </w:rPr>
              <w:t></w:t>
            </w:r>
            <w:r w:rsidRPr="00260B47">
              <w:rPr>
                <w:rFonts w:eastAsia="Times New Roman"/>
                <w:sz w:val="21"/>
                <w:szCs w:val="21"/>
              </w:rPr>
              <w:t>20l</w:t>
            </w:r>
          </w:p>
        </w:tc>
      </w:tr>
      <w:tr w:rsidR="002379F2" w:rsidRPr="00260B47" w:rsidTr="005C1878">
        <w:trPr>
          <w:trHeight w:val="216"/>
        </w:trPr>
        <w:tc>
          <w:tcPr>
            <w:tcW w:w="2240" w:type="dxa"/>
            <w:tcBorders>
              <w:top w:val="single" w:sz="4" w:space="0" w:color="auto"/>
              <w:left w:val="single" w:sz="8" w:space="0" w:color="auto"/>
              <w:bottom w:val="single" w:sz="8" w:space="0" w:color="auto"/>
            </w:tcBorders>
            <w:vAlign w:val="bottom"/>
          </w:tcPr>
          <w:p w:rsidR="002379F2" w:rsidRPr="00260B47" w:rsidRDefault="002379F2" w:rsidP="00A76F4A">
            <w:pPr>
              <w:spacing w:line="216" w:lineRule="exact"/>
              <w:ind w:left="80" w:right="12"/>
              <w:rPr>
                <w:sz w:val="21"/>
                <w:szCs w:val="21"/>
              </w:rPr>
            </w:pPr>
            <w:r w:rsidRPr="00260B47">
              <w:rPr>
                <w:rFonts w:eastAsia="Times New Roman"/>
                <w:sz w:val="21"/>
                <w:szCs w:val="21"/>
              </w:rPr>
              <w:t>Décontamination</w:t>
            </w:r>
          </w:p>
        </w:tc>
        <w:tc>
          <w:tcPr>
            <w:tcW w:w="900" w:type="dxa"/>
            <w:tcBorders>
              <w:top w:val="single" w:sz="4" w:space="0" w:color="auto"/>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top w:val="single" w:sz="4" w:space="0" w:color="auto"/>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top w:val="single" w:sz="4" w:space="0" w:color="auto"/>
              <w:bottom w:val="single" w:sz="8" w:space="0" w:color="auto"/>
              <w:right w:val="single" w:sz="8" w:space="0" w:color="auto"/>
            </w:tcBorders>
            <w:vAlign w:val="bottom"/>
          </w:tcPr>
          <w:p w:rsidR="002379F2" w:rsidRPr="00260B47" w:rsidRDefault="002379F2" w:rsidP="00A76F4A">
            <w:pPr>
              <w:ind w:right="12"/>
              <w:rPr>
                <w:sz w:val="21"/>
                <w:szCs w:val="21"/>
              </w:rPr>
            </w:pPr>
          </w:p>
        </w:tc>
        <w:tc>
          <w:tcPr>
            <w:tcW w:w="700" w:type="dxa"/>
            <w:tcBorders>
              <w:top w:val="single" w:sz="4" w:space="0" w:color="auto"/>
              <w:bottom w:val="single" w:sz="8" w:space="0" w:color="auto"/>
              <w:right w:val="single" w:sz="8" w:space="0" w:color="auto"/>
            </w:tcBorders>
            <w:vAlign w:val="bottom"/>
          </w:tcPr>
          <w:p w:rsidR="002379F2" w:rsidRPr="00260B47" w:rsidRDefault="002379F2" w:rsidP="00A76F4A">
            <w:pPr>
              <w:ind w:right="12"/>
              <w:rPr>
                <w:sz w:val="21"/>
                <w:szCs w:val="21"/>
              </w:rPr>
            </w:pPr>
          </w:p>
        </w:tc>
        <w:tc>
          <w:tcPr>
            <w:tcW w:w="1080" w:type="dxa"/>
            <w:tcBorders>
              <w:top w:val="single" w:sz="4" w:space="0" w:color="auto"/>
              <w:bottom w:val="single" w:sz="8" w:space="0" w:color="auto"/>
              <w:right w:val="single" w:sz="8" w:space="0" w:color="auto"/>
            </w:tcBorders>
            <w:vAlign w:val="bottom"/>
          </w:tcPr>
          <w:p w:rsidR="002379F2" w:rsidRPr="00260B47" w:rsidRDefault="002379F2" w:rsidP="00A76F4A">
            <w:pPr>
              <w:spacing w:line="216" w:lineRule="exact"/>
              <w:ind w:left="40" w:right="12"/>
              <w:rPr>
                <w:sz w:val="21"/>
                <w:szCs w:val="21"/>
              </w:rPr>
            </w:pPr>
            <w:r w:rsidRPr="00260B47">
              <w:rPr>
                <w:rFonts w:eastAsia="Times New Roman"/>
                <w:sz w:val="21"/>
                <w:szCs w:val="21"/>
              </w:rPr>
              <w:t>X</w:t>
            </w:r>
          </w:p>
        </w:tc>
        <w:tc>
          <w:tcPr>
            <w:tcW w:w="920" w:type="dxa"/>
            <w:tcBorders>
              <w:top w:val="single" w:sz="4" w:space="0" w:color="auto"/>
              <w:bottom w:val="single" w:sz="8" w:space="0" w:color="auto"/>
              <w:right w:val="single" w:sz="8" w:space="0" w:color="auto"/>
            </w:tcBorders>
            <w:vAlign w:val="bottom"/>
          </w:tcPr>
          <w:p w:rsidR="002379F2" w:rsidRPr="00260B47" w:rsidRDefault="002379F2" w:rsidP="00A76F4A">
            <w:pPr>
              <w:spacing w:line="216" w:lineRule="exact"/>
              <w:ind w:left="40" w:right="12"/>
              <w:rPr>
                <w:sz w:val="21"/>
                <w:szCs w:val="21"/>
              </w:rPr>
            </w:pPr>
            <w:r w:rsidRPr="00260B47">
              <w:rPr>
                <w:rFonts w:eastAsia="Times New Roman"/>
                <w:sz w:val="21"/>
                <w:szCs w:val="21"/>
              </w:rPr>
              <w:t>X</w:t>
            </w:r>
          </w:p>
        </w:tc>
        <w:tc>
          <w:tcPr>
            <w:tcW w:w="1260" w:type="dxa"/>
            <w:tcBorders>
              <w:top w:val="single" w:sz="4" w:space="0" w:color="auto"/>
              <w:bottom w:val="single" w:sz="8" w:space="0" w:color="auto"/>
              <w:right w:val="single" w:sz="8" w:space="0" w:color="auto"/>
            </w:tcBorders>
            <w:vAlign w:val="bottom"/>
          </w:tcPr>
          <w:p w:rsidR="002379F2" w:rsidRPr="00260B47" w:rsidRDefault="002379F2" w:rsidP="00A76F4A">
            <w:pPr>
              <w:spacing w:line="216" w:lineRule="exact"/>
              <w:ind w:left="40" w:right="12"/>
              <w:rPr>
                <w:sz w:val="21"/>
                <w:szCs w:val="21"/>
              </w:rPr>
            </w:pPr>
            <w:r w:rsidRPr="00260B47">
              <w:rPr>
                <w:rFonts w:eastAsia="Times New Roman"/>
                <w:sz w:val="21"/>
                <w:szCs w:val="21"/>
              </w:rPr>
              <w:t>X</w:t>
            </w:r>
          </w:p>
        </w:tc>
        <w:tc>
          <w:tcPr>
            <w:tcW w:w="700" w:type="dxa"/>
            <w:tcBorders>
              <w:top w:val="single" w:sz="4" w:space="0" w:color="auto"/>
              <w:bottom w:val="single" w:sz="8" w:space="0" w:color="auto"/>
              <w:right w:val="single" w:sz="8" w:space="0" w:color="auto"/>
            </w:tcBorders>
            <w:vAlign w:val="bottom"/>
          </w:tcPr>
          <w:p w:rsidR="002379F2" w:rsidRPr="00260B47" w:rsidRDefault="002379F2" w:rsidP="00A76F4A">
            <w:pPr>
              <w:spacing w:line="216" w:lineRule="exact"/>
              <w:ind w:left="40" w:right="12"/>
              <w:rPr>
                <w:sz w:val="21"/>
                <w:szCs w:val="21"/>
              </w:rPr>
            </w:pPr>
            <w:r w:rsidRPr="00260B47">
              <w:rPr>
                <w:rFonts w:eastAsia="Times New Roman"/>
                <w:sz w:val="21"/>
                <w:szCs w:val="21"/>
              </w:rPr>
              <w:t>X</w:t>
            </w: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2379F2" w:rsidP="00A76F4A">
            <w:pPr>
              <w:spacing w:line="219" w:lineRule="exact"/>
              <w:ind w:left="80" w:right="12"/>
              <w:rPr>
                <w:sz w:val="21"/>
                <w:szCs w:val="21"/>
              </w:rPr>
            </w:pPr>
            <w:r w:rsidRPr="00260B47">
              <w:rPr>
                <w:rFonts w:eastAsia="Times New Roman"/>
                <w:sz w:val="21"/>
                <w:szCs w:val="21"/>
              </w:rPr>
              <w:t>Elimination</w:t>
            </w:r>
          </w:p>
        </w:tc>
        <w:tc>
          <w:tcPr>
            <w:tcW w:w="9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bottom w:val="single" w:sz="8" w:space="0" w:color="auto"/>
              <w:right w:val="single" w:sz="8" w:space="0" w:color="auto"/>
            </w:tcBorders>
            <w:shd w:val="clear" w:color="auto" w:fill="000000"/>
            <w:vAlign w:val="bottom"/>
          </w:tcPr>
          <w:p w:rsidR="002379F2" w:rsidRPr="00260B47" w:rsidRDefault="002379F2" w:rsidP="00A76F4A">
            <w:pPr>
              <w:ind w:right="12"/>
              <w:rPr>
                <w:sz w:val="21"/>
                <w:szCs w:val="21"/>
              </w:rPr>
            </w:pPr>
          </w:p>
        </w:tc>
        <w:tc>
          <w:tcPr>
            <w:tcW w:w="740" w:type="dxa"/>
            <w:tcBorders>
              <w:bottom w:val="single" w:sz="8" w:space="0" w:color="auto"/>
              <w:right w:val="single" w:sz="8" w:space="0" w:color="auto"/>
            </w:tcBorders>
            <w:shd w:val="clear" w:color="auto" w:fill="000000"/>
            <w:vAlign w:val="bottom"/>
          </w:tcPr>
          <w:p w:rsidR="002379F2" w:rsidRPr="00260B47" w:rsidRDefault="002379F2" w:rsidP="00A76F4A">
            <w:pPr>
              <w:ind w:right="12"/>
              <w:rPr>
                <w:sz w:val="21"/>
                <w:szCs w:val="21"/>
              </w:rPr>
            </w:pPr>
          </w:p>
        </w:tc>
        <w:tc>
          <w:tcPr>
            <w:tcW w:w="700" w:type="dxa"/>
            <w:tcBorders>
              <w:bottom w:val="single" w:sz="8" w:space="0" w:color="auto"/>
              <w:right w:val="single" w:sz="8" w:space="0" w:color="auto"/>
            </w:tcBorders>
            <w:shd w:val="clear" w:color="auto" w:fill="000000"/>
            <w:vAlign w:val="bottom"/>
          </w:tcPr>
          <w:p w:rsidR="002379F2" w:rsidRPr="00260B47" w:rsidRDefault="002379F2" w:rsidP="00A76F4A">
            <w:pPr>
              <w:ind w:right="12"/>
              <w:rPr>
                <w:sz w:val="21"/>
                <w:szCs w:val="21"/>
              </w:rPr>
            </w:pPr>
          </w:p>
        </w:tc>
        <w:tc>
          <w:tcPr>
            <w:tcW w:w="1080" w:type="dxa"/>
            <w:tcBorders>
              <w:bottom w:val="single" w:sz="8" w:space="0" w:color="auto"/>
              <w:right w:val="single" w:sz="8" w:space="0" w:color="auto"/>
            </w:tcBorders>
            <w:shd w:val="clear" w:color="auto" w:fill="000000"/>
            <w:vAlign w:val="bottom"/>
          </w:tcPr>
          <w:p w:rsidR="002379F2" w:rsidRPr="00260B47" w:rsidRDefault="002379F2" w:rsidP="00A76F4A">
            <w:pPr>
              <w:ind w:right="12"/>
              <w:rPr>
                <w:sz w:val="21"/>
                <w:szCs w:val="21"/>
              </w:rPr>
            </w:pPr>
          </w:p>
        </w:tc>
        <w:tc>
          <w:tcPr>
            <w:tcW w:w="920" w:type="dxa"/>
            <w:tcBorders>
              <w:bottom w:val="single" w:sz="8" w:space="0" w:color="auto"/>
              <w:right w:val="single" w:sz="8" w:space="0" w:color="auto"/>
            </w:tcBorders>
            <w:shd w:val="clear" w:color="auto" w:fill="000000"/>
            <w:vAlign w:val="bottom"/>
          </w:tcPr>
          <w:p w:rsidR="002379F2" w:rsidRPr="00260B47" w:rsidRDefault="002379F2" w:rsidP="00A76F4A">
            <w:pPr>
              <w:ind w:right="12"/>
              <w:rPr>
                <w:sz w:val="21"/>
                <w:szCs w:val="21"/>
              </w:rPr>
            </w:pPr>
          </w:p>
        </w:tc>
        <w:tc>
          <w:tcPr>
            <w:tcW w:w="1260" w:type="dxa"/>
            <w:tcBorders>
              <w:bottom w:val="single" w:sz="8" w:space="0" w:color="auto"/>
              <w:right w:val="single" w:sz="8" w:space="0" w:color="auto"/>
            </w:tcBorders>
            <w:shd w:val="clear" w:color="auto" w:fill="000000"/>
            <w:vAlign w:val="bottom"/>
          </w:tcPr>
          <w:p w:rsidR="002379F2" w:rsidRPr="00260B47" w:rsidRDefault="002379F2" w:rsidP="00A76F4A">
            <w:pPr>
              <w:ind w:right="12"/>
              <w:rPr>
                <w:sz w:val="21"/>
                <w:szCs w:val="21"/>
              </w:rPr>
            </w:pPr>
          </w:p>
        </w:tc>
        <w:tc>
          <w:tcPr>
            <w:tcW w:w="700" w:type="dxa"/>
            <w:tcBorders>
              <w:bottom w:val="single" w:sz="8" w:space="0" w:color="auto"/>
              <w:right w:val="single" w:sz="8" w:space="0" w:color="auto"/>
            </w:tcBorders>
            <w:shd w:val="clear" w:color="auto" w:fill="000000"/>
            <w:vAlign w:val="bottom"/>
          </w:tcPr>
          <w:p w:rsidR="002379F2" w:rsidRPr="00260B47" w:rsidRDefault="002379F2" w:rsidP="00A76F4A">
            <w:pPr>
              <w:ind w:right="12"/>
              <w:rPr>
                <w:sz w:val="21"/>
                <w:szCs w:val="21"/>
              </w:rPr>
            </w:pP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2379F2" w:rsidP="00A76F4A">
            <w:pPr>
              <w:spacing w:line="219" w:lineRule="exact"/>
              <w:ind w:left="80" w:right="12"/>
              <w:rPr>
                <w:sz w:val="21"/>
                <w:szCs w:val="21"/>
              </w:rPr>
            </w:pPr>
            <w:r w:rsidRPr="00260B47">
              <w:rPr>
                <w:rFonts w:eastAsia="Times New Roman"/>
                <w:sz w:val="21"/>
                <w:szCs w:val="21"/>
              </w:rPr>
              <w:t>Incinération (feu nu)</w:t>
            </w:r>
          </w:p>
        </w:tc>
        <w:tc>
          <w:tcPr>
            <w:tcW w:w="9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74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108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 (1)</w:t>
            </w:r>
          </w:p>
        </w:tc>
        <w:tc>
          <w:tcPr>
            <w:tcW w:w="92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 (2)</w:t>
            </w:r>
          </w:p>
        </w:tc>
        <w:tc>
          <w:tcPr>
            <w:tcW w:w="126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 (2)</w:t>
            </w:r>
          </w:p>
        </w:tc>
        <w:tc>
          <w:tcPr>
            <w:tcW w:w="70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 (2)</w:t>
            </w: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2379F2" w:rsidP="00A76F4A">
            <w:pPr>
              <w:spacing w:line="219" w:lineRule="exact"/>
              <w:ind w:left="80" w:right="12"/>
              <w:rPr>
                <w:sz w:val="21"/>
                <w:szCs w:val="21"/>
              </w:rPr>
            </w:pPr>
            <w:r w:rsidRPr="00260B47">
              <w:rPr>
                <w:rFonts w:eastAsia="Times New Roman"/>
                <w:sz w:val="21"/>
                <w:szCs w:val="21"/>
              </w:rPr>
              <w:t>Renvoi au fournisseur</w:t>
            </w:r>
          </w:p>
        </w:tc>
        <w:tc>
          <w:tcPr>
            <w:tcW w:w="9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108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92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126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r>
      <w:tr w:rsidR="002379F2" w:rsidRPr="00260B47" w:rsidTr="005C5F10">
        <w:trPr>
          <w:trHeight w:val="216"/>
        </w:trPr>
        <w:tc>
          <w:tcPr>
            <w:tcW w:w="2240" w:type="dxa"/>
            <w:tcBorders>
              <w:left w:val="single" w:sz="8" w:space="0" w:color="auto"/>
            </w:tcBorders>
            <w:vAlign w:val="bottom"/>
          </w:tcPr>
          <w:p w:rsidR="002379F2" w:rsidRPr="00260B47" w:rsidRDefault="002379F2" w:rsidP="00A76F4A">
            <w:pPr>
              <w:spacing w:line="216" w:lineRule="exact"/>
              <w:ind w:left="80" w:right="12"/>
              <w:rPr>
                <w:sz w:val="21"/>
                <w:szCs w:val="21"/>
              </w:rPr>
            </w:pPr>
            <w:r w:rsidRPr="00260B47">
              <w:rPr>
                <w:rFonts w:eastAsia="Times New Roman"/>
                <w:sz w:val="21"/>
                <w:szCs w:val="21"/>
              </w:rPr>
              <w:t>Vente</w:t>
            </w:r>
          </w:p>
        </w:tc>
        <w:tc>
          <w:tcPr>
            <w:tcW w:w="900" w:type="dxa"/>
            <w:tcBorders>
              <w:right w:val="single" w:sz="8" w:space="0" w:color="auto"/>
            </w:tcBorders>
            <w:vAlign w:val="bottom"/>
          </w:tcPr>
          <w:p w:rsidR="002379F2" w:rsidRPr="00260B47" w:rsidRDefault="000768F3" w:rsidP="00A76F4A">
            <w:pPr>
              <w:spacing w:line="216" w:lineRule="exact"/>
              <w:ind w:right="12"/>
              <w:rPr>
                <w:sz w:val="21"/>
                <w:szCs w:val="21"/>
              </w:rPr>
            </w:pPr>
            <w:r w:rsidRPr="00260B47">
              <w:rPr>
                <w:rFonts w:eastAsia="Times New Roman"/>
                <w:sz w:val="21"/>
                <w:szCs w:val="21"/>
              </w:rPr>
              <w:t>Entreprise</w:t>
            </w:r>
          </w:p>
        </w:tc>
        <w:tc>
          <w:tcPr>
            <w:tcW w:w="740" w:type="dxa"/>
            <w:tcBorders>
              <w:right w:val="single" w:sz="8" w:space="0" w:color="auto"/>
            </w:tcBorders>
            <w:vAlign w:val="bottom"/>
          </w:tcPr>
          <w:p w:rsidR="002379F2" w:rsidRPr="00260B47" w:rsidRDefault="002379F2" w:rsidP="00A76F4A">
            <w:pPr>
              <w:ind w:right="12"/>
              <w:rPr>
                <w:sz w:val="21"/>
                <w:szCs w:val="21"/>
              </w:rPr>
            </w:pPr>
          </w:p>
        </w:tc>
        <w:tc>
          <w:tcPr>
            <w:tcW w:w="740" w:type="dxa"/>
            <w:tcBorders>
              <w:right w:val="single" w:sz="8" w:space="0" w:color="auto"/>
            </w:tcBorders>
            <w:vAlign w:val="bottom"/>
          </w:tcPr>
          <w:p w:rsidR="002379F2" w:rsidRPr="00260B47" w:rsidRDefault="002379F2" w:rsidP="00A76F4A">
            <w:pPr>
              <w:ind w:right="12"/>
              <w:rPr>
                <w:sz w:val="21"/>
                <w:szCs w:val="21"/>
              </w:rPr>
            </w:pPr>
          </w:p>
        </w:tc>
        <w:tc>
          <w:tcPr>
            <w:tcW w:w="700" w:type="dxa"/>
            <w:tcBorders>
              <w:right w:val="single" w:sz="8" w:space="0" w:color="auto"/>
            </w:tcBorders>
            <w:vAlign w:val="bottom"/>
          </w:tcPr>
          <w:p w:rsidR="002379F2" w:rsidRPr="00260B47" w:rsidRDefault="002379F2" w:rsidP="00A76F4A">
            <w:pPr>
              <w:ind w:right="12"/>
              <w:rPr>
                <w:sz w:val="21"/>
                <w:szCs w:val="21"/>
              </w:rPr>
            </w:pPr>
          </w:p>
        </w:tc>
        <w:tc>
          <w:tcPr>
            <w:tcW w:w="1080" w:type="dxa"/>
            <w:tcBorders>
              <w:right w:val="single" w:sz="8" w:space="0" w:color="auto"/>
            </w:tcBorders>
            <w:vAlign w:val="bottom"/>
          </w:tcPr>
          <w:p w:rsidR="002379F2" w:rsidRPr="00260B47" w:rsidRDefault="002379F2" w:rsidP="00A76F4A">
            <w:pPr>
              <w:spacing w:line="216" w:lineRule="exact"/>
              <w:ind w:left="40" w:right="12"/>
              <w:rPr>
                <w:sz w:val="21"/>
                <w:szCs w:val="21"/>
              </w:rPr>
            </w:pPr>
            <w:r w:rsidRPr="00260B47">
              <w:rPr>
                <w:rFonts w:eastAsia="Times New Roman"/>
                <w:sz w:val="21"/>
                <w:szCs w:val="21"/>
              </w:rPr>
              <w:t>X</w:t>
            </w:r>
          </w:p>
        </w:tc>
        <w:tc>
          <w:tcPr>
            <w:tcW w:w="920" w:type="dxa"/>
            <w:tcBorders>
              <w:right w:val="single" w:sz="8" w:space="0" w:color="auto"/>
            </w:tcBorders>
            <w:vAlign w:val="bottom"/>
          </w:tcPr>
          <w:p w:rsidR="002379F2" w:rsidRPr="00260B47" w:rsidRDefault="002379F2" w:rsidP="00A76F4A">
            <w:pPr>
              <w:ind w:right="12"/>
              <w:rPr>
                <w:sz w:val="21"/>
                <w:szCs w:val="21"/>
              </w:rPr>
            </w:pPr>
          </w:p>
        </w:tc>
        <w:tc>
          <w:tcPr>
            <w:tcW w:w="1260" w:type="dxa"/>
            <w:tcBorders>
              <w:right w:val="single" w:sz="8" w:space="0" w:color="auto"/>
            </w:tcBorders>
            <w:vAlign w:val="bottom"/>
          </w:tcPr>
          <w:p w:rsidR="002379F2" w:rsidRPr="00260B47" w:rsidRDefault="002379F2" w:rsidP="00A76F4A">
            <w:pPr>
              <w:spacing w:line="216" w:lineRule="exact"/>
              <w:ind w:left="40" w:right="12"/>
              <w:rPr>
                <w:sz w:val="21"/>
                <w:szCs w:val="21"/>
              </w:rPr>
            </w:pPr>
            <w:r w:rsidRPr="00260B47">
              <w:rPr>
                <w:rFonts w:eastAsia="Times New Roman"/>
                <w:sz w:val="21"/>
                <w:szCs w:val="21"/>
              </w:rPr>
              <w:t>X</w:t>
            </w:r>
          </w:p>
        </w:tc>
        <w:tc>
          <w:tcPr>
            <w:tcW w:w="700" w:type="dxa"/>
            <w:tcBorders>
              <w:right w:val="single" w:sz="8" w:space="0" w:color="auto"/>
            </w:tcBorders>
            <w:vAlign w:val="bottom"/>
          </w:tcPr>
          <w:p w:rsidR="002379F2" w:rsidRPr="00260B47" w:rsidRDefault="002379F2" w:rsidP="00A76F4A">
            <w:pPr>
              <w:spacing w:line="216" w:lineRule="exact"/>
              <w:ind w:left="40" w:right="12"/>
              <w:rPr>
                <w:sz w:val="21"/>
                <w:szCs w:val="21"/>
              </w:rPr>
            </w:pPr>
            <w:r w:rsidRPr="00260B47">
              <w:rPr>
                <w:rFonts w:eastAsia="Times New Roman"/>
                <w:sz w:val="21"/>
                <w:szCs w:val="21"/>
              </w:rPr>
              <w:t>X</w:t>
            </w:r>
          </w:p>
        </w:tc>
      </w:tr>
      <w:tr w:rsidR="002379F2" w:rsidRPr="00260B47" w:rsidTr="005C5F10">
        <w:trPr>
          <w:trHeight w:val="235"/>
        </w:trPr>
        <w:tc>
          <w:tcPr>
            <w:tcW w:w="2240" w:type="dxa"/>
            <w:tcBorders>
              <w:left w:val="single" w:sz="8" w:space="0" w:color="auto"/>
              <w:bottom w:val="single" w:sz="8" w:space="0" w:color="auto"/>
            </w:tcBorders>
            <w:vAlign w:val="bottom"/>
          </w:tcPr>
          <w:p w:rsidR="002379F2" w:rsidRPr="00260B47" w:rsidRDefault="002379F2" w:rsidP="00A76F4A">
            <w:pPr>
              <w:ind w:left="80" w:right="12"/>
              <w:rPr>
                <w:sz w:val="21"/>
                <w:szCs w:val="21"/>
              </w:rPr>
            </w:pPr>
            <w:r w:rsidRPr="00260B47">
              <w:rPr>
                <w:rFonts w:eastAsia="Times New Roman"/>
                <w:sz w:val="21"/>
                <w:szCs w:val="21"/>
              </w:rPr>
              <w:t>spécialisée/réutilisation</w:t>
            </w:r>
          </w:p>
        </w:tc>
        <w:tc>
          <w:tcPr>
            <w:tcW w:w="9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108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92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126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2379F2" w:rsidP="00A76F4A">
            <w:pPr>
              <w:spacing w:line="219" w:lineRule="exact"/>
              <w:ind w:left="80" w:right="12"/>
              <w:rPr>
                <w:sz w:val="21"/>
                <w:szCs w:val="21"/>
              </w:rPr>
            </w:pPr>
            <w:r w:rsidRPr="00260B47">
              <w:rPr>
                <w:rFonts w:eastAsia="Times New Roman"/>
                <w:sz w:val="21"/>
                <w:szCs w:val="21"/>
              </w:rPr>
              <w:t>Décharge contrôlée</w:t>
            </w:r>
          </w:p>
        </w:tc>
        <w:tc>
          <w:tcPr>
            <w:tcW w:w="9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74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108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92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126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r>
      <w:tr w:rsidR="002379F2" w:rsidRPr="00260B47" w:rsidTr="005C5F10">
        <w:trPr>
          <w:trHeight w:val="220"/>
        </w:trPr>
        <w:tc>
          <w:tcPr>
            <w:tcW w:w="2240" w:type="dxa"/>
            <w:tcBorders>
              <w:left w:val="single" w:sz="8" w:space="0" w:color="auto"/>
              <w:bottom w:val="single" w:sz="8" w:space="0" w:color="auto"/>
            </w:tcBorders>
            <w:vAlign w:val="bottom"/>
          </w:tcPr>
          <w:p w:rsidR="002379F2" w:rsidRPr="00260B47" w:rsidRDefault="005C1878" w:rsidP="00A76F4A">
            <w:pPr>
              <w:spacing w:line="219" w:lineRule="exact"/>
              <w:ind w:left="80" w:right="12"/>
              <w:rPr>
                <w:sz w:val="21"/>
                <w:szCs w:val="21"/>
              </w:rPr>
            </w:pPr>
            <w:r>
              <w:rPr>
                <w:rFonts w:eastAsia="Times New Roman"/>
                <w:w w:val="99"/>
                <w:sz w:val="21"/>
                <w:szCs w:val="21"/>
              </w:rPr>
              <w:t xml:space="preserve">Site d’enfouissement </w:t>
            </w:r>
            <w:r w:rsidR="002379F2" w:rsidRPr="00260B47">
              <w:rPr>
                <w:rFonts w:eastAsia="Times New Roman"/>
                <w:w w:val="99"/>
                <w:sz w:val="21"/>
                <w:szCs w:val="21"/>
              </w:rPr>
              <w:t>privé</w:t>
            </w:r>
          </w:p>
        </w:tc>
        <w:tc>
          <w:tcPr>
            <w:tcW w:w="900" w:type="dxa"/>
            <w:tcBorders>
              <w:bottom w:val="single" w:sz="8" w:space="0" w:color="auto"/>
              <w:right w:val="single" w:sz="8" w:space="0" w:color="auto"/>
            </w:tcBorders>
            <w:vAlign w:val="bottom"/>
          </w:tcPr>
          <w:p w:rsidR="002379F2" w:rsidRPr="00260B47" w:rsidRDefault="002379F2" w:rsidP="00A76F4A">
            <w:pPr>
              <w:ind w:right="12"/>
              <w:rPr>
                <w:sz w:val="21"/>
                <w:szCs w:val="21"/>
              </w:rPr>
            </w:pPr>
          </w:p>
        </w:tc>
        <w:tc>
          <w:tcPr>
            <w:tcW w:w="74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74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108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92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126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c>
          <w:tcPr>
            <w:tcW w:w="700" w:type="dxa"/>
            <w:tcBorders>
              <w:bottom w:val="single" w:sz="8" w:space="0" w:color="auto"/>
              <w:right w:val="single" w:sz="8" w:space="0" w:color="auto"/>
            </w:tcBorders>
            <w:vAlign w:val="bottom"/>
          </w:tcPr>
          <w:p w:rsidR="002379F2" w:rsidRPr="00260B47" w:rsidRDefault="002379F2" w:rsidP="00A76F4A">
            <w:pPr>
              <w:spacing w:line="219" w:lineRule="exact"/>
              <w:ind w:left="40" w:right="12"/>
              <w:rPr>
                <w:sz w:val="21"/>
                <w:szCs w:val="21"/>
              </w:rPr>
            </w:pPr>
            <w:r w:rsidRPr="00260B47">
              <w:rPr>
                <w:rFonts w:eastAsia="Times New Roman"/>
                <w:sz w:val="21"/>
                <w:szCs w:val="21"/>
              </w:rPr>
              <w:t>X</w:t>
            </w:r>
          </w:p>
        </w:tc>
      </w:tr>
    </w:tbl>
    <w:p w:rsidR="002379F2" w:rsidRPr="00260B47" w:rsidRDefault="002379F2" w:rsidP="00A76F4A">
      <w:pPr>
        <w:ind w:left="284" w:right="12"/>
        <w:jc w:val="both"/>
        <w:rPr>
          <w:sz w:val="21"/>
          <w:szCs w:val="21"/>
        </w:rPr>
      </w:pPr>
      <w:r w:rsidRPr="00283500">
        <w:rPr>
          <w:sz w:val="21"/>
          <w:szCs w:val="21"/>
        </w:rPr>
        <w:t>X(1) : vérifier qu’il soit éligible à l’élimination (PVC par exemple non conseillé à l’incinération)</w:t>
      </w:r>
    </w:p>
    <w:p w:rsidR="002379F2" w:rsidRPr="00260B47" w:rsidRDefault="002379F2" w:rsidP="00A76F4A">
      <w:pPr>
        <w:ind w:left="284" w:right="12"/>
        <w:jc w:val="both"/>
        <w:rPr>
          <w:sz w:val="21"/>
          <w:szCs w:val="21"/>
        </w:rPr>
      </w:pPr>
    </w:p>
    <w:p w:rsidR="002379F2" w:rsidRPr="00260B47" w:rsidRDefault="002379F2" w:rsidP="00A76F4A">
      <w:pPr>
        <w:ind w:left="284" w:right="12"/>
        <w:jc w:val="both"/>
        <w:rPr>
          <w:sz w:val="21"/>
          <w:szCs w:val="21"/>
        </w:rPr>
      </w:pPr>
      <w:r w:rsidRPr="00283500">
        <w:rPr>
          <w:sz w:val="21"/>
          <w:szCs w:val="21"/>
        </w:rPr>
        <w:t>X(2) : ils peuvent se trouver dans un ensemble à incinérer</w:t>
      </w:r>
    </w:p>
    <w:p w:rsidR="002379F2" w:rsidRPr="00260B47" w:rsidRDefault="002379F2" w:rsidP="00A76F4A">
      <w:pPr>
        <w:ind w:left="284" w:right="12"/>
        <w:jc w:val="both"/>
        <w:rPr>
          <w:sz w:val="21"/>
          <w:szCs w:val="21"/>
        </w:rPr>
      </w:pPr>
    </w:p>
    <w:p w:rsidR="002379F2" w:rsidRPr="00260B47" w:rsidRDefault="002379F2" w:rsidP="00A76F4A">
      <w:pPr>
        <w:ind w:left="284" w:right="12"/>
        <w:jc w:val="both"/>
        <w:rPr>
          <w:sz w:val="21"/>
          <w:szCs w:val="21"/>
        </w:rPr>
      </w:pPr>
      <w:r w:rsidRPr="00283500">
        <w:rPr>
          <w:sz w:val="21"/>
          <w:szCs w:val="21"/>
        </w:rPr>
        <w:t>Le tableau ci-dessus fait la synthèse des activités proposées dans le cadre de ce plan de gestion des pestes et pesticides.</w:t>
      </w:r>
    </w:p>
    <w:tbl>
      <w:tblPr>
        <w:tblW w:w="9903" w:type="dxa"/>
        <w:tblInd w:w="10" w:type="dxa"/>
        <w:tblCellMar>
          <w:left w:w="0" w:type="dxa"/>
          <w:right w:w="0" w:type="dxa"/>
        </w:tblCellMar>
        <w:tblLook w:val="04A0" w:firstRow="1" w:lastRow="0" w:firstColumn="1" w:lastColumn="0" w:noHBand="0" w:noVBand="1"/>
      </w:tblPr>
      <w:tblGrid>
        <w:gridCol w:w="2957"/>
        <w:gridCol w:w="4253"/>
        <w:gridCol w:w="2693"/>
      </w:tblGrid>
      <w:tr w:rsidR="00B240AC" w:rsidRPr="00260B47" w:rsidTr="00252B4C">
        <w:trPr>
          <w:trHeight w:val="236"/>
        </w:trPr>
        <w:tc>
          <w:tcPr>
            <w:tcW w:w="2957" w:type="dxa"/>
            <w:tcBorders>
              <w:top w:val="single" w:sz="8" w:space="0" w:color="auto"/>
              <w:left w:val="single" w:sz="8" w:space="0" w:color="auto"/>
              <w:bottom w:val="single" w:sz="8" w:space="0" w:color="auto"/>
              <w:right w:val="single" w:sz="8" w:space="0" w:color="auto"/>
            </w:tcBorders>
            <w:vAlign w:val="bottom"/>
          </w:tcPr>
          <w:p w:rsidR="00224B2F" w:rsidRPr="00260B47" w:rsidRDefault="00224B2F" w:rsidP="00A76F4A">
            <w:pPr>
              <w:ind w:left="120" w:right="12"/>
              <w:rPr>
                <w:sz w:val="21"/>
                <w:szCs w:val="21"/>
              </w:rPr>
            </w:pPr>
            <w:r w:rsidRPr="00260B47">
              <w:rPr>
                <w:rFonts w:eastAsia="Times New Roman"/>
                <w:sz w:val="21"/>
                <w:szCs w:val="21"/>
              </w:rPr>
              <w:lastRenderedPageBreak/>
              <w:t>Activité principale</w:t>
            </w:r>
          </w:p>
        </w:tc>
        <w:tc>
          <w:tcPr>
            <w:tcW w:w="4253" w:type="dxa"/>
            <w:tcBorders>
              <w:top w:val="single" w:sz="8" w:space="0" w:color="auto"/>
              <w:bottom w:val="single" w:sz="8" w:space="0" w:color="auto"/>
              <w:right w:val="single" w:sz="8" w:space="0" w:color="auto"/>
            </w:tcBorders>
            <w:vAlign w:val="bottom"/>
          </w:tcPr>
          <w:p w:rsidR="00224B2F" w:rsidRPr="00260B47" w:rsidRDefault="00224B2F" w:rsidP="00A76F4A">
            <w:pPr>
              <w:ind w:left="80" w:right="12"/>
              <w:rPr>
                <w:sz w:val="21"/>
                <w:szCs w:val="21"/>
              </w:rPr>
            </w:pPr>
            <w:r w:rsidRPr="00260B47">
              <w:rPr>
                <w:rFonts w:eastAsia="Times New Roman"/>
                <w:sz w:val="21"/>
                <w:szCs w:val="21"/>
              </w:rPr>
              <w:t>Détail</w:t>
            </w:r>
          </w:p>
        </w:tc>
        <w:tc>
          <w:tcPr>
            <w:tcW w:w="2693" w:type="dxa"/>
            <w:tcBorders>
              <w:top w:val="single" w:sz="8" w:space="0" w:color="auto"/>
              <w:bottom w:val="single" w:sz="8" w:space="0" w:color="auto"/>
              <w:right w:val="single" w:sz="8" w:space="0" w:color="auto"/>
            </w:tcBorders>
          </w:tcPr>
          <w:p w:rsidR="00224B2F" w:rsidRPr="00260B47" w:rsidRDefault="00B240AC" w:rsidP="00A76F4A">
            <w:pPr>
              <w:ind w:left="80" w:right="12"/>
              <w:rPr>
                <w:rFonts w:eastAsia="Times New Roman"/>
                <w:sz w:val="21"/>
                <w:szCs w:val="21"/>
              </w:rPr>
            </w:pPr>
            <w:r>
              <w:rPr>
                <w:rFonts w:eastAsia="Times New Roman"/>
                <w:sz w:val="21"/>
                <w:szCs w:val="21"/>
              </w:rPr>
              <w:t>Période</w:t>
            </w:r>
          </w:p>
        </w:tc>
      </w:tr>
      <w:tr w:rsidR="00252B4C" w:rsidRPr="00260B47" w:rsidTr="00252B4C">
        <w:trPr>
          <w:trHeight w:val="216"/>
        </w:trPr>
        <w:tc>
          <w:tcPr>
            <w:tcW w:w="2957" w:type="dxa"/>
            <w:vMerge w:val="restart"/>
            <w:tcBorders>
              <w:left w:val="single" w:sz="8" w:space="0" w:color="auto"/>
              <w:right w:val="single" w:sz="8" w:space="0" w:color="auto"/>
            </w:tcBorders>
            <w:vAlign w:val="bottom"/>
          </w:tcPr>
          <w:p w:rsidR="00252B4C" w:rsidRPr="00260B47" w:rsidRDefault="00252B4C" w:rsidP="00A76F4A">
            <w:pPr>
              <w:spacing w:line="216" w:lineRule="exact"/>
              <w:ind w:left="120" w:right="12"/>
              <w:rPr>
                <w:sz w:val="21"/>
                <w:szCs w:val="21"/>
              </w:rPr>
            </w:pPr>
            <w:r w:rsidRPr="00260B47">
              <w:rPr>
                <w:rFonts w:eastAsia="Times New Roman"/>
                <w:sz w:val="21"/>
                <w:szCs w:val="21"/>
              </w:rPr>
              <w:t>La  formation  et  le  renforcement  des  capacités  des acteurs</w:t>
            </w:r>
          </w:p>
        </w:tc>
        <w:tc>
          <w:tcPr>
            <w:tcW w:w="4253" w:type="dxa"/>
            <w:vMerge w:val="restart"/>
            <w:tcBorders>
              <w:right w:val="single" w:sz="8" w:space="0" w:color="auto"/>
            </w:tcBorders>
            <w:vAlign w:val="bottom"/>
          </w:tcPr>
          <w:p w:rsidR="00252B4C" w:rsidRPr="00260B47" w:rsidRDefault="00252B4C" w:rsidP="00A76F4A">
            <w:pPr>
              <w:spacing w:line="216" w:lineRule="exact"/>
              <w:ind w:left="80" w:right="12"/>
              <w:rPr>
                <w:sz w:val="21"/>
                <w:szCs w:val="21"/>
              </w:rPr>
            </w:pPr>
            <w:r w:rsidRPr="00260B47">
              <w:rPr>
                <w:rFonts w:eastAsia="Times New Roman"/>
                <w:sz w:val="21"/>
                <w:szCs w:val="21"/>
              </w:rPr>
              <w:t>Formation agriculteurs, applicateurs informels, sur la</w:t>
            </w:r>
          </w:p>
          <w:p w:rsidR="00252B4C" w:rsidRPr="00260B47" w:rsidRDefault="00252B4C" w:rsidP="00A76F4A">
            <w:pPr>
              <w:ind w:left="80" w:right="12"/>
              <w:rPr>
                <w:sz w:val="21"/>
                <w:szCs w:val="21"/>
              </w:rPr>
            </w:pPr>
            <w:r w:rsidRPr="00260B47">
              <w:rPr>
                <w:rFonts w:eastAsia="Times New Roman"/>
                <w:sz w:val="21"/>
                <w:szCs w:val="21"/>
              </w:rPr>
              <w:t>Gestion des pesticides /</w:t>
            </w:r>
          </w:p>
          <w:p w:rsidR="00252B4C" w:rsidRPr="00260B47" w:rsidRDefault="00252B4C" w:rsidP="00A76F4A">
            <w:pPr>
              <w:spacing w:line="228" w:lineRule="exact"/>
              <w:ind w:left="80" w:right="12"/>
              <w:rPr>
                <w:sz w:val="21"/>
                <w:szCs w:val="21"/>
              </w:rPr>
            </w:pPr>
            <w:r w:rsidRPr="00260B47">
              <w:rPr>
                <w:rFonts w:eastAsia="Times New Roman"/>
                <w:sz w:val="21"/>
                <w:szCs w:val="21"/>
              </w:rPr>
              <w:t>Formation agents DPV</w:t>
            </w:r>
          </w:p>
        </w:tc>
        <w:tc>
          <w:tcPr>
            <w:tcW w:w="2693" w:type="dxa"/>
            <w:tcBorders>
              <w:right w:val="single" w:sz="8" w:space="0" w:color="auto"/>
            </w:tcBorders>
          </w:tcPr>
          <w:p w:rsidR="00252B4C" w:rsidRPr="00260B47" w:rsidRDefault="00252B4C" w:rsidP="00A76F4A">
            <w:pPr>
              <w:spacing w:line="216" w:lineRule="exact"/>
              <w:ind w:left="80" w:right="12"/>
              <w:rPr>
                <w:rFonts w:eastAsia="Times New Roman"/>
                <w:sz w:val="21"/>
                <w:szCs w:val="21"/>
              </w:rPr>
            </w:pPr>
            <w:r>
              <w:rPr>
                <w:rFonts w:eastAsia="Times New Roman"/>
                <w:sz w:val="21"/>
                <w:szCs w:val="21"/>
              </w:rPr>
              <w:t>Avant la niveau en mise en œuvre des activités du projet</w:t>
            </w:r>
          </w:p>
        </w:tc>
      </w:tr>
      <w:tr w:rsidR="00252B4C" w:rsidRPr="00260B47" w:rsidTr="00252B4C">
        <w:trPr>
          <w:trHeight w:val="246"/>
        </w:trPr>
        <w:tc>
          <w:tcPr>
            <w:tcW w:w="2957" w:type="dxa"/>
            <w:vMerge/>
            <w:tcBorders>
              <w:left w:val="single" w:sz="8" w:space="0" w:color="auto"/>
              <w:right w:val="single" w:sz="8" w:space="0" w:color="auto"/>
            </w:tcBorders>
            <w:vAlign w:val="bottom"/>
          </w:tcPr>
          <w:p w:rsidR="00252B4C" w:rsidRPr="00260B47" w:rsidRDefault="00252B4C" w:rsidP="00A76F4A">
            <w:pPr>
              <w:ind w:right="12"/>
              <w:rPr>
                <w:sz w:val="21"/>
                <w:szCs w:val="21"/>
              </w:rPr>
            </w:pPr>
          </w:p>
        </w:tc>
        <w:tc>
          <w:tcPr>
            <w:tcW w:w="4253" w:type="dxa"/>
            <w:vMerge/>
            <w:tcBorders>
              <w:right w:val="single" w:sz="8" w:space="0" w:color="auto"/>
            </w:tcBorders>
            <w:vAlign w:val="bottom"/>
          </w:tcPr>
          <w:p w:rsidR="00252B4C" w:rsidRPr="00260B47" w:rsidRDefault="00252B4C" w:rsidP="00A76F4A">
            <w:pPr>
              <w:spacing w:line="228" w:lineRule="exact"/>
              <w:ind w:left="80" w:right="12"/>
              <w:rPr>
                <w:sz w:val="21"/>
                <w:szCs w:val="21"/>
              </w:rPr>
            </w:pPr>
          </w:p>
        </w:tc>
        <w:tc>
          <w:tcPr>
            <w:tcW w:w="2693" w:type="dxa"/>
            <w:tcBorders>
              <w:right w:val="single" w:sz="8" w:space="0" w:color="auto"/>
            </w:tcBorders>
          </w:tcPr>
          <w:p w:rsidR="00252B4C" w:rsidRPr="00260B47" w:rsidRDefault="00252B4C" w:rsidP="00A76F4A">
            <w:pPr>
              <w:ind w:left="80" w:right="12"/>
              <w:rPr>
                <w:rFonts w:eastAsia="Times New Roman"/>
                <w:sz w:val="21"/>
                <w:szCs w:val="21"/>
              </w:rPr>
            </w:pPr>
          </w:p>
        </w:tc>
      </w:tr>
      <w:tr w:rsidR="00252B4C" w:rsidRPr="00260B47" w:rsidTr="00252B4C">
        <w:trPr>
          <w:trHeight w:val="106"/>
        </w:trPr>
        <w:tc>
          <w:tcPr>
            <w:tcW w:w="2957" w:type="dxa"/>
            <w:vMerge/>
            <w:tcBorders>
              <w:left w:val="single" w:sz="8" w:space="0" w:color="auto"/>
              <w:right w:val="single" w:sz="8" w:space="0" w:color="auto"/>
            </w:tcBorders>
            <w:vAlign w:val="bottom"/>
          </w:tcPr>
          <w:p w:rsidR="00252B4C" w:rsidRPr="00260B47" w:rsidRDefault="00252B4C" w:rsidP="00A76F4A">
            <w:pPr>
              <w:ind w:right="12"/>
              <w:rPr>
                <w:sz w:val="21"/>
                <w:szCs w:val="21"/>
              </w:rPr>
            </w:pPr>
          </w:p>
        </w:tc>
        <w:tc>
          <w:tcPr>
            <w:tcW w:w="4253" w:type="dxa"/>
            <w:vMerge/>
            <w:tcBorders>
              <w:right w:val="single" w:sz="8" w:space="0" w:color="auto"/>
            </w:tcBorders>
            <w:vAlign w:val="bottom"/>
          </w:tcPr>
          <w:p w:rsidR="00252B4C" w:rsidRPr="00260B47" w:rsidRDefault="00252B4C" w:rsidP="00A76F4A">
            <w:pPr>
              <w:spacing w:line="228" w:lineRule="exact"/>
              <w:ind w:left="80" w:right="12"/>
              <w:rPr>
                <w:sz w:val="21"/>
                <w:szCs w:val="21"/>
              </w:rPr>
            </w:pPr>
          </w:p>
        </w:tc>
        <w:tc>
          <w:tcPr>
            <w:tcW w:w="2693" w:type="dxa"/>
            <w:tcBorders>
              <w:right w:val="single" w:sz="8" w:space="0" w:color="auto"/>
            </w:tcBorders>
          </w:tcPr>
          <w:p w:rsidR="00252B4C" w:rsidRPr="00260B47" w:rsidRDefault="00252B4C" w:rsidP="00A76F4A">
            <w:pPr>
              <w:spacing w:line="228" w:lineRule="exact"/>
              <w:ind w:left="80" w:right="12"/>
              <w:rPr>
                <w:rFonts w:eastAsia="Times New Roman"/>
                <w:sz w:val="21"/>
                <w:szCs w:val="21"/>
              </w:rPr>
            </w:pPr>
          </w:p>
        </w:tc>
      </w:tr>
      <w:tr w:rsidR="00252B4C" w:rsidRPr="00260B47" w:rsidTr="00252B4C">
        <w:trPr>
          <w:trHeight w:val="106"/>
        </w:trPr>
        <w:tc>
          <w:tcPr>
            <w:tcW w:w="2957" w:type="dxa"/>
            <w:vMerge/>
            <w:tcBorders>
              <w:left w:val="single" w:sz="8" w:space="0" w:color="auto"/>
              <w:bottom w:val="single" w:sz="8" w:space="0" w:color="auto"/>
              <w:right w:val="single" w:sz="8" w:space="0" w:color="auto"/>
            </w:tcBorders>
            <w:vAlign w:val="bottom"/>
          </w:tcPr>
          <w:p w:rsidR="00252B4C" w:rsidRPr="00260B47" w:rsidRDefault="00252B4C" w:rsidP="00A76F4A">
            <w:pPr>
              <w:ind w:right="12"/>
              <w:rPr>
                <w:sz w:val="21"/>
                <w:szCs w:val="21"/>
              </w:rPr>
            </w:pPr>
          </w:p>
        </w:tc>
        <w:tc>
          <w:tcPr>
            <w:tcW w:w="4253" w:type="dxa"/>
            <w:vMerge/>
            <w:tcBorders>
              <w:bottom w:val="single" w:sz="8" w:space="0" w:color="auto"/>
              <w:right w:val="single" w:sz="8" w:space="0" w:color="auto"/>
            </w:tcBorders>
            <w:vAlign w:val="bottom"/>
          </w:tcPr>
          <w:p w:rsidR="00252B4C" w:rsidRPr="00260B47" w:rsidRDefault="00252B4C" w:rsidP="00A76F4A">
            <w:pPr>
              <w:ind w:right="12"/>
              <w:rPr>
                <w:sz w:val="21"/>
                <w:szCs w:val="21"/>
              </w:rPr>
            </w:pPr>
          </w:p>
        </w:tc>
        <w:tc>
          <w:tcPr>
            <w:tcW w:w="2693" w:type="dxa"/>
            <w:tcBorders>
              <w:bottom w:val="single" w:sz="8" w:space="0" w:color="auto"/>
              <w:right w:val="single" w:sz="8" w:space="0" w:color="auto"/>
            </w:tcBorders>
          </w:tcPr>
          <w:p w:rsidR="00252B4C" w:rsidRPr="00260B47" w:rsidRDefault="00252B4C" w:rsidP="00A76F4A">
            <w:pPr>
              <w:ind w:right="12"/>
              <w:rPr>
                <w:sz w:val="21"/>
                <w:szCs w:val="21"/>
              </w:rPr>
            </w:pPr>
          </w:p>
        </w:tc>
      </w:tr>
      <w:tr w:rsidR="00B240AC" w:rsidRPr="00260B47" w:rsidTr="00252B4C">
        <w:trPr>
          <w:trHeight w:val="212"/>
        </w:trPr>
        <w:tc>
          <w:tcPr>
            <w:tcW w:w="2957" w:type="dxa"/>
            <w:tcBorders>
              <w:left w:val="single" w:sz="8" w:space="0" w:color="auto"/>
              <w:right w:val="single" w:sz="8" w:space="0" w:color="auto"/>
            </w:tcBorders>
            <w:vAlign w:val="bottom"/>
          </w:tcPr>
          <w:p w:rsidR="00224B2F" w:rsidRPr="00260B47" w:rsidRDefault="00224B2F" w:rsidP="00A76F4A">
            <w:pPr>
              <w:spacing w:line="211" w:lineRule="exact"/>
              <w:ind w:left="120" w:right="12"/>
              <w:rPr>
                <w:sz w:val="21"/>
                <w:szCs w:val="21"/>
              </w:rPr>
            </w:pPr>
            <w:r w:rsidRPr="00260B47">
              <w:rPr>
                <w:rFonts w:eastAsia="Times New Roman"/>
                <w:sz w:val="21"/>
                <w:szCs w:val="21"/>
              </w:rPr>
              <w:t>Promotion  de  l’usage  des  stratégies  alternatives  de lutte</w:t>
            </w:r>
          </w:p>
        </w:tc>
        <w:tc>
          <w:tcPr>
            <w:tcW w:w="4253" w:type="dxa"/>
            <w:tcBorders>
              <w:right w:val="single" w:sz="8" w:space="0" w:color="auto"/>
            </w:tcBorders>
            <w:vAlign w:val="bottom"/>
          </w:tcPr>
          <w:p w:rsidR="00224B2F" w:rsidRPr="00260B47" w:rsidRDefault="00224B2F" w:rsidP="00A76F4A">
            <w:pPr>
              <w:spacing w:line="211" w:lineRule="exact"/>
              <w:ind w:left="80" w:right="12"/>
              <w:rPr>
                <w:sz w:val="21"/>
                <w:szCs w:val="21"/>
              </w:rPr>
            </w:pPr>
            <w:r w:rsidRPr="00260B47">
              <w:rPr>
                <w:rFonts w:eastAsia="Times New Roman"/>
                <w:sz w:val="21"/>
                <w:szCs w:val="21"/>
              </w:rPr>
              <w:t>Mise  en  œuvre  GIPD  /  Champs  écoles  paysans :</w:t>
            </w:r>
          </w:p>
        </w:tc>
        <w:tc>
          <w:tcPr>
            <w:tcW w:w="2693" w:type="dxa"/>
            <w:tcBorders>
              <w:right w:val="single" w:sz="8" w:space="0" w:color="auto"/>
            </w:tcBorders>
          </w:tcPr>
          <w:p w:rsidR="00224B2F" w:rsidRPr="00260B47" w:rsidRDefault="00224B2F" w:rsidP="00A76F4A">
            <w:pPr>
              <w:spacing w:line="211" w:lineRule="exact"/>
              <w:ind w:left="80" w:right="12"/>
              <w:rPr>
                <w:rFonts w:eastAsia="Times New Roman"/>
                <w:sz w:val="21"/>
                <w:szCs w:val="21"/>
              </w:rPr>
            </w:pPr>
          </w:p>
        </w:tc>
      </w:tr>
      <w:tr w:rsidR="00B240AC" w:rsidRPr="00260B47" w:rsidTr="00252B4C">
        <w:trPr>
          <w:trHeight w:val="230"/>
        </w:trPr>
        <w:tc>
          <w:tcPr>
            <w:tcW w:w="2957" w:type="dxa"/>
            <w:tcBorders>
              <w:left w:val="single" w:sz="8" w:space="0" w:color="auto"/>
              <w:right w:val="single" w:sz="8" w:space="0" w:color="auto"/>
            </w:tcBorders>
            <w:vAlign w:val="bottom"/>
          </w:tcPr>
          <w:p w:rsidR="00224B2F" w:rsidRPr="00260B47" w:rsidRDefault="00224B2F" w:rsidP="00A76F4A">
            <w:pPr>
              <w:ind w:left="120" w:right="12"/>
              <w:rPr>
                <w:sz w:val="21"/>
                <w:szCs w:val="21"/>
              </w:rPr>
            </w:pPr>
          </w:p>
        </w:tc>
        <w:tc>
          <w:tcPr>
            <w:tcW w:w="4253" w:type="dxa"/>
            <w:tcBorders>
              <w:right w:val="single" w:sz="8" w:space="0" w:color="auto"/>
            </w:tcBorders>
            <w:vAlign w:val="bottom"/>
          </w:tcPr>
          <w:p w:rsidR="00224B2F" w:rsidRPr="00260B47" w:rsidRDefault="00224B2F" w:rsidP="00A76F4A">
            <w:pPr>
              <w:ind w:left="80" w:right="12"/>
              <w:rPr>
                <w:sz w:val="21"/>
                <w:szCs w:val="21"/>
              </w:rPr>
            </w:pPr>
            <w:r w:rsidRPr="00260B47">
              <w:rPr>
                <w:rFonts w:eastAsia="Times New Roman"/>
                <w:sz w:val="21"/>
                <w:szCs w:val="21"/>
              </w:rPr>
              <w:t>Formation des formateurs, formation des agriculteurs,</w:t>
            </w:r>
          </w:p>
        </w:tc>
        <w:tc>
          <w:tcPr>
            <w:tcW w:w="2693" w:type="dxa"/>
            <w:tcBorders>
              <w:right w:val="single" w:sz="8" w:space="0" w:color="auto"/>
            </w:tcBorders>
          </w:tcPr>
          <w:p w:rsidR="00224B2F" w:rsidRPr="00260B47" w:rsidRDefault="00BC1613" w:rsidP="00A76F4A">
            <w:pPr>
              <w:ind w:left="80" w:right="12"/>
              <w:rPr>
                <w:rFonts w:eastAsia="Times New Roman"/>
                <w:sz w:val="21"/>
                <w:szCs w:val="21"/>
              </w:rPr>
            </w:pPr>
            <w:r>
              <w:rPr>
                <w:rFonts w:eastAsia="Times New Roman"/>
                <w:sz w:val="21"/>
                <w:szCs w:val="21"/>
              </w:rPr>
              <w:t>Avant la niveau en mise en œuvre des activités</w:t>
            </w:r>
            <w:r w:rsidR="00426327">
              <w:rPr>
                <w:rFonts w:eastAsia="Times New Roman"/>
                <w:sz w:val="21"/>
                <w:szCs w:val="21"/>
              </w:rPr>
              <w:t xml:space="preserve"> d</w:t>
            </w:r>
            <w:r>
              <w:rPr>
                <w:rFonts w:eastAsia="Times New Roman"/>
                <w:sz w:val="21"/>
                <w:szCs w:val="21"/>
              </w:rPr>
              <w:t>u projet</w:t>
            </w:r>
          </w:p>
        </w:tc>
      </w:tr>
      <w:tr w:rsidR="00B240AC" w:rsidRPr="00260B47" w:rsidTr="00252B4C">
        <w:trPr>
          <w:trHeight w:val="235"/>
        </w:trPr>
        <w:tc>
          <w:tcPr>
            <w:tcW w:w="2957" w:type="dxa"/>
            <w:tcBorders>
              <w:left w:val="single" w:sz="8" w:space="0" w:color="auto"/>
              <w:bottom w:val="single" w:sz="8" w:space="0" w:color="auto"/>
              <w:right w:val="single" w:sz="8" w:space="0" w:color="auto"/>
            </w:tcBorders>
            <w:vAlign w:val="bottom"/>
          </w:tcPr>
          <w:p w:rsidR="00224B2F" w:rsidRPr="00260B47" w:rsidRDefault="00224B2F" w:rsidP="00A76F4A">
            <w:pPr>
              <w:ind w:right="12"/>
              <w:rPr>
                <w:sz w:val="21"/>
                <w:szCs w:val="21"/>
              </w:rPr>
            </w:pPr>
          </w:p>
        </w:tc>
        <w:tc>
          <w:tcPr>
            <w:tcW w:w="4253" w:type="dxa"/>
            <w:tcBorders>
              <w:bottom w:val="single" w:sz="8" w:space="0" w:color="auto"/>
              <w:right w:val="single" w:sz="8" w:space="0" w:color="auto"/>
            </w:tcBorders>
            <w:vAlign w:val="bottom"/>
          </w:tcPr>
          <w:p w:rsidR="00224B2F" w:rsidRPr="00260B47" w:rsidRDefault="00224B2F" w:rsidP="00A76F4A">
            <w:pPr>
              <w:ind w:left="80" w:right="12"/>
              <w:rPr>
                <w:sz w:val="21"/>
                <w:szCs w:val="21"/>
              </w:rPr>
            </w:pPr>
            <w:r w:rsidRPr="00260B47">
              <w:rPr>
                <w:rFonts w:eastAsia="Times New Roman"/>
                <w:sz w:val="21"/>
                <w:szCs w:val="21"/>
              </w:rPr>
              <w:t>Champs d’expérimentation, Matériels didactiques</w:t>
            </w:r>
          </w:p>
        </w:tc>
        <w:tc>
          <w:tcPr>
            <w:tcW w:w="2693" w:type="dxa"/>
            <w:tcBorders>
              <w:bottom w:val="single" w:sz="8" w:space="0" w:color="auto"/>
              <w:right w:val="single" w:sz="8" w:space="0" w:color="auto"/>
            </w:tcBorders>
          </w:tcPr>
          <w:p w:rsidR="00224B2F" w:rsidRPr="00260B47" w:rsidRDefault="00224B2F" w:rsidP="00A76F4A">
            <w:pPr>
              <w:ind w:left="80" w:right="12"/>
              <w:rPr>
                <w:rFonts w:eastAsia="Times New Roman"/>
                <w:sz w:val="21"/>
                <w:szCs w:val="21"/>
              </w:rPr>
            </w:pPr>
          </w:p>
        </w:tc>
      </w:tr>
      <w:tr w:rsidR="00B240AC" w:rsidRPr="00260B47" w:rsidTr="00252B4C">
        <w:trPr>
          <w:trHeight w:val="216"/>
        </w:trPr>
        <w:tc>
          <w:tcPr>
            <w:tcW w:w="2957" w:type="dxa"/>
            <w:tcBorders>
              <w:left w:val="single" w:sz="8" w:space="0" w:color="auto"/>
              <w:right w:val="single" w:sz="8" w:space="0" w:color="auto"/>
            </w:tcBorders>
            <w:vAlign w:val="bottom"/>
          </w:tcPr>
          <w:p w:rsidR="00224B2F" w:rsidRPr="00260B47" w:rsidRDefault="00224B2F" w:rsidP="00A76F4A">
            <w:pPr>
              <w:spacing w:line="216" w:lineRule="exact"/>
              <w:ind w:left="120" w:right="12"/>
              <w:rPr>
                <w:sz w:val="21"/>
                <w:szCs w:val="21"/>
              </w:rPr>
            </w:pPr>
            <w:r w:rsidRPr="00260B47">
              <w:rPr>
                <w:rFonts w:eastAsia="Times New Roman"/>
                <w:sz w:val="21"/>
                <w:szCs w:val="21"/>
              </w:rPr>
              <w:t>Sensibilisation à la bonne gestion des pesticides</w:t>
            </w:r>
          </w:p>
        </w:tc>
        <w:tc>
          <w:tcPr>
            <w:tcW w:w="4253" w:type="dxa"/>
            <w:tcBorders>
              <w:right w:val="single" w:sz="8" w:space="0" w:color="auto"/>
            </w:tcBorders>
            <w:vAlign w:val="bottom"/>
          </w:tcPr>
          <w:p w:rsidR="00224B2F" w:rsidRPr="00260B47" w:rsidRDefault="00BC1613" w:rsidP="00A76F4A">
            <w:pPr>
              <w:spacing w:line="216" w:lineRule="exact"/>
              <w:ind w:left="80" w:right="12"/>
              <w:rPr>
                <w:sz w:val="21"/>
                <w:szCs w:val="21"/>
              </w:rPr>
            </w:pPr>
            <w:r w:rsidRPr="00260B47">
              <w:rPr>
                <w:rFonts w:eastAsia="Times New Roman"/>
                <w:sz w:val="21"/>
                <w:szCs w:val="21"/>
              </w:rPr>
              <w:t>Vulgarisation du manuel de bonne</w:t>
            </w:r>
            <w:r w:rsidR="00224B2F" w:rsidRPr="00260B47">
              <w:rPr>
                <w:rFonts w:eastAsia="Times New Roman"/>
                <w:sz w:val="21"/>
                <w:szCs w:val="21"/>
              </w:rPr>
              <w:t xml:space="preserve">  pratique  du</w:t>
            </w:r>
          </w:p>
        </w:tc>
        <w:tc>
          <w:tcPr>
            <w:tcW w:w="2693" w:type="dxa"/>
            <w:tcBorders>
              <w:right w:val="single" w:sz="8" w:space="0" w:color="auto"/>
            </w:tcBorders>
          </w:tcPr>
          <w:p w:rsidR="00224B2F" w:rsidRPr="00260B47" w:rsidRDefault="00BC1613" w:rsidP="00A76F4A">
            <w:pPr>
              <w:spacing w:line="216" w:lineRule="exact"/>
              <w:ind w:left="80" w:right="12"/>
              <w:rPr>
                <w:rFonts w:eastAsia="Times New Roman"/>
                <w:sz w:val="21"/>
                <w:szCs w:val="21"/>
              </w:rPr>
            </w:pPr>
            <w:r>
              <w:rPr>
                <w:rFonts w:eastAsia="Times New Roman"/>
                <w:sz w:val="21"/>
                <w:szCs w:val="21"/>
              </w:rPr>
              <w:t>Pendant la  mise en œuvre du projet</w:t>
            </w:r>
          </w:p>
        </w:tc>
      </w:tr>
      <w:tr w:rsidR="00B240AC" w:rsidRPr="00260B47" w:rsidTr="00252B4C">
        <w:trPr>
          <w:trHeight w:val="233"/>
        </w:trPr>
        <w:tc>
          <w:tcPr>
            <w:tcW w:w="2957" w:type="dxa"/>
            <w:tcBorders>
              <w:left w:val="single" w:sz="8" w:space="0" w:color="auto"/>
              <w:bottom w:val="single" w:sz="8" w:space="0" w:color="auto"/>
              <w:right w:val="single" w:sz="8" w:space="0" w:color="auto"/>
            </w:tcBorders>
            <w:vAlign w:val="bottom"/>
          </w:tcPr>
          <w:p w:rsidR="00224B2F" w:rsidRPr="00260B47" w:rsidRDefault="00224B2F" w:rsidP="00A76F4A">
            <w:pPr>
              <w:ind w:right="12"/>
              <w:rPr>
                <w:sz w:val="21"/>
                <w:szCs w:val="21"/>
              </w:rPr>
            </w:pPr>
          </w:p>
        </w:tc>
        <w:tc>
          <w:tcPr>
            <w:tcW w:w="4253" w:type="dxa"/>
            <w:tcBorders>
              <w:bottom w:val="single" w:sz="8" w:space="0" w:color="auto"/>
              <w:right w:val="single" w:sz="8" w:space="0" w:color="auto"/>
            </w:tcBorders>
            <w:vAlign w:val="bottom"/>
          </w:tcPr>
          <w:p w:rsidR="00224B2F" w:rsidRPr="00260B47" w:rsidRDefault="00224B2F" w:rsidP="00A76F4A">
            <w:pPr>
              <w:ind w:left="80" w:right="12"/>
              <w:rPr>
                <w:sz w:val="21"/>
                <w:szCs w:val="21"/>
              </w:rPr>
            </w:pPr>
            <w:r w:rsidRPr="00260B47">
              <w:rPr>
                <w:rFonts w:eastAsia="Times New Roman"/>
                <w:sz w:val="21"/>
                <w:szCs w:val="21"/>
              </w:rPr>
              <w:t>PUSA</w:t>
            </w:r>
          </w:p>
        </w:tc>
        <w:tc>
          <w:tcPr>
            <w:tcW w:w="2693" w:type="dxa"/>
            <w:tcBorders>
              <w:bottom w:val="single" w:sz="8" w:space="0" w:color="auto"/>
              <w:right w:val="single" w:sz="8" w:space="0" w:color="auto"/>
            </w:tcBorders>
          </w:tcPr>
          <w:p w:rsidR="00224B2F" w:rsidRPr="00260B47" w:rsidRDefault="00224B2F" w:rsidP="00A76F4A">
            <w:pPr>
              <w:ind w:left="80" w:right="12"/>
              <w:rPr>
                <w:rFonts w:eastAsia="Times New Roman"/>
                <w:sz w:val="21"/>
                <w:szCs w:val="21"/>
              </w:rPr>
            </w:pPr>
          </w:p>
        </w:tc>
      </w:tr>
      <w:tr w:rsidR="00252B4C" w:rsidRPr="00260B47" w:rsidTr="00252B4C">
        <w:trPr>
          <w:trHeight w:val="217"/>
        </w:trPr>
        <w:tc>
          <w:tcPr>
            <w:tcW w:w="2957" w:type="dxa"/>
            <w:tcBorders>
              <w:left w:val="single" w:sz="8" w:space="0" w:color="auto"/>
              <w:right w:val="single" w:sz="8" w:space="0" w:color="auto"/>
            </w:tcBorders>
            <w:vAlign w:val="bottom"/>
          </w:tcPr>
          <w:p w:rsidR="00252B4C" w:rsidRPr="00260B47" w:rsidRDefault="00252B4C" w:rsidP="00A76F4A">
            <w:pPr>
              <w:spacing w:line="217" w:lineRule="exact"/>
              <w:ind w:left="120" w:right="12"/>
              <w:rPr>
                <w:sz w:val="21"/>
                <w:szCs w:val="21"/>
              </w:rPr>
            </w:pPr>
            <w:r w:rsidRPr="00260B47">
              <w:rPr>
                <w:rFonts w:eastAsia="Times New Roman"/>
                <w:sz w:val="21"/>
                <w:szCs w:val="21"/>
              </w:rPr>
              <w:t>Formation   Sensibilisation   sur   la   Gestion   des</w:t>
            </w:r>
            <w:r>
              <w:rPr>
                <w:rFonts w:eastAsia="Times New Roman"/>
                <w:sz w:val="21"/>
                <w:szCs w:val="21"/>
              </w:rPr>
              <w:t xml:space="preserve"> c</w:t>
            </w:r>
            <w:r w:rsidRPr="00260B47">
              <w:rPr>
                <w:rFonts w:eastAsia="Times New Roman"/>
                <w:sz w:val="21"/>
                <w:szCs w:val="21"/>
              </w:rPr>
              <w:t>ontenants vides</w:t>
            </w:r>
          </w:p>
        </w:tc>
        <w:tc>
          <w:tcPr>
            <w:tcW w:w="4253" w:type="dxa"/>
            <w:tcBorders>
              <w:right w:val="single" w:sz="8" w:space="0" w:color="auto"/>
            </w:tcBorders>
            <w:vAlign w:val="bottom"/>
          </w:tcPr>
          <w:p w:rsidR="00252B4C" w:rsidRPr="00260B47" w:rsidRDefault="00252B4C" w:rsidP="00A76F4A">
            <w:pPr>
              <w:spacing w:line="217" w:lineRule="exact"/>
              <w:ind w:left="80" w:right="12"/>
              <w:rPr>
                <w:sz w:val="21"/>
                <w:szCs w:val="21"/>
              </w:rPr>
            </w:pPr>
            <w:r w:rsidRPr="00260B47">
              <w:rPr>
                <w:rFonts w:eastAsia="Times New Roman"/>
                <w:sz w:val="21"/>
                <w:szCs w:val="21"/>
              </w:rPr>
              <w:t>Formation  des  Organisations  de  producteurs  par  la DPV</w:t>
            </w:r>
          </w:p>
        </w:tc>
        <w:tc>
          <w:tcPr>
            <w:tcW w:w="2693" w:type="dxa"/>
            <w:vMerge w:val="restart"/>
            <w:tcBorders>
              <w:right w:val="single" w:sz="8" w:space="0" w:color="auto"/>
            </w:tcBorders>
          </w:tcPr>
          <w:p w:rsidR="00252B4C" w:rsidRPr="00260B47" w:rsidRDefault="00252B4C" w:rsidP="00A76F4A">
            <w:pPr>
              <w:spacing w:line="229" w:lineRule="exact"/>
              <w:ind w:left="80" w:right="12"/>
              <w:rPr>
                <w:rFonts w:eastAsia="Times New Roman"/>
                <w:sz w:val="21"/>
                <w:szCs w:val="21"/>
              </w:rPr>
            </w:pPr>
            <w:r>
              <w:rPr>
                <w:rFonts w:eastAsia="Times New Roman"/>
                <w:sz w:val="21"/>
                <w:szCs w:val="21"/>
              </w:rPr>
              <w:t>Pendant la  mise en œuvre du projet</w:t>
            </w:r>
          </w:p>
        </w:tc>
      </w:tr>
      <w:tr w:rsidR="00252B4C" w:rsidRPr="00260B47" w:rsidTr="00252B4C">
        <w:trPr>
          <w:trHeight w:val="229"/>
        </w:trPr>
        <w:tc>
          <w:tcPr>
            <w:tcW w:w="2957" w:type="dxa"/>
            <w:tcBorders>
              <w:left w:val="single" w:sz="8" w:space="0" w:color="auto"/>
              <w:right w:val="single" w:sz="8" w:space="0" w:color="auto"/>
            </w:tcBorders>
            <w:vAlign w:val="bottom"/>
          </w:tcPr>
          <w:p w:rsidR="00252B4C" w:rsidRPr="00260B47" w:rsidRDefault="00252B4C" w:rsidP="00A76F4A">
            <w:pPr>
              <w:spacing w:line="229" w:lineRule="exact"/>
              <w:ind w:right="12"/>
              <w:rPr>
                <w:sz w:val="21"/>
                <w:szCs w:val="21"/>
              </w:rPr>
            </w:pPr>
          </w:p>
        </w:tc>
        <w:tc>
          <w:tcPr>
            <w:tcW w:w="4253" w:type="dxa"/>
            <w:tcBorders>
              <w:right w:val="single" w:sz="8" w:space="0" w:color="auto"/>
            </w:tcBorders>
            <w:vAlign w:val="bottom"/>
          </w:tcPr>
          <w:p w:rsidR="00252B4C" w:rsidRPr="00260B47" w:rsidRDefault="00252B4C" w:rsidP="00A76F4A">
            <w:pPr>
              <w:spacing w:line="229" w:lineRule="exact"/>
              <w:ind w:right="12"/>
              <w:rPr>
                <w:sz w:val="21"/>
                <w:szCs w:val="21"/>
              </w:rPr>
            </w:pPr>
          </w:p>
        </w:tc>
        <w:tc>
          <w:tcPr>
            <w:tcW w:w="2693" w:type="dxa"/>
            <w:vMerge/>
            <w:tcBorders>
              <w:right w:val="single" w:sz="8" w:space="0" w:color="auto"/>
            </w:tcBorders>
          </w:tcPr>
          <w:p w:rsidR="00252B4C" w:rsidRPr="00260B47" w:rsidRDefault="00252B4C" w:rsidP="00A76F4A">
            <w:pPr>
              <w:spacing w:line="229" w:lineRule="exact"/>
              <w:ind w:left="80" w:right="12"/>
              <w:rPr>
                <w:sz w:val="21"/>
                <w:szCs w:val="21"/>
              </w:rPr>
            </w:pPr>
          </w:p>
        </w:tc>
      </w:tr>
      <w:tr w:rsidR="00B240AC" w:rsidRPr="00260B47" w:rsidTr="00252B4C">
        <w:trPr>
          <w:trHeight w:val="235"/>
        </w:trPr>
        <w:tc>
          <w:tcPr>
            <w:tcW w:w="2957" w:type="dxa"/>
            <w:tcBorders>
              <w:left w:val="single" w:sz="8" w:space="0" w:color="auto"/>
              <w:right w:val="single" w:sz="8" w:space="0" w:color="auto"/>
            </w:tcBorders>
            <w:vAlign w:val="bottom"/>
          </w:tcPr>
          <w:p w:rsidR="00224B2F" w:rsidRPr="00260B47" w:rsidRDefault="00224B2F" w:rsidP="00A76F4A">
            <w:pPr>
              <w:spacing w:line="235" w:lineRule="exact"/>
              <w:ind w:left="120" w:right="12"/>
              <w:rPr>
                <w:sz w:val="21"/>
                <w:szCs w:val="21"/>
              </w:rPr>
            </w:pPr>
            <w:r w:rsidRPr="00260B47">
              <w:rPr>
                <w:rFonts w:eastAsia="Times New Roman"/>
                <w:sz w:val="21"/>
                <w:szCs w:val="21"/>
              </w:rPr>
              <w:t>Promotion de supports scientifiques et techniques</w:t>
            </w:r>
          </w:p>
        </w:tc>
        <w:tc>
          <w:tcPr>
            <w:tcW w:w="4253" w:type="dxa"/>
            <w:tcBorders>
              <w:right w:val="single" w:sz="8" w:space="0" w:color="auto"/>
            </w:tcBorders>
            <w:vAlign w:val="bottom"/>
          </w:tcPr>
          <w:p w:rsidR="00224B2F" w:rsidRPr="00260B47" w:rsidRDefault="00224B2F" w:rsidP="00A76F4A">
            <w:pPr>
              <w:spacing w:line="235" w:lineRule="exact"/>
              <w:ind w:left="80" w:right="12"/>
              <w:rPr>
                <w:sz w:val="21"/>
                <w:szCs w:val="21"/>
              </w:rPr>
            </w:pPr>
            <w:r w:rsidRPr="00260B47">
              <w:rPr>
                <w:rFonts w:eastAsia="Times New Roman"/>
                <w:sz w:val="21"/>
                <w:szCs w:val="21"/>
              </w:rPr>
              <w:t>Elaboration   de   fiches   techniques,   mise   à</w:t>
            </w:r>
          </w:p>
        </w:tc>
        <w:tc>
          <w:tcPr>
            <w:tcW w:w="2693" w:type="dxa"/>
            <w:tcBorders>
              <w:right w:val="single" w:sz="8" w:space="0" w:color="auto"/>
            </w:tcBorders>
          </w:tcPr>
          <w:p w:rsidR="00224B2F" w:rsidRPr="00260B47" w:rsidRDefault="00CD7D68" w:rsidP="00A76F4A">
            <w:pPr>
              <w:spacing w:line="235" w:lineRule="exact"/>
              <w:ind w:left="80" w:right="12"/>
              <w:rPr>
                <w:rFonts w:eastAsia="Times New Roman"/>
                <w:sz w:val="21"/>
                <w:szCs w:val="21"/>
              </w:rPr>
            </w:pPr>
            <w:r>
              <w:rPr>
                <w:rFonts w:eastAsia="Times New Roman"/>
                <w:sz w:val="21"/>
                <w:szCs w:val="21"/>
              </w:rPr>
              <w:t>Pendant la  mise en œuvre du projet</w:t>
            </w:r>
          </w:p>
        </w:tc>
      </w:tr>
      <w:tr w:rsidR="00B240AC" w:rsidRPr="00260B47" w:rsidTr="00252B4C">
        <w:trPr>
          <w:trHeight w:val="254"/>
        </w:trPr>
        <w:tc>
          <w:tcPr>
            <w:tcW w:w="2957" w:type="dxa"/>
            <w:tcBorders>
              <w:left w:val="single" w:sz="8" w:space="0" w:color="auto"/>
              <w:right w:val="single" w:sz="8" w:space="0" w:color="auto"/>
            </w:tcBorders>
            <w:vAlign w:val="bottom"/>
          </w:tcPr>
          <w:p w:rsidR="00224B2F" w:rsidRPr="00260B47" w:rsidRDefault="00224B2F" w:rsidP="00A76F4A">
            <w:pPr>
              <w:ind w:left="120" w:right="12"/>
              <w:rPr>
                <w:sz w:val="21"/>
                <w:szCs w:val="21"/>
              </w:rPr>
            </w:pPr>
            <w:r w:rsidRPr="00260B47">
              <w:rPr>
                <w:rFonts w:eastAsia="Times New Roman"/>
                <w:sz w:val="21"/>
                <w:szCs w:val="21"/>
              </w:rPr>
              <w:t>pour le renforcement des capacités des acteurs</w:t>
            </w:r>
          </w:p>
        </w:tc>
        <w:tc>
          <w:tcPr>
            <w:tcW w:w="4253" w:type="dxa"/>
            <w:tcBorders>
              <w:right w:val="single" w:sz="8" w:space="0" w:color="auto"/>
            </w:tcBorders>
            <w:vAlign w:val="bottom"/>
          </w:tcPr>
          <w:p w:rsidR="00224B2F" w:rsidRPr="00260B47" w:rsidRDefault="00224B2F" w:rsidP="00A76F4A">
            <w:pPr>
              <w:ind w:left="80" w:right="12"/>
              <w:rPr>
                <w:sz w:val="21"/>
                <w:szCs w:val="21"/>
              </w:rPr>
            </w:pPr>
            <w:r w:rsidRPr="00260B47">
              <w:rPr>
                <w:rFonts w:eastAsia="Times New Roman"/>
                <w:sz w:val="21"/>
                <w:szCs w:val="21"/>
              </w:rPr>
              <w:t>disposition  de  matériels  de  protections  aux</w:t>
            </w:r>
          </w:p>
        </w:tc>
        <w:tc>
          <w:tcPr>
            <w:tcW w:w="2693" w:type="dxa"/>
            <w:tcBorders>
              <w:right w:val="single" w:sz="8" w:space="0" w:color="auto"/>
            </w:tcBorders>
          </w:tcPr>
          <w:p w:rsidR="00224B2F" w:rsidRPr="00260B47" w:rsidRDefault="00224B2F" w:rsidP="00A76F4A">
            <w:pPr>
              <w:ind w:left="80" w:right="12"/>
              <w:rPr>
                <w:rFonts w:eastAsia="Times New Roman"/>
                <w:sz w:val="21"/>
                <w:szCs w:val="21"/>
              </w:rPr>
            </w:pPr>
          </w:p>
        </w:tc>
      </w:tr>
      <w:tr w:rsidR="00B240AC" w:rsidRPr="00260B47" w:rsidTr="00252B4C">
        <w:trPr>
          <w:trHeight w:val="257"/>
        </w:trPr>
        <w:tc>
          <w:tcPr>
            <w:tcW w:w="2957" w:type="dxa"/>
            <w:tcBorders>
              <w:left w:val="single" w:sz="8" w:space="0" w:color="auto"/>
              <w:bottom w:val="single" w:sz="8" w:space="0" w:color="auto"/>
              <w:right w:val="single" w:sz="8" w:space="0" w:color="auto"/>
            </w:tcBorders>
            <w:vAlign w:val="bottom"/>
          </w:tcPr>
          <w:p w:rsidR="00224B2F" w:rsidRPr="00260B47" w:rsidRDefault="00224B2F" w:rsidP="00A76F4A">
            <w:pPr>
              <w:ind w:right="12"/>
              <w:rPr>
                <w:sz w:val="21"/>
                <w:szCs w:val="21"/>
              </w:rPr>
            </w:pPr>
          </w:p>
        </w:tc>
        <w:tc>
          <w:tcPr>
            <w:tcW w:w="4253" w:type="dxa"/>
            <w:tcBorders>
              <w:bottom w:val="single" w:sz="8" w:space="0" w:color="auto"/>
              <w:right w:val="single" w:sz="8" w:space="0" w:color="auto"/>
            </w:tcBorders>
            <w:vAlign w:val="bottom"/>
          </w:tcPr>
          <w:p w:rsidR="00224B2F" w:rsidRPr="00260B47" w:rsidRDefault="00224B2F" w:rsidP="00A76F4A">
            <w:pPr>
              <w:ind w:left="80" w:right="12"/>
              <w:rPr>
                <w:sz w:val="21"/>
                <w:szCs w:val="21"/>
              </w:rPr>
            </w:pPr>
            <w:r w:rsidRPr="00260B47">
              <w:rPr>
                <w:rFonts w:eastAsia="Times New Roman"/>
                <w:sz w:val="21"/>
                <w:szCs w:val="21"/>
              </w:rPr>
              <w:t>applicateurs</w:t>
            </w:r>
          </w:p>
        </w:tc>
        <w:tc>
          <w:tcPr>
            <w:tcW w:w="2693" w:type="dxa"/>
            <w:tcBorders>
              <w:bottom w:val="single" w:sz="8" w:space="0" w:color="auto"/>
              <w:right w:val="single" w:sz="8" w:space="0" w:color="auto"/>
            </w:tcBorders>
          </w:tcPr>
          <w:p w:rsidR="00224B2F" w:rsidRPr="00260B47" w:rsidRDefault="00224B2F" w:rsidP="00A76F4A">
            <w:pPr>
              <w:ind w:left="80" w:right="12"/>
              <w:rPr>
                <w:rFonts w:eastAsia="Times New Roman"/>
                <w:sz w:val="21"/>
                <w:szCs w:val="21"/>
              </w:rPr>
            </w:pPr>
          </w:p>
        </w:tc>
      </w:tr>
    </w:tbl>
    <w:p w:rsidR="002379F2" w:rsidRPr="00260B47" w:rsidRDefault="002379F2" w:rsidP="00A76F4A">
      <w:pPr>
        <w:spacing w:line="200" w:lineRule="exact"/>
        <w:ind w:right="12"/>
        <w:rPr>
          <w:sz w:val="21"/>
          <w:szCs w:val="21"/>
        </w:rPr>
      </w:pPr>
    </w:p>
    <w:p w:rsidR="00252B4C" w:rsidRDefault="00252B4C" w:rsidP="00A76F4A">
      <w:pPr>
        <w:ind w:right="12"/>
        <w:rPr>
          <w:b/>
          <w:sz w:val="21"/>
          <w:szCs w:val="21"/>
        </w:rPr>
      </w:pPr>
      <w:bookmarkStart w:id="633" w:name="_Toc521939565"/>
    </w:p>
    <w:p w:rsidR="000A0D3D" w:rsidRPr="003C123B" w:rsidRDefault="007418E7" w:rsidP="00A76F4A">
      <w:pPr>
        <w:ind w:right="12"/>
        <w:rPr>
          <w:b/>
        </w:rPr>
      </w:pPr>
      <w:r w:rsidRPr="003C123B">
        <w:rPr>
          <w:b/>
        </w:rPr>
        <w:t>Suivi</w:t>
      </w:r>
      <w:bookmarkEnd w:id="633"/>
    </w:p>
    <w:p w:rsidR="007418E7" w:rsidRPr="00303F8B" w:rsidRDefault="007418E7" w:rsidP="00A76F4A">
      <w:pPr>
        <w:autoSpaceDE w:val="0"/>
        <w:autoSpaceDN w:val="0"/>
        <w:adjustRightInd w:val="0"/>
        <w:ind w:right="12"/>
        <w:jc w:val="both"/>
      </w:pPr>
      <w:r w:rsidRPr="00303F8B">
        <w:t xml:space="preserve">Le plan de suivi est subordonné aux activités prévues par </w:t>
      </w:r>
      <w:r w:rsidR="00077EB2" w:rsidRPr="00303F8B">
        <w:t>le projet</w:t>
      </w:r>
      <w:r w:rsidRPr="00303F8B">
        <w:t xml:space="preserve">. Le suivi est soutenu par la collecte et l’analyse de données pour vérifier si la mise en œuvre des activités se déroule comme prévu et pour procéder à des adaptations immédiates, si nécessaires. Il s'agit donc d'une activité d'évaluation axée sur le court terme, afin de permettre d'agir à temps réel.  La fréquence du suivi dépendra du type d'information nécessaire, cependant il sera continu tout le long de la mise en œuvre du plan d’action. </w:t>
      </w:r>
    </w:p>
    <w:p w:rsidR="0006341D" w:rsidRPr="00303F8B" w:rsidRDefault="0006341D" w:rsidP="00A76F4A">
      <w:pPr>
        <w:autoSpaceDE w:val="0"/>
        <w:autoSpaceDN w:val="0"/>
        <w:adjustRightInd w:val="0"/>
        <w:ind w:right="12"/>
        <w:jc w:val="both"/>
      </w:pPr>
    </w:p>
    <w:p w:rsidR="007418E7" w:rsidRPr="00303F8B" w:rsidRDefault="007418E7" w:rsidP="00A76F4A">
      <w:pPr>
        <w:autoSpaceDE w:val="0"/>
        <w:autoSpaceDN w:val="0"/>
        <w:adjustRightInd w:val="0"/>
        <w:ind w:right="12"/>
        <w:jc w:val="both"/>
      </w:pPr>
      <w:r w:rsidRPr="00303F8B">
        <w:t>Le suivi global sera assuré, par les agents d’exécution</w:t>
      </w:r>
      <w:r w:rsidR="00077EB2" w:rsidRPr="00303F8B">
        <w:t xml:space="preserve"> du projet</w:t>
      </w:r>
      <w:r w:rsidRPr="00303F8B">
        <w:t xml:space="preserve">. Il sera organisé par le biais de visites périodiques sur le terrain. Un plan de suivi complet sera élaboré et mis à la disposition des acteurs impliqués dans la mise en œuvre et qui sont interpellés, chacun en ce qui le concerne, dans le suivi. </w:t>
      </w:r>
    </w:p>
    <w:p w:rsidR="007E666C" w:rsidRPr="00303F8B" w:rsidRDefault="007E666C" w:rsidP="00A76F4A">
      <w:pPr>
        <w:autoSpaceDE w:val="0"/>
        <w:autoSpaceDN w:val="0"/>
        <w:adjustRightInd w:val="0"/>
        <w:ind w:right="12"/>
        <w:jc w:val="both"/>
      </w:pPr>
    </w:p>
    <w:p w:rsidR="007418E7" w:rsidRPr="00303F8B" w:rsidRDefault="007418E7" w:rsidP="00A76F4A">
      <w:pPr>
        <w:autoSpaceDE w:val="0"/>
        <w:autoSpaceDN w:val="0"/>
        <w:adjustRightInd w:val="0"/>
        <w:ind w:right="12"/>
        <w:jc w:val="both"/>
      </w:pPr>
      <w:r w:rsidRPr="00303F8B">
        <w:t>Au plan opérationnel, le suivi sera organisé par le biais de visites périodiques sur le terrain et sera assuré comme suit :</w:t>
      </w:r>
    </w:p>
    <w:p w:rsidR="007418E7" w:rsidRPr="00260B47" w:rsidRDefault="008424E0" w:rsidP="00A76F4A">
      <w:pPr>
        <w:pStyle w:val="PargrafodaLista"/>
        <w:numPr>
          <w:ilvl w:val="0"/>
          <w:numId w:val="137"/>
        </w:numPr>
        <w:spacing w:line="240" w:lineRule="auto"/>
        <w:ind w:right="12"/>
        <w:jc w:val="both"/>
        <w:rPr>
          <w:rFonts w:ascii="Times New Roman" w:hAnsi="Times New Roman"/>
          <w:sz w:val="21"/>
          <w:szCs w:val="21"/>
        </w:rPr>
      </w:pPr>
      <w:r w:rsidRPr="00260B47">
        <w:rPr>
          <w:rFonts w:ascii="Times New Roman" w:hAnsi="Times New Roman"/>
          <w:sz w:val="21"/>
          <w:szCs w:val="21"/>
        </w:rPr>
        <w:t>Au niveau de DPV</w:t>
      </w:r>
      <w:r w:rsidR="00B01314">
        <w:rPr>
          <w:rFonts w:ascii="Times New Roman" w:hAnsi="Times New Roman"/>
          <w:sz w:val="21"/>
          <w:szCs w:val="21"/>
        </w:rPr>
        <w:t xml:space="preserve"> et au niveau du projet PUSA </w:t>
      </w:r>
      <w:r w:rsidR="007418E7" w:rsidRPr="00260B47">
        <w:rPr>
          <w:rFonts w:ascii="Times New Roman" w:hAnsi="Times New Roman"/>
          <w:sz w:val="21"/>
          <w:szCs w:val="21"/>
        </w:rPr>
        <w:t>par son Environnementaliste, qui va rédiger les TDR y relatifs ;</w:t>
      </w:r>
    </w:p>
    <w:p w:rsidR="007418E7" w:rsidRPr="00260B47" w:rsidRDefault="007418E7" w:rsidP="00A76F4A">
      <w:pPr>
        <w:pStyle w:val="PargrafodaLista"/>
        <w:numPr>
          <w:ilvl w:val="0"/>
          <w:numId w:val="137"/>
        </w:numPr>
        <w:spacing w:line="240" w:lineRule="auto"/>
        <w:ind w:right="12"/>
        <w:jc w:val="both"/>
        <w:rPr>
          <w:rFonts w:ascii="Times New Roman" w:hAnsi="Times New Roman"/>
          <w:sz w:val="21"/>
          <w:szCs w:val="21"/>
        </w:rPr>
      </w:pPr>
      <w:r w:rsidRPr="00260B47">
        <w:rPr>
          <w:rFonts w:ascii="Times New Roman" w:hAnsi="Times New Roman"/>
          <w:sz w:val="21"/>
          <w:szCs w:val="21"/>
        </w:rPr>
        <w:t>Par un laboratoire de c</w:t>
      </w:r>
      <w:r w:rsidR="008424E0" w:rsidRPr="00260B47">
        <w:rPr>
          <w:rFonts w:ascii="Times New Roman" w:hAnsi="Times New Roman"/>
          <w:sz w:val="21"/>
          <w:szCs w:val="21"/>
        </w:rPr>
        <w:t>ontrôle qualifié, avec lequel le DPV</w:t>
      </w:r>
      <w:r w:rsidR="000768F3">
        <w:rPr>
          <w:rFonts w:ascii="Times New Roman" w:hAnsi="Times New Roman"/>
          <w:sz w:val="21"/>
          <w:szCs w:val="21"/>
        </w:rPr>
        <w:t xml:space="preserve"> </w:t>
      </w:r>
      <w:r w:rsidRPr="00260B47">
        <w:rPr>
          <w:rFonts w:ascii="Times New Roman" w:hAnsi="Times New Roman"/>
          <w:sz w:val="21"/>
          <w:szCs w:val="21"/>
        </w:rPr>
        <w:t xml:space="preserve">va signer un protocole d’accord </w:t>
      </w:r>
    </w:p>
    <w:p w:rsidR="0006341D" w:rsidRDefault="007418E7" w:rsidP="00A76F4A">
      <w:pPr>
        <w:pStyle w:val="PargrafodaLista"/>
        <w:numPr>
          <w:ilvl w:val="0"/>
          <w:numId w:val="137"/>
        </w:numPr>
        <w:spacing w:line="240" w:lineRule="auto"/>
        <w:ind w:right="12"/>
        <w:jc w:val="both"/>
        <w:rPr>
          <w:rFonts w:ascii="Times New Roman" w:hAnsi="Times New Roman"/>
          <w:sz w:val="21"/>
          <w:szCs w:val="21"/>
        </w:rPr>
      </w:pPr>
      <w:r w:rsidRPr="00260B47">
        <w:rPr>
          <w:rFonts w:ascii="Times New Roman" w:hAnsi="Times New Roman"/>
          <w:sz w:val="21"/>
          <w:szCs w:val="21"/>
        </w:rPr>
        <w:t>Les résultats de ce contrôle sont suivis et gérés pa</w:t>
      </w:r>
      <w:r w:rsidR="008424E0" w:rsidRPr="00260B47">
        <w:rPr>
          <w:rFonts w:ascii="Times New Roman" w:hAnsi="Times New Roman"/>
          <w:sz w:val="21"/>
          <w:szCs w:val="21"/>
        </w:rPr>
        <w:t>r l’environnementaliste de le DPV</w:t>
      </w:r>
    </w:p>
    <w:p w:rsidR="00901DC3" w:rsidRPr="008371D1" w:rsidRDefault="00901DC3" w:rsidP="00A76F4A">
      <w:pPr>
        <w:pStyle w:val="PargrafodaLista"/>
        <w:numPr>
          <w:ilvl w:val="0"/>
          <w:numId w:val="137"/>
        </w:numPr>
        <w:spacing w:line="240" w:lineRule="auto"/>
        <w:ind w:right="12"/>
        <w:jc w:val="both"/>
        <w:rPr>
          <w:rFonts w:ascii="Times New Roman" w:hAnsi="Times New Roman"/>
          <w:sz w:val="21"/>
          <w:szCs w:val="21"/>
        </w:rPr>
      </w:pPr>
      <w:r w:rsidRPr="00901DC3">
        <w:rPr>
          <w:rFonts w:ascii="Times New Roman" w:hAnsi="Times New Roman"/>
          <w:sz w:val="21"/>
          <w:szCs w:val="21"/>
        </w:rPr>
        <w:t>Mettre en place un régime complet de suivi et d'évaluation des parasites</w:t>
      </w:r>
      <w:r>
        <w:rPr>
          <w:rFonts w:ascii="Times New Roman" w:hAnsi="Times New Roman"/>
          <w:sz w:val="21"/>
          <w:szCs w:val="21"/>
        </w:rPr>
        <w:t> </w:t>
      </w:r>
      <w:r w:rsidR="000A55E3">
        <w:rPr>
          <w:rFonts w:ascii="Times New Roman" w:hAnsi="Times New Roman"/>
          <w:sz w:val="21"/>
          <w:szCs w:val="21"/>
        </w:rPr>
        <w:t>par l’environnementaliste du Projet PUSA</w:t>
      </w:r>
    </w:p>
    <w:p w:rsidR="007418E7" w:rsidRPr="00260B47" w:rsidRDefault="007418E7" w:rsidP="00A76F4A">
      <w:pPr>
        <w:ind w:left="284" w:right="12"/>
        <w:jc w:val="both"/>
        <w:rPr>
          <w:sz w:val="21"/>
          <w:szCs w:val="21"/>
        </w:rPr>
      </w:pPr>
      <w:r w:rsidRPr="00260B47">
        <w:rPr>
          <w:sz w:val="21"/>
          <w:szCs w:val="21"/>
        </w:rPr>
        <w:t>Le suivi pourra impliquer les services suivants au niveau régional :</w:t>
      </w:r>
    </w:p>
    <w:p w:rsidR="007418E7" w:rsidRPr="00260B47" w:rsidRDefault="007418E7" w:rsidP="00A76F4A">
      <w:pPr>
        <w:pStyle w:val="PargrafodaLista"/>
        <w:numPr>
          <w:ilvl w:val="0"/>
          <w:numId w:val="138"/>
        </w:numPr>
        <w:spacing w:line="240" w:lineRule="auto"/>
        <w:ind w:right="12"/>
        <w:rPr>
          <w:rFonts w:ascii="Times New Roman" w:hAnsi="Times New Roman"/>
          <w:sz w:val="21"/>
          <w:szCs w:val="21"/>
        </w:rPr>
      </w:pPr>
      <w:r w:rsidRPr="00260B47">
        <w:rPr>
          <w:rFonts w:ascii="Times New Roman" w:hAnsi="Times New Roman"/>
          <w:sz w:val="21"/>
          <w:szCs w:val="21"/>
        </w:rPr>
        <w:t xml:space="preserve">Le service de </w:t>
      </w:r>
      <w:r w:rsidR="008424E0" w:rsidRPr="00260B47">
        <w:rPr>
          <w:rFonts w:ascii="Times New Roman" w:hAnsi="Times New Roman"/>
          <w:sz w:val="21"/>
          <w:szCs w:val="21"/>
        </w:rPr>
        <w:t>l’agriculture</w:t>
      </w:r>
      <w:r w:rsidRPr="00260B47">
        <w:rPr>
          <w:rFonts w:ascii="Times New Roman" w:hAnsi="Times New Roman"/>
          <w:sz w:val="21"/>
          <w:szCs w:val="21"/>
        </w:rPr>
        <w:t xml:space="preserve"> </w:t>
      </w:r>
    </w:p>
    <w:p w:rsidR="007418E7" w:rsidRPr="00260B47" w:rsidRDefault="007418E7" w:rsidP="00A76F4A">
      <w:pPr>
        <w:pStyle w:val="PargrafodaLista"/>
        <w:numPr>
          <w:ilvl w:val="0"/>
          <w:numId w:val="138"/>
        </w:numPr>
        <w:spacing w:line="240" w:lineRule="auto"/>
        <w:ind w:right="12"/>
        <w:rPr>
          <w:rFonts w:ascii="Times New Roman" w:hAnsi="Times New Roman"/>
          <w:sz w:val="21"/>
          <w:szCs w:val="21"/>
        </w:rPr>
      </w:pPr>
      <w:r w:rsidRPr="00260B47">
        <w:rPr>
          <w:rFonts w:ascii="Times New Roman" w:hAnsi="Times New Roman"/>
          <w:sz w:val="21"/>
          <w:szCs w:val="21"/>
        </w:rPr>
        <w:t>Le service régional et local de l’Hygiène</w:t>
      </w:r>
    </w:p>
    <w:p w:rsidR="007418E7" w:rsidRPr="00260B47" w:rsidRDefault="006A6DEF" w:rsidP="00A76F4A">
      <w:pPr>
        <w:pStyle w:val="PargrafodaLista"/>
        <w:numPr>
          <w:ilvl w:val="0"/>
          <w:numId w:val="138"/>
        </w:numPr>
        <w:spacing w:line="240" w:lineRule="auto"/>
        <w:ind w:right="12"/>
        <w:rPr>
          <w:rFonts w:ascii="Times New Roman" w:hAnsi="Times New Roman"/>
          <w:sz w:val="21"/>
          <w:szCs w:val="21"/>
        </w:rPr>
      </w:pPr>
      <w:r w:rsidRPr="00260B47">
        <w:rPr>
          <w:rFonts w:ascii="Times New Roman" w:hAnsi="Times New Roman"/>
          <w:sz w:val="21"/>
          <w:szCs w:val="21"/>
        </w:rPr>
        <w:t>L’AAAC</w:t>
      </w:r>
    </w:p>
    <w:p w:rsidR="007418E7" w:rsidRPr="00260B47" w:rsidRDefault="007418E7" w:rsidP="00A76F4A">
      <w:pPr>
        <w:pStyle w:val="PargrafodaLista"/>
        <w:numPr>
          <w:ilvl w:val="0"/>
          <w:numId w:val="138"/>
        </w:numPr>
        <w:spacing w:line="240" w:lineRule="auto"/>
        <w:ind w:right="12"/>
        <w:rPr>
          <w:rFonts w:ascii="Times New Roman" w:hAnsi="Times New Roman"/>
          <w:sz w:val="21"/>
          <w:szCs w:val="21"/>
        </w:rPr>
      </w:pPr>
      <w:r w:rsidRPr="00260B47">
        <w:rPr>
          <w:rFonts w:ascii="Times New Roman" w:hAnsi="Times New Roman"/>
          <w:sz w:val="21"/>
          <w:szCs w:val="21"/>
        </w:rPr>
        <w:t>Le service sanitaire local</w:t>
      </w:r>
    </w:p>
    <w:p w:rsidR="007418E7" w:rsidRPr="00303F8B" w:rsidRDefault="007418E7" w:rsidP="00A76F4A">
      <w:pPr>
        <w:autoSpaceDE w:val="0"/>
        <w:autoSpaceDN w:val="0"/>
        <w:adjustRightInd w:val="0"/>
        <w:ind w:right="12"/>
        <w:jc w:val="both"/>
      </w:pPr>
      <w:r w:rsidRPr="00303F8B">
        <w:t xml:space="preserve">Sous la coordination de </w:t>
      </w:r>
      <w:r w:rsidR="006A6DEF" w:rsidRPr="00303F8B">
        <w:t>la DPV</w:t>
      </w:r>
      <w:r w:rsidRPr="00303F8B">
        <w:t xml:space="preserve">, le suivi de proximité sera effectué par les services de protection des végétaux, le service de l’Hygiène, le service de l’environnement, le service </w:t>
      </w:r>
      <w:r w:rsidRPr="00303F8B">
        <w:lastRenderedPageBreak/>
        <w:t>sanitaire. La fréquence de l’utilisation des méthodes alternatives de lutte contre les pestes sera également évaluée. En fin,  un accent particulier devra être porté sur le suivi et l’évaluation des points suivants: le contrôle des groupes non ciblés pour savoir si les opérations de traitement contre les  nuisibles  ne  nuisent  pas  à  d’autres  êtres  vivants  non  ciblés  dans  cette  lutte; les enquêtes entomologiques pour contrôler la population vectorielle et l’efficacité des programmes de traitement; le suivi sanitaire des manipulateurs et le choix  des  pesticides  sur la base des risques sur l’environnement.</w:t>
      </w:r>
    </w:p>
    <w:p w:rsidR="007418E7" w:rsidRPr="00260B47" w:rsidRDefault="007418E7" w:rsidP="00A76F4A">
      <w:pPr>
        <w:pStyle w:val="PargrafodaLista"/>
        <w:numPr>
          <w:ilvl w:val="0"/>
          <w:numId w:val="141"/>
        </w:numPr>
        <w:ind w:right="12"/>
        <w:rPr>
          <w:rFonts w:ascii="Times New Roman" w:hAnsi="Times New Roman"/>
          <w:sz w:val="21"/>
          <w:szCs w:val="21"/>
        </w:rPr>
      </w:pPr>
      <w:r w:rsidRPr="00260B47">
        <w:rPr>
          <w:rFonts w:ascii="Times New Roman" w:hAnsi="Times New Roman"/>
          <w:sz w:val="21"/>
          <w:szCs w:val="21"/>
        </w:rPr>
        <w:t>Implication, responsabilisation et   des laboratoires nationaux dans le suivi qualitatif :</w:t>
      </w:r>
    </w:p>
    <w:p w:rsidR="007418E7" w:rsidRPr="00303F8B" w:rsidRDefault="007418E7" w:rsidP="00A76F4A">
      <w:pPr>
        <w:autoSpaceDE w:val="0"/>
        <w:autoSpaceDN w:val="0"/>
        <w:adjustRightInd w:val="0"/>
        <w:ind w:right="12"/>
        <w:jc w:val="both"/>
      </w:pPr>
      <w:r w:rsidRPr="00303F8B">
        <w:t xml:space="preserve">Le </w:t>
      </w:r>
      <w:r w:rsidR="006C74E7" w:rsidRPr="00303F8B">
        <w:t>suivi de</w:t>
      </w:r>
      <w:r w:rsidRPr="00303F8B">
        <w:t xml:space="preserve"> la mise en œuvre du PGPP (notamment au niveau des eaux, des aliments et des cultures, du bétail et des ressources </w:t>
      </w:r>
      <w:r w:rsidR="000768F3" w:rsidRPr="00303F8B">
        <w:t>halieutiques) devra</w:t>
      </w:r>
      <w:r w:rsidRPr="00303F8B">
        <w:t xml:space="preserve"> aussi faire appel à </w:t>
      </w:r>
      <w:r w:rsidR="003F6A1E" w:rsidRPr="00303F8B">
        <w:t>des laboratoires</w:t>
      </w:r>
      <w:r w:rsidRPr="00303F8B">
        <w:t xml:space="preserve"> et </w:t>
      </w:r>
      <w:r w:rsidR="00DE2CBB" w:rsidRPr="00303F8B">
        <w:t>autres structures</w:t>
      </w:r>
      <w:r w:rsidRPr="00303F8B">
        <w:t xml:space="preserve"> spécialisées  existants  dans  le  pays,  particulièrement  le  Laboratoire  d'Analyse  de  Résidus  de  la Fondation  CERES/LOCUSTOX.  Le </w:t>
      </w:r>
      <w:r w:rsidR="006A6DEF" w:rsidRPr="00303F8B">
        <w:t>projet</w:t>
      </w:r>
      <w:r w:rsidRPr="00303F8B">
        <w:t xml:space="preserve"> devra établir des protocoles de collaboration avec ce laboratoire.  Dans le contrôle et le suivi environnemental des pesticides, ce laboratoire sera chargé du contrôle des distributeurs et des applicateurs afin de s’assurer que seuls les produits homologués sont mis en vente et utilisés.  </w:t>
      </w:r>
      <w:r w:rsidR="00281DA2" w:rsidRPr="00303F8B">
        <w:t xml:space="preserve">Il sera </w:t>
      </w:r>
      <w:r w:rsidR="003F6A1E" w:rsidRPr="00303F8B">
        <w:t>prévu la</w:t>
      </w:r>
      <w:r w:rsidRPr="00303F8B">
        <w:t xml:space="preserve">  vérification  des  teneurs  des  composantes  et  résidus  de pesticides et leurs adéquations aux normes notamment internationales. </w:t>
      </w:r>
    </w:p>
    <w:p w:rsidR="007418E7" w:rsidRPr="003C123B" w:rsidRDefault="007418E7" w:rsidP="00A76F4A">
      <w:pPr>
        <w:pStyle w:val="Cabealho4"/>
        <w:numPr>
          <w:ilvl w:val="0"/>
          <w:numId w:val="0"/>
        </w:numPr>
        <w:ind w:left="864" w:right="12"/>
        <w:rPr>
          <w:rFonts w:ascii="Times New Roman" w:hAnsi="Times New Roman"/>
          <w:sz w:val="24"/>
          <w:szCs w:val="24"/>
        </w:rPr>
      </w:pPr>
      <w:bookmarkStart w:id="634" w:name="_Toc521939566"/>
      <w:r w:rsidRPr="003C123B">
        <w:rPr>
          <w:rFonts w:ascii="Times New Roman" w:hAnsi="Times New Roman"/>
          <w:sz w:val="24"/>
          <w:szCs w:val="24"/>
        </w:rPr>
        <w:t>Evaluation</w:t>
      </w:r>
      <w:bookmarkEnd w:id="634"/>
      <w:r w:rsidRPr="003C123B">
        <w:rPr>
          <w:rFonts w:ascii="Times New Roman" w:hAnsi="Times New Roman"/>
          <w:sz w:val="24"/>
          <w:szCs w:val="24"/>
        </w:rPr>
        <w:t xml:space="preserve"> </w:t>
      </w:r>
    </w:p>
    <w:p w:rsidR="0081167C" w:rsidRPr="00303F8B" w:rsidRDefault="00B35961" w:rsidP="00A76F4A">
      <w:pPr>
        <w:autoSpaceDE w:val="0"/>
        <w:autoSpaceDN w:val="0"/>
        <w:adjustRightInd w:val="0"/>
        <w:ind w:right="12"/>
        <w:jc w:val="both"/>
      </w:pPr>
      <w:r w:rsidRPr="00303F8B">
        <w:t>Deux évaluations seront</w:t>
      </w:r>
      <w:r w:rsidR="006C74E7" w:rsidRPr="00303F8B">
        <w:t xml:space="preserve"> effectuées</w:t>
      </w:r>
      <w:r w:rsidR="007418E7" w:rsidRPr="00303F8B">
        <w:t xml:space="preserve">:  une  évaluation  interne </w:t>
      </w:r>
      <w:r w:rsidR="00696012" w:rsidRPr="00303F8B">
        <w:t>effectue par l’environne</w:t>
      </w:r>
      <w:r w:rsidRPr="00303F8B">
        <w:t>mentale du projet PUSA</w:t>
      </w:r>
      <w:r w:rsidR="007418E7" w:rsidRPr="00303F8B">
        <w:t xml:space="preserve"> à  mi-parcours  et  une  évaluation  externe</w:t>
      </w:r>
      <w:r w:rsidR="007709E9" w:rsidRPr="00303F8B">
        <w:t xml:space="preserve"> avec</w:t>
      </w:r>
      <w:r w:rsidR="007418E7" w:rsidRPr="00303F8B">
        <w:t xml:space="preserve"> </w:t>
      </w:r>
      <w:r w:rsidR="00605B32" w:rsidRPr="00303F8B">
        <w:t>l</w:t>
      </w:r>
      <w:r w:rsidR="0081167C" w:rsidRPr="00303F8B">
        <w:t>es partenaires financiers, les bénéficiaires du  projet  et  les</w:t>
      </w:r>
      <w:r w:rsidR="00605B32" w:rsidRPr="00303F8B">
        <w:t xml:space="preserve">  autres partenaires  impliqués, </w:t>
      </w:r>
      <w:r w:rsidR="007418E7" w:rsidRPr="00303F8B">
        <w:t xml:space="preserve">durant  le  mois  qui  suit  la  fin  de  mise  en  œuvre  du projet afin  de  maintenir  les  objectifs  du  plan d’action. </w:t>
      </w:r>
    </w:p>
    <w:p w:rsidR="007418E7" w:rsidRPr="00303F8B" w:rsidRDefault="007418E7" w:rsidP="00A76F4A">
      <w:pPr>
        <w:autoSpaceDE w:val="0"/>
        <w:autoSpaceDN w:val="0"/>
        <w:adjustRightInd w:val="0"/>
        <w:ind w:right="12"/>
        <w:jc w:val="both"/>
      </w:pPr>
      <w:r w:rsidRPr="00303F8B">
        <w:t xml:space="preserve">L’évaluation à mi-parcours a pour objet de déterminer l'évolution correcte du plan de gestion, les résultats à mi-parcours </w:t>
      </w:r>
      <w:r w:rsidR="00605B32" w:rsidRPr="00303F8B">
        <w:t xml:space="preserve">et </w:t>
      </w:r>
      <w:r w:rsidR="006C74E7" w:rsidRPr="00303F8B">
        <w:t xml:space="preserve">évaluation finale </w:t>
      </w:r>
      <w:r w:rsidR="00696012" w:rsidRPr="00303F8B">
        <w:t>du PGPP</w:t>
      </w:r>
      <w:r w:rsidRPr="00303F8B">
        <w:t xml:space="preserve"> </w:t>
      </w:r>
      <w:r w:rsidR="00696012" w:rsidRPr="00303F8B">
        <w:t xml:space="preserve">consistera </w:t>
      </w:r>
      <w:r w:rsidR="00426327" w:rsidRPr="00303F8B">
        <w:t>à mesurer</w:t>
      </w:r>
      <w:r w:rsidRPr="00303F8B">
        <w:t xml:space="preserve">  l’efficacité  de  sa  mise  en  œuvre  et  sa  performance  et  à  identifier  les  leçons apprises. Cette évaluation sera intégrée dans le rapport d’achèvement du </w:t>
      </w:r>
      <w:r w:rsidR="00672698" w:rsidRPr="00303F8B">
        <w:t>projet</w:t>
      </w:r>
      <w:r w:rsidRPr="00303F8B">
        <w:t>.</w:t>
      </w:r>
    </w:p>
    <w:p w:rsidR="007418E7" w:rsidRPr="003C123B" w:rsidRDefault="007418E7" w:rsidP="00A76F4A">
      <w:pPr>
        <w:pStyle w:val="Cabealho4"/>
        <w:numPr>
          <w:ilvl w:val="0"/>
          <w:numId w:val="0"/>
        </w:numPr>
        <w:ind w:left="864" w:right="12" w:hanging="144"/>
        <w:rPr>
          <w:rFonts w:ascii="Times New Roman" w:hAnsi="Times New Roman"/>
          <w:sz w:val="24"/>
          <w:szCs w:val="24"/>
        </w:rPr>
      </w:pPr>
      <w:bookmarkStart w:id="635" w:name="_Toc521939567"/>
      <w:r w:rsidRPr="003C123B">
        <w:rPr>
          <w:rFonts w:ascii="Times New Roman" w:hAnsi="Times New Roman"/>
          <w:sz w:val="24"/>
          <w:szCs w:val="24"/>
        </w:rPr>
        <w:t xml:space="preserve"> Indicateurs de suivi</w:t>
      </w:r>
      <w:bookmarkEnd w:id="635"/>
    </w:p>
    <w:p w:rsidR="007418E7" w:rsidRPr="00303F8B" w:rsidRDefault="006C74E7" w:rsidP="00A76F4A">
      <w:pPr>
        <w:autoSpaceDE w:val="0"/>
        <w:autoSpaceDN w:val="0"/>
        <w:adjustRightInd w:val="0"/>
        <w:ind w:right="12"/>
        <w:jc w:val="both"/>
      </w:pPr>
      <w:r w:rsidRPr="00303F8B">
        <w:t xml:space="preserve">Pour assurer </w:t>
      </w:r>
      <w:r w:rsidR="004C54E7" w:rsidRPr="00303F8B">
        <w:t xml:space="preserve">le </w:t>
      </w:r>
      <w:r w:rsidR="00370CA3" w:rsidRPr="00303F8B">
        <w:t>suivi, il</w:t>
      </w:r>
      <w:r w:rsidR="007418E7" w:rsidRPr="00303F8B">
        <w:t xml:space="preserve">  est  nécessaire  de  disposer  d’indicateurs  qui  sont  des  signaux  pré-identifiés exprimant les changements dans certaines conditions ou résultats liés à des interventions spécifiques. </w:t>
      </w:r>
    </w:p>
    <w:p w:rsidR="007418E7" w:rsidRPr="00303F8B" w:rsidRDefault="007418E7" w:rsidP="00A76F4A">
      <w:pPr>
        <w:autoSpaceDE w:val="0"/>
        <w:autoSpaceDN w:val="0"/>
        <w:adjustRightInd w:val="0"/>
        <w:ind w:right="12"/>
        <w:jc w:val="both"/>
      </w:pPr>
      <w:r w:rsidRPr="00303F8B">
        <w:t xml:space="preserve">Ce sont des paramètres dont l’utilisation fournit des informations quantitatives ou qualitatives sur les impacts et les bénéfices environnementaux et sociaux.  Les indicateurs de suivi aideront dans la mise en application des mesures d'atténuation en vue d’évaluer l’efficacité de ces activités. </w:t>
      </w:r>
    </w:p>
    <w:p w:rsidR="007418E7" w:rsidRPr="00260B47" w:rsidRDefault="007418E7" w:rsidP="00A76F4A">
      <w:pPr>
        <w:ind w:left="284" w:right="12"/>
        <w:jc w:val="both"/>
        <w:rPr>
          <w:sz w:val="21"/>
          <w:szCs w:val="21"/>
        </w:rPr>
      </w:pPr>
      <w:r w:rsidRPr="00260B47">
        <w:rPr>
          <w:sz w:val="21"/>
          <w:szCs w:val="21"/>
        </w:rPr>
        <w:t>Indicateurs d’ordre st</w:t>
      </w:r>
      <w:r w:rsidR="000C5C00" w:rsidRPr="00260B47">
        <w:rPr>
          <w:sz w:val="21"/>
          <w:szCs w:val="21"/>
        </w:rPr>
        <w:t xml:space="preserve">ratégique à suivre </w:t>
      </w:r>
      <w:r w:rsidR="006C74E7" w:rsidRPr="00260B47">
        <w:rPr>
          <w:sz w:val="21"/>
          <w:szCs w:val="21"/>
        </w:rPr>
        <w:t>par la</w:t>
      </w:r>
      <w:r w:rsidR="000C5C00" w:rsidRPr="00260B47">
        <w:rPr>
          <w:sz w:val="21"/>
          <w:szCs w:val="21"/>
        </w:rPr>
        <w:t xml:space="preserve"> DPV, AAAC,</w:t>
      </w:r>
      <w:r w:rsidR="0038655F" w:rsidRPr="00260B47">
        <w:rPr>
          <w:sz w:val="21"/>
          <w:szCs w:val="21"/>
        </w:rPr>
        <w:t>.</w:t>
      </w:r>
    </w:p>
    <w:p w:rsidR="006C74E7" w:rsidRPr="00260B47" w:rsidRDefault="006C74E7" w:rsidP="00720117">
      <w:pPr>
        <w:pStyle w:val="PargrafodaLista"/>
        <w:spacing w:after="0" w:line="240" w:lineRule="auto"/>
        <w:ind w:right="12"/>
        <w:jc w:val="center"/>
        <w:rPr>
          <w:rFonts w:ascii="Times New Roman" w:hAnsi="Times New Roman"/>
          <w:sz w:val="21"/>
          <w:szCs w:val="21"/>
        </w:rPr>
      </w:pPr>
      <w:r w:rsidRPr="00260B47">
        <w:rPr>
          <w:rFonts w:ascii="Times New Roman" w:eastAsia="Times New Roman" w:hAnsi="Times New Roman"/>
          <w:b/>
          <w:bCs/>
          <w:sz w:val="21"/>
          <w:szCs w:val="21"/>
        </w:rPr>
        <w:t>Tableau récapitulatif du Plan de suivi</w:t>
      </w:r>
    </w:p>
    <w:tbl>
      <w:tblPr>
        <w:tblW w:w="10470" w:type="dxa"/>
        <w:tblInd w:w="-423" w:type="dxa"/>
        <w:tblLayout w:type="fixed"/>
        <w:tblCellMar>
          <w:left w:w="0" w:type="dxa"/>
          <w:right w:w="0" w:type="dxa"/>
        </w:tblCellMar>
        <w:tblLook w:val="04A0" w:firstRow="1" w:lastRow="0" w:firstColumn="1" w:lastColumn="0" w:noHBand="0" w:noVBand="1"/>
      </w:tblPr>
      <w:tblGrid>
        <w:gridCol w:w="1830"/>
        <w:gridCol w:w="2186"/>
        <w:gridCol w:w="3916"/>
        <w:gridCol w:w="1127"/>
        <w:gridCol w:w="1411"/>
      </w:tblGrid>
      <w:tr w:rsidR="004647F1" w:rsidRPr="00260B47" w:rsidTr="00AA5066">
        <w:trPr>
          <w:trHeight w:val="491"/>
        </w:trPr>
        <w:tc>
          <w:tcPr>
            <w:tcW w:w="1830" w:type="dxa"/>
            <w:tcBorders>
              <w:top w:val="single" w:sz="8" w:space="0" w:color="auto"/>
              <w:left w:val="single" w:sz="8" w:space="0" w:color="auto"/>
              <w:bottom w:val="single" w:sz="4" w:space="0" w:color="auto"/>
              <w:right w:val="single" w:sz="8" w:space="0" w:color="auto"/>
            </w:tcBorders>
            <w:vAlign w:val="bottom"/>
          </w:tcPr>
          <w:p w:rsidR="004647F1" w:rsidRPr="00260B47" w:rsidRDefault="004647F1" w:rsidP="00A76F4A">
            <w:pPr>
              <w:ind w:left="80" w:right="12"/>
              <w:rPr>
                <w:sz w:val="21"/>
                <w:szCs w:val="21"/>
              </w:rPr>
            </w:pPr>
            <w:r w:rsidRPr="00260B47">
              <w:rPr>
                <w:rFonts w:eastAsia="Times New Roman"/>
                <w:b/>
                <w:bCs/>
                <w:sz w:val="21"/>
                <w:szCs w:val="21"/>
              </w:rPr>
              <w:t>Composante</w:t>
            </w:r>
          </w:p>
        </w:tc>
        <w:tc>
          <w:tcPr>
            <w:tcW w:w="2186" w:type="dxa"/>
            <w:tcBorders>
              <w:top w:val="single" w:sz="8" w:space="0" w:color="auto"/>
              <w:bottom w:val="single" w:sz="4" w:space="0" w:color="auto"/>
              <w:right w:val="single" w:sz="8" w:space="0" w:color="auto"/>
            </w:tcBorders>
            <w:vAlign w:val="bottom"/>
          </w:tcPr>
          <w:p w:rsidR="004647F1" w:rsidRPr="00260B47" w:rsidRDefault="004647F1" w:rsidP="00A76F4A">
            <w:pPr>
              <w:ind w:left="60" w:right="12"/>
              <w:rPr>
                <w:sz w:val="21"/>
                <w:szCs w:val="21"/>
              </w:rPr>
            </w:pPr>
            <w:r w:rsidRPr="00260B47">
              <w:rPr>
                <w:rFonts w:eastAsia="Times New Roman"/>
                <w:b/>
                <w:bCs/>
                <w:sz w:val="21"/>
                <w:szCs w:val="21"/>
              </w:rPr>
              <w:t>Eléments de suivi</w:t>
            </w:r>
          </w:p>
        </w:tc>
        <w:tc>
          <w:tcPr>
            <w:tcW w:w="3916" w:type="dxa"/>
            <w:tcBorders>
              <w:top w:val="single" w:sz="8" w:space="0" w:color="auto"/>
              <w:bottom w:val="single" w:sz="4" w:space="0" w:color="auto"/>
              <w:right w:val="single" w:sz="8" w:space="0" w:color="auto"/>
            </w:tcBorders>
            <w:vAlign w:val="bottom"/>
          </w:tcPr>
          <w:p w:rsidR="004647F1" w:rsidRPr="00260B47" w:rsidRDefault="004647F1" w:rsidP="00A76F4A">
            <w:pPr>
              <w:ind w:left="60" w:right="12"/>
              <w:rPr>
                <w:sz w:val="21"/>
                <w:szCs w:val="21"/>
              </w:rPr>
            </w:pPr>
            <w:r w:rsidRPr="00260B47">
              <w:rPr>
                <w:rFonts w:eastAsia="Times New Roman"/>
                <w:b/>
                <w:bCs/>
                <w:sz w:val="21"/>
                <w:szCs w:val="21"/>
              </w:rPr>
              <w:t>Indicateurs et éléments à collecter</w:t>
            </w:r>
          </w:p>
        </w:tc>
        <w:tc>
          <w:tcPr>
            <w:tcW w:w="1127" w:type="dxa"/>
            <w:tcBorders>
              <w:top w:val="single" w:sz="8" w:space="0" w:color="auto"/>
              <w:bottom w:val="single" w:sz="4" w:space="0" w:color="auto"/>
              <w:right w:val="single" w:sz="8" w:space="0" w:color="auto"/>
            </w:tcBorders>
            <w:vAlign w:val="bottom"/>
          </w:tcPr>
          <w:p w:rsidR="004647F1" w:rsidRPr="00260B47" w:rsidRDefault="004647F1" w:rsidP="00A76F4A">
            <w:pPr>
              <w:ind w:left="60" w:right="12"/>
              <w:rPr>
                <w:sz w:val="21"/>
                <w:szCs w:val="21"/>
              </w:rPr>
            </w:pPr>
            <w:r w:rsidRPr="00260B47">
              <w:rPr>
                <w:rFonts w:eastAsia="Times New Roman"/>
                <w:b/>
                <w:bCs/>
                <w:sz w:val="21"/>
                <w:szCs w:val="21"/>
              </w:rPr>
              <w:t>Périodicité</w:t>
            </w:r>
          </w:p>
        </w:tc>
        <w:tc>
          <w:tcPr>
            <w:tcW w:w="1411" w:type="dxa"/>
            <w:tcBorders>
              <w:top w:val="single" w:sz="8" w:space="0" w:color="auto"/>
              <w:bottom w:val="single" w:sz="4" w:space="0" w:color="auto"/>
              <w:right w:val="single" w:sz="8" w:space="0" w:color="auto"/>
            </w:tcBorders>
            <w:vAlign w:val="bottom"/>
          </w:tcPr>
          <w:p w:rsidR="004647F1" w:rsidRPr="00260B47" w:rsidRDefault="004647F1" w:rsidP="00A76F4A">
            <w:pPr>
              <w:ind w:left="40" w:right="12"/>
              <w:rPr>
                <w:sz w:val="21"/>
                <w:szCs w:val="21"/>
              </w:rPr>
            </w:pPr>
            <w:r w:rsidRPr="00260B47">
              <w:rPr>
                <w:rFonts w:eastAsia="Times New Roman"/>
                <w:b/>
                <w:bCs/>
                <w:sz w:val="21"/>
                <w:szCs w:val="21"/>
              </w:rPr>
              <w:t>Responsables du suivi</w:t>
            </w:r>
          </w:p>
        </w:tc>
      </w:tr>
      <w:tr w:rsidR="004647F1" w:rsidRPr="00260B47" w:rsidTr="00AA5066">
        <w:trPr>
          <w:trHeight w:val="264"/>
        </w:trPr>
        <w:tc>
          <w:tcPr>
            <w:tcW w:w="1830" w:type="dxa"/>
            <w:vMerge w:val="restart"/>
            <w:tcBorders>
              <w:top w:val="single" w:sz="4" w:space="0" w:color="auto"/>
              <w:left w:val="single" w:sz="8" w:space="0" w:color="auto"/>
              <w:right w:val="single" w:sz="8" w:space="0" w:color="auto"/>
            </w:tcBorders>
            <w:vAlign w:val="center"/>
          </w:tcPr>
          <w:p w:rsidR="004647F1" w:rsidRPr="00260B47" w:rsidRDefault="004647F1" w:rsidP="00A76F4A">
            <w:pPr>
              <w:ind w:left="80" w:right="12"/>
              <w:jc w:val="center"/>
              <w:rPr>
                <w:sz w:val="21"/>
                <w:szCs w:val="21"/>
              </w:rPr>
            </w:pPr>
            <w:r w:rsidRPr="00260B47">
              <w:rPr>
                <w:rFonts w:eastAsia="Times New Roman"/>
                <w:sz w:val="21"/>
                <w:szCs w:val="21"/>
              </w:rPr>
              <w:t>Eaux</w:t>
            </w:r>
          </w:p>
        </w:tc>
        <w:tc>
          <w:tcPr>
            <w:tcW w:w="2186" w:type="dxa"/>
            <w:vMerge w:val="restart"/>
            <w:tcBorders>
              <w:top w:val="single" w:sz="4" w:space="0" w:color="auto"/>
              <w:right w:val="single" w:sz="8" w:space="0" w:color="auto"/>
            </w:tcBorders>
            <w:vAlign w:val="center"/>
          </w:tcPr>
          <w:p w:rsidR="004647F1" w:rsidRPr="00260B47" w:rsidRDefault="004647F1" w:rsidP="00A76F4A">
            <w:pPr>
              <w:ind w:left="60" w:right="12"/>
              <w:jc w:val="center"/>
              <w:rPr>
                <w:sz w:val="21"/>
                <w:szCs w:val="21"/>
              </w:rPr>
            </w:pPr>
            <w:r w:rsidRPr="00260B47">
              <w:rPr>
                <w:rFonts w:eastAsia="Times New Roman"/>
                <w:sz w:val="21"/>
                <w:szCs w:val="21"/>
              </w:rPr>
              <w:t>Etat de</w:t>
            </w:r>
          </w:p>
          <w:p w:rsidR="004647F1" w:rsidRPr="00260B47" w:rsidRDefault="004647F1" w:rsidP="00A76F4A">
            <w:pPr>
              <w:ind w:right="12"/>
              <w:jc w:val="center"/>
              <w:rPr>
                <w:sz w:val="21"/>
                <w:szCs w:val="21"/>
              </w:rPr>
            </w:pPr>
            <w:r w:rsidRPr="00260B47">
              <w:rPr>
                <w:rFonts w:eastAsia="Times New Roman"/>
                <w:sz w:val="21"/>
                <w:szCs w:val="21"/>
              </w:rPr>
              <w:t>pollution/contamination</w:t>
            </w:r>
          </w:p>
          <w:p w:rsidR="004647F1" w:rsidRPr="00260B47" w:rsidRDefault="004647F1" w:rsidP="00A76F4A">
            <w:pPr>
              <w:ind w:left="60" w:right="12"/>
              <w:jc w:val="center"/>
              <w:rPr>
                <w:sz w:val="21"/>
                <w:szCs w:val="21"/>
              </w:rPr>
            </w:pPr>
            <w:r w:rsidRPr="00260B47">
              <w:rPr>
                <w:rFonts w:eastAsia="Times New Roman"/>
                <w:sz w:val="21"/>
                <w:szCs w:val="21"/>
              </w:rPr>
              <w:t>des eaux de surfaces et</w:t>
            </w:r>
          </w:p>
          <w:p w:rsidR="004647F1" w:rsidRPr="00260B47" w:rsidRDefault="004647F1" w:rsidP="00A76F4A">
            <w:pPr>
              <w:ind w:left="60" w:right="12"/>
              <w:jc w:val="center"/>
              <w:rPr>
                <w:sz w:val="21"/>
                <w:szCs w:val="21"/>
              </w:rPr>
            </w:pPr>
            <w:r w:rsidRPr="00260B47">
              <w:rPr>
                <w:rFonts w:eastAsia="Times New Roman"/>
                <w:sz w:val="21"/>
                <w:szCs w:val="21"/>
              </w:rPr>
              <w:t>des ressources</w:t>
            </w:r>
          </w:p>
          <w:p w:rsidR="004647F1" w:rsidRPr="00260B47" w:rsidRDefault="004647F1" w:rsidP="00A76F4A">
            <w:pPr>
              <w:ind w:left="60" w:right="12"/>
              <w:jc w:val="center"/>
              <w:rPr>
                <w:sz w:val="21"/>
                <w:szCs w:val="21"/>
              </w:rPr>
            </w:pPr>
            <w:r w:rsidRPr="00260B47">
              <w:rPr>
                <w:rFonts w:eastAsia="Times New Roman"/>
                <w:sz w:val="21"/>
                <w:szCs w:val="21"/>
              </w:rPr>
              <w:t>souterraines (puits)</w:t>
            </w:r>
          </w:p>
        </w:tc>
        <w:tc>
          <w:tcPr>
            <w:tcW w:w="3916" w:type="dxa"/>
            <w:vMerge w:val="restart"/>
            <w:tcBorders>
              <w:top w:val="single" w:sz="4" w:space="0" w:color="auto"/>
              <w:right w:val="single" w:sz="8" w:space="0" w:color="auto"/>
            </w:tcBorders>
            <w:vAlign w:val="center"/>
          </w:tcPr>
          <w:p w:rsidR="004647F1" w:rsidRPr="00260B47" w:rsidRDefault="004647F1" w:rsidP="00A76F4A">
            <w:pPr>
              <w:ind w:left="60" w:right="12"/>
              <w:jc w:val="center"/>
              <w:rPr>
                <w:sz w:val="21"/>
                <w:szCs w:val="21"/>
              </w:rPr>
            </w:pPr>
            <w:r w:rsidRPr="00260B47">
              <w:rPr>
                <w:rFonts w:ascii="Symbol" w:eastAsia="Symbol" w:hAnsi="Symbol" w:cs="Symbol"/>
                <w:sz w:val="21"/>
                <w:szCs w:val="21"/>
              </w:rPr>
              <w:t></w:t>
            </w:r>
            <w:r w:rsidR="00370CA3">
              <w:rPr>
                <w:rFonts w:eastAsia="Times New Roman"/>
                <w:sz w:val="21"/>
                <w:szCs w:val="21"/>
              </w:rPr>
              <w:t xml:space="preserve">Nombre d’analyse </w:t>
            </w:r>
            <w:r w:rsidRPr="00260B47">
              <w:rPr>
                <w:rFonts w:eastAsia="Times New Roman"/>
                <w:sz w:val="21"/>
                <w:szCs w:val="21"/>
              </w:rPr>
              <w:t xml:space="preserve"> physico-chimique et</w:t>
            </w:r>
          </w:p>
          <w:p w:rsidR="004647F1" w:rsidRPr="00260B47" w:rsidRDefault="004647F1" w:rsidP="00A76F4A">
            <w:pPr>
              <w:ind w:left="420" w:right="12"/>
              <w:jc w:val="center"/>
              <w:rPr>
                <w:sz w:val="21"/>
                <w:szCs w:val="21"/>
              </w:rPr>
            </w:pPr>
            <w:r w:rsidRPr="00260B47">
              <w:rPr>
                <w:rFonts w:eastAsia="Times New Roman"/>
                <w:sz w:val="21"/>
                <w:szCs w:val="21"/>
              </w:rPr>
              <w:t>Bactériologique des plans d’eau (,</w:t>
            </w:r>
          </w:p>
          <w:p w:rsidR="004647F1" w:rsidRPr="00260B47" w:rsidRDefault="004647F1" w:rsidP="00A76F4A">
            <w:pPr>
              <w:ind w:left="420" w:right="12"/>
              <w:jc w:val="center"/>
              <w:rPr>
                <w:sz w:val="21"/>
                <w:szCs w:val="21"/>
              </w:rPr>
            </w:pPr>
            <w:r w:rsidRPr="00260B47">
              <w:rPr>
                <w:rFonts w:eastAsia="Times New Roman"/>
                <w:sz w:val="21"/>
                <w:szCs w:val="21"/>
              </w:rPr>
              <w:t>résidus de pesticides, etc.)</w:t>
            </w:r>
            <w:r w:rsidR="00370CA3">
              <w:rPr>
                <w:rFonts w:eastAsia="Times New Roman"/>
                <w:sz w:val="21"/>
                <w:szCs w:val="21"/>
              </w:rPr>
              <w:t xml:space="preserve"> effectué ;</w:t>
            </w:r>
          </w:p>
        </w:tc>
        <w:tc>
          <w:tcPr>
            <w:tcW w:w="1127" w:type="dxa"/>
            <w:vMerge w:val="restart"/>
            <w:tcBorders>
              <w:top w:val="single" w:sz="4" w:space="0" w:color="auto"/>
              <w:right w:val="single" w:sz="8" w:space="0" w:color="auto"/>
            </w:tcBorders>
            <w:vAlign w:val="center"/>
          </w:tcPr>
          <w:p w:rsidR="004647F1" w:rsidRPr="00260B47" w:rsidRDefault="004647F1" w:rsidP="00A76F4A">
            <w:pPr>
              <w:ind w:left="60" w:right="12"/>
              <w:jc w:val="center"/>
              <w:rPr>
                <w:sz w:val="21"/>
                <w:szCs w:val="21"/>
              </w:rPr>
            </w:pPr>
            <w:r w:rsidRPr="00260B47">
              <w:rPr>
                <w:rFonts w:eastAsia="Times New Roman"/>
                <w:sz w:val="21"/>
                <w:szCs w:val="21"/>
              </w:rPr>
              <w:t>Une fois par</w:t>
            </w:r>
          </w:p>
          <w:p w:rsidR="004647F1" w:rsidRPr="00260B47" w:rsidRDefault="004647F1" w:rsidP="00A76F4A">
            <w:pPr>
              <w:ind w:left="60" w:right="12"/>
              <w:jc w:val="center"/>
              <w:rPr>
                <w:sz w:val="21"/>
                <w:szCs w:val="21"/>
              </w:rPr>
            </w:pPr>
            <w:r w:rsidRPr="00260B47">
              <w:rPr>
                <w:rFonts w:eastAsia="Times New Roman"/>
                <w:sz w:val="21"/>
                <w:szCs w:val="21"/>
              </w:rPr>
              <w:t>mois</w:t>
            </w:r>
          </w:p>
        </w:tc>
        <w:tc>
          <w:tcPr>
            <w:tcW w:w="1411" w:type="dxa"/>
            <w:vMerge w:val="restart"/>
            <w:tcBorders>
              <w:top w:val="single" w:sz="4" w:space="0" w:color="auto"/>
              <w:right w:val="single" w:sz="8" w:space="0" w:color="auto"/>
            </w:tcBorders>
            <w:vAlign w:val="center"/>
          </w:tcPr>
          <w:p w:rsidR="004647F1" w:rsidRPr="00260B47" w:rsidRDefault="004647F1" w:rsidP="00A76F4A">
            <w:pPr>
              <w:ind w:left="40" w:right="12"/>
              <w:jc w:val="center"/>
              <w:rPr>
                <w:sz w:val="21"/>
                <w:szCs w:val="21"/>
              </w:rPr>
            </w:pPr>
            <w:r w:rsidRPr="00260B47">
              <w:rPr>
                <w:rFonts w:ascii="Symbol" w:eastAsia="Symbol" w:hAnsi="Symbol" w:cs="Symbol"/>
                <w:sz w:val="21"/>
                <w:szCs w:val="21"/>
              </w:rPr>
              <w:t></w:t>
            </w:r>
            <w:r w:rsidR="00CB5D1D">
              <w:rPr>
                <w:rFonts w:ascii="Symbol" w:eastAsia="Symbol" w:hAnsi="Symbol" w:cs="Symbol"/>
                <w:sz w:val="21"/>
                <w:szCs w:val="21"/>
              </w:rPr>
              <w:t></w:t>
            </w:r>
            <w:r w:rsidRPr="00260B47">
              <w:rPr>
                <w:rFonts w:eastAsia="Times New Roman"/>
                <w:sz w:val="21"/>
                <w:szCs w:val="21"/>
              </w:rPr>
              <w:t>PUSA</w:t>
            </w:r>
          </w:p>
          <w:p w:rsidR="004647F1" w:rsidRPr="00260B47" w:rsidRDefault="004647F1"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DPV</w:t>
            </w:r>
          </w:p>
          <w:p w:rsidR="004647F1" w:rsidRPr="00260B47" w:rsidRDefault="004647F1"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DGE</w:t>
            </w: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A76F4A">
            <w:pPr>
              <w:ind w:left="80" w:right="12"/>
              <w:rPr>
                <w:sz w:val="21"/>
                <w:szCs w:val="21"/>
              </w:rPr>
            </w:pPr>
          </w:p>
        </w:tc>
        <w:tc>
          <w:tcPr>
            <w:tcW w:w="2186" w:type="dxa"/>
            <w:vMerge/>
            <w:tcBorders>
              <w:right w:val="single" w:sz="8" w:space="0" w:color="auto"/>
            </w:tcBorders>
            <w:vAlign w:val="bottom"/>
          </w:tcPr>
          <w:p w:rsidR="004647F1" w:rsidRPr="00260B47" w:rsidRDefault="004647F1" w:rsidP="00A76F4A">
            <w:pPr>
              <w:ind w:left="60" w:right="12"/>
              <w:rPr>
                <w:sz w:val="21"/>
                <w:szCs w:val="21"/>
              </w:rPr>
            </w:pPr>
          </w:p>
        </w:tc>
        <w:tc>
          <w:tcPr>
            <w:tcW w:w="3916" w:type="dxa"/>
            <w:vMerge/>
            <w:tcBorders>
              <w:right w:val="single" w:sz="8" w:space="0" w:color="auto"/>
            </w:tcBorders>
            <w:vAlign w:val="bottom"/>
          </w:tcPr>
          <w:p w:rsidR="004647F1" w:rsidRPr="00260B47" w:rsidRDefault="004647F1" w:rsidP="00A76F4A">
            <w:pPr>
              <w:ind w:left="420" w:right="12"/>
              <w:rPr>
                <w:sz w:val="21"/>
                <w:szCs w:val="21"/>
              </w:rPr>
            </w:pPr>
          </w:p>
        </w:tc>
        <w:tc>
          <w:tcPr>
            <w:tcW w:w="1127" w:type="dxa"/>
            <w:vMerge/>
            <w:tcBorders>
              <w:right w:val="single" w:sz="8" w:space="0" w:color="auto"/>
            </w:tcBorders>
            <w:vAlign w:val="bottom"/>
          </w:tcPr>
          <w:p w:rsidR="004647F1" w:rsidRPr="00260B47" w:rsidRDefault="004647F1" w:rsidP="00A76F4A">
            <w:pPr>
              <w:ind w:left="60" w:right="12"/>
              <w:rPr>
                <w:sz w:val="21"/>
                <w:szCs w:val="21"/>
              </w:rPr>
            </w:pPr>
          </w:p>
        </w:tc>
        <w:tc>
          <w:tcPr>
            <w:tcW w:w="1411" w:type="dxa"/>
            <w:vMerge/>
            <w:tcBorders>
              <w:right w:val="single" w:sz="8" w:space="0" w:color="auto"/>
            </w:tcBorders>
            <w:vAlign w:val="bottom"/>
          </w:tcPr>
          <w:p w:rsidR="004647F1" w:rsidRPr="00260B47" w:rsidRDefault="004647F1" w:rsidP="00A76F4A">
            <w:pPr>
              <w:ind w:left="40" w:right="12"/>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A76F4A">
            <w:pPr>
              <w:ind w:left="80" w:right="12"/>
              <w:rPr>
                <w:sz w:val="21"/>
                <w:szCs w:val="21"/>
              </w:rPr>
            </w:pPr>
          </w:p>
        </w:tc>
        <w:tc>
          <w:tcPr>
            <w:tcW w:w="2186" w:type="dxa"/>
            <w:vMerge/>
            <w:tcBorders>
              <w:right w:val="single" w:sz="8" w:space="0" w:color="auto"/>
            </w:tcBorders>
            <w:vAlign w:val="bottom"/>
          </w:tcPr>
          <w:p w:rsidR="004647F1" w:rsidRPr="00260B47" w:rsidRDefault="004647F1" w:rsidP="00A76F4A">
            <w:pPr>
              <w:ind w:left="60" w:right="12"/>
              <w:rPr>
                <w:sz w:val="21"/>
                <w:szCs w:val="21"/>
              </w:rPr>
            </w:pPr>
          </w:p>
        </w:tc>
        <w:tc>
          <w:tcPr>
            <w:tcW w:w="3916" w:type="dxa"/>
            <w:vMerge/>
            <w:tcBorders>
              <w:right w:val="single" w:sz="8" w:space="0" w:color="auto"/>
            </w:tcBorders>
            <w:vAlign w:val="bottom"/>
          </w:tcPr>
          <w:p w:rsidR="004647F1" w:rsidRPr="00260B47" w:rsidRDefault="004647F1" w:rsidP="00A76F4A">
            <w:pPr>
              <w:ind w:left="420" w:right="12"/>
              <w:rPr>
                <w:sz w:val="21"/>
                <w:szCs w:val="21"/>
              </w:rPr>
            </w:pPr>
          </w:p>
        </w:tc>
        <w:tc>
          <w:tcPr>
            <w:tcW w:w="1127" w:type="dxa"/>
            <w:vMerge/>
            <w:tcBorders>
              <w:right w:val="single" w:sz="8" w:space="0" w:color="auto"/>
            </w:tcBorders>
            <w:vAlign w:val="bottom"/>
          </w:tcPr>
          <w:p w:rsidR="004647F1" w:rsidRPr="00260B47" w:rsidRDefault="004647F1" w:rsidP="00A76F4A">
            <w:pPr>
              <w:ind w:left="60" w:right="12"/>
              <w:rPr>
                <w:sz w:val="21"/>
                <w:szCs w:val="21"/>
              </w:rPr>
            </w:pPr>
          </w:p>
        </w:tc>
        <w:tc>
          <w:tcPr>
            <w:tcW w:w="1411" w:type="dxa"/>
            <w:vMerge/>
            <w:tcBorders>
              <w:right w:val="single" w:sz="8" w:space="0" w:color="auto"/>
            </w:tcBorders>
            <w:vAlign w:val="bottom"/>
          </w:tcPr>
          <w:p w:rsidR="004647F1" w:rsidRPr="00260B47" w:rsidRDefault="004647F1" w:rsidP="00A76F4A">
            <w:pPr>
              <w:ind w:left="40" w:right="12"/>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A76F4A">
            <w:pPr>
              <w:ind w:right="12"/>
              <w:rPr>
                <w:sz w:val="21"/>
                <w:szCs w:val="21"/>
              </w:rPr>
            </w:pPr>
          </w:p>
        </w:tc>
        <w:tc>
          <w:tcPr>
            <w:tcW w:w="2186" w:type="dxa"/>
            <w:vMerge/>
            <w:tcBorders>
              <w:right w:val="single" w:sz="8" w:space="0" w:color="auto"/>
            </w:tcBorders>
            <w:vAlign w:val="bottom"/>
          </w:tcPr>
          <w:p w:rsidR="004647F1" w:rsidRPr="00260B47" w:rsidRDefault="004647F1" w:rsidP="00A76F4A">
            <w:pPr>
              <w:ind w:left="60" w:right="12"/>
              <w:rPr>
                <w:sz w:val="21"/>
                <w:szCs w:val="21"/>
              </w:rPr>
            </w:pPr>
          </w:p>
        </w:tc>
        <w:tc>
          <w:tcPr>
            <w:tcW w:w="3916" w:type="dxa"/>
            <w:vMerge/>
            <w:tcBorders>
              <w:right w:val="single" w:sz="8" w:space="0" w:color="auto"/>
            </w:tcBorders>
            <w:vAlign w:val="bottom"/>
          </w:tcPr>
          <w:p w:rsidR="004647F1" w:rsidRPr="00260B47" w:rsidRDefault="004647F1" w:rsidP="00A76F4A">
            <w:pPr>
              <w:ind w:left="420" w:right="12"/>
              <w:rPr>
                <w:sz w:val="21"/>
                <w:szCs w:val="21"/>
              </w:rPr>
            </w:pPr>
          </w:p>
        </w:tc>
        <w:tc>
          <w:tcPr>
            <w:tcW w:w="1127" w:type="dxa"/>
            <w:vMerge/>
            <w:tcBorders>
              <w:right w:val="single" w:sz="8" w:space="0" w:color="auto"/>
            </w:tcBorders>
            <w:vAlign w:val="bottom"/>
          </w:tcPr>
          <w:p w:rsidR="004647F1" w:rsidRPr="00260B47" w:rsidRDefault="004647F1" w:rsidP="00A76F4A">
            <w:pPr>
              <w:ind w:left="60" w:right="12"/>
              <w:rPr>
                <w:sz w:val="21"/>
                <w:szCs w:val="21"/>
              </w:rPr>
            </w:pPr>
          </w:p>
        </w:tc>
        <w:tc>
          <w:tcPr>
            <w:tcW w:w="1411" w:type="dxa"/>
            <w:vMerge/>
            <w:tcBorders>
              <w:right w:val="single" w:sz="8" w:space="0" w:color="auto"/>
            </w:tcBorders>
            <w:vAlign w:val="bottom"/>
          </w:tcPr>
          <w:p w:rsidR="004647F1" w:rsidRPr="00260B47" w:rsidRDefault="004647F1" w:rsidP="00A76F4A">
            <w:pPr>
              <w:ind w:left="40" w:right="12"/>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A76F4A">
            <w:pPr>
              <w:ind w:right="12"/>
              <w:rPr>
                <w:sz w:val="21"/>
                <w:szCs w:val="21"/>
              </w:rPr>
            </w:pPr>
          </w:p>
        </w:tc>
        <w:tc>
          <w:tcPr>
            <w:tcW w:w="2186" w:type="dxa"/>
            <w:vMerge/>
            <w:tcBorders>
              <w:right w:val="single" w:sz="8" w:space="0" w:color="auto"/>
            </w:tcBorders>
            <w:vAlign w:val="bottom"/>
          </w:tcPr>
          <w:p w:rsidR="004647F1" w:rsidRPr="00260B47" w:rsidRDefault="004647F1" w:rsidP="00A76F4A">
            <w:pPr>
              <w:ind w:left="60" w:right="12"/>
              <w:rPr>
                <w:sz w:val="21"/>
                <w:szCs w:val="21"/>
              </w:rPr>
            </w:pPr>
          </w:p>
        </w:tc>
        <w:tc>
          <w:tcPr>
            <w:tcW w:w="3916" w:type="dxa"/>
            <w:vMerge/>
            <w:tcBorders>
              <w:right w:val="single" w:sz="8" w:space="0" w:color="auto"/>
            </w:tcBorders>
            <w:vAlign w:val="bottom"/>
          </w:tcPr>
          <w:p w:rsidR="004647F1" w:rsidRPr="00260B47" w:rsidRDefault="004647F1" w:rsidP="00A76F4A">
            <w:pPr>
              <w:ind w:left="420" w:right="12"/>
              <w:rPr>
                <w:sz w:val="21"/>
                <w:szCs w:val="21"/>
              </w:rPr>
            </w:pPr>
          </w:p>
        </w:tc>
        <w:tc>
          <w:tcPr>
            <w:tcW w:w="1127" w:type="dxa"/>
            <w:vMerge/>
            <w:tcBorders>
              <w:right w:val="single" w:sz="8" w:space="0" w:color="auto"/>
            </w:tcBorders>
            <w:vAlign w:val="bottom"/>
          </w:tcPr>
          <w:p w:rsidR="004647F1" w:rsidRPr="00260B47" w:rsidRDefault="004647F1" w:rsidP="00A76F4A">
            <w:pPr>
              <w:ind w:left="60" w:right="12"/>
              <w:rPr>
                <w:sz w:val="21"/>
                <w:szCs w:val="21"/>
              </w:rPr>
            </w:pPr>
          </w:p>
        </w:tc>
        <w:tc>
          <w:tcPr>
            <w:tcW w:w="1411" w:type="dxa"/>
            <w:vMerge/>
            <w:tcBorders>
              <w:right w:val="single" w:sz="8" w:space="0" w:color="auto"/>
            </w:tcBorders>
            <w:vAlign w:val="bottom"/>
          </w:tcPr>
          <w:p w:rsidR="004647F1" w:rsidRPr="00260B47" w:rsidRDefault="004647F1" w:rsidP="00A76F4A">
            <w:pPr>
              <w:ind w:left="40" w:right="12"/>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A76F4A">
            <w:pPr>
              <w:ind w:right="12"/>
              <w:rPr>
                <w:sz w:val="21"/>
                <w:szCs w:val="21"/>
              </w:rPr>
            </w:pPr>
          </w:p>
        </w:tc>
        <w:tc>
          <w:tcPr>
            <w:tcW w:w="2186" w:type="dxa"/>
            <w:vMerge/>
            <w:tcBorders>
              <w:right w:val="single" w:sz="8" w:space="0" w:color="auto"/>
            </w:tcBorders>
            <w:vAlign w:val="bottom"/>
          </w:tcPr>
          <w:p w:rsidR="004647F1" w:rsidRPr="00260B47" w:rsidRDefault="004647F1" w:rsidP="00A76F4A">
            <w:pPr>
              <w:ind w:left="60" w:right="12"/>
              <w:rPr>
                <w:sz w:val="21"/>
                <w:szCs w:val="21"/>
              </w:rPr>
            </w:pPr>
          </w:p>
        </w:tc>
        <w:tc>
          <w:tcPr>
            <w:tcW w:w="3916" w:type="dxa"/>
            <w:vMerge/>
            <w:tcBorders>
              <w:right w:val="single" w:sz="8" w:space="0" w:color="auto"/>
            </w:tcBorders>
            <w:vAlign w:val="bottom"/>
          </w:tcPr>
          <w:p w:rsidR="004647F1" w:rsidRPr="00260B47" w:rsidRDefault="004647F1" w:rsidP="00A76F4A">
            <w:pPr>
              <w:ind w:left="420" w:right="12"/>
              <w:rPr>
                <w:sz w:val="21"/>
                <w:szCs w:val="21"/>
              </w:rPr>
            </w:pPr>
          </w:p>
        </w:tc>
        <w:tc>
          <w:tcPr>
            <w:tcW w:w="1127" w:type="dxa"/>
            <w:vMerge/>
            <w:tcBorders>
              <w:right w:val="single" w:sz="8" w:space="0" w:color="auto"/>
            </w:tcBorders>
            <w:vAlign w:val="bottom"/>
          </w:tcPr>
          <w:p w:rsidR="004647F1" w:rsidRPr="00260B47" w:rsidRDefault="004647F1" w:rsidP="00A76F4A">
            <w:pPr>
              <w:ind w:right="12"/>
              <w:rPr>
                <w:sz w:val="21"/>
                <w:szCs w:val="21"/>
              </w:rPr>
            </w:pPr>
          </w:p>
        </w:tc>
        <w:tc>
          <w:tcPr>
            <w:tcW w:w="1411" w:type="dxa"/>
            <w:vMerge/>
            <w:tcBorders>
              <w:right w:val="single" w:sz="8" w:space="0" w:color="auto"/>
            </w:tcBorders>
            <w:vAlign w:val="bottom"/>
          </w:tcPr>
          <w:p w:rsidR="004647F1" w:rsidRPr="00260B47" w:rsidRDefault="004647F1" w:rsidP="00A76F4A">
            <w:pPr>
              <w:ind w:right="12"/>
              <w:rPr>
                <w:sz w:val="21"/>
                <w:szCs w:val="21"/>
              </w:rPr>
            </w:pPr>
          </w:p>
        </w:tc>
      </w:tr>
      <w:tr w:rsidR="004647F1" w:rsidRPr="00260B47" w:rsidTr="00AA5066">
        <w:trPr>
          <w:trHeight w:val="241"/>
        </w:trPr>
        <w:tc>
          <w:tcPr>
            <w:tcW w:w="1830" w:type="dxa"/>
            <w:vMerge/>
            <w:tcBorders>
              <w:left w:val="single" w:sz="8" w:space="0" w:color="auto"/>
              <w:right w:val="single" w:sz="8" w:space="0" w:color="auto"/>
            </w:tcBorders>
            <w:vAlign w:val="bottom"/>
          </w:tcPr>
          <w:p w:rsidR="004647F1" w:rsidRPr="00260B47" w:rsidRDefault="004647F1" w:rsidP="00A76F4A">
            <w:pPr>
              <w:ind w:right="12"/>
              <w:rPr>
                <w:sz w:val="21"/>
                <w:szCs w:val="21"/>
              </w:rPr>
            </w:pPr>
          </w:p>
        </w:tc>
        <w:tc>
          <w:tcPr>
            <w:tcW w:w="2186" w:type="dxa"/>
            <w:vMerge/>
            <w:tcBorders>
              <w:right w:val="single" w:sz="8" w:space="0" w:color="auto"/>
            </w:tcBorders>
            <w:vAlign w:val="bottom"/>
          </w:tcPr>
          <w:p w:rsidR="004647F1" w:rsidRPr="00260B47" w:rsidRDefault="004647F1" w:rsidP="00A76F4A">
            <w:pPr>
              <w:ind w:left="60" w:right="12"/>
              <w:rPr>
                <w:sz w:val="21"/>
                <w:szCs w:val="21"/>
              </w:rPr>
            </w:pPr>
          </w:p>
        </w:tc>
        <w:tc>
          <w:tcPr>
            <w:tcW w:w="3916" w:type="dxa"/>
            <w:vMerge/>
            <w:tcBorders>
              <w:right w:val="single" w:sz="8" w:space="0" w:color="auto"/>
            </w:tcBorders>
            <w:vAlign w:val="bottom"/>
          </w:tcPr>
          <w:p w:rsidR="004647F1" w:rsidRPr="00260B47" w:rsidRDefault="004647F1" w:rsidP="00A76F4A">
            <w:pPr>
              <w:ind w:right="12"/>
              <w:rPr>
                <w:sz w:val="21"/>
                <w:szCs w:val="21"/>
              </w:rPr>
            </w:pPr>
          </w:p>
        </w:tc>
        <w:tc>
          <w:tcPr>
            <w:tcW w:w="1127" w:type="dxa"/>
            <w:vMerge/>
            <w:tcBorders>
              <w:right w:val="single" w:sz="8" w:space="0" w:color="auto"/>
            </w:tcBorders>
            <w:vAlign w:val="bottom"/>
          </w:tcPr>
          <w:p w:rsidR="004647F1" w:rsidRPr="00260B47" w:rsidRDefault="004647F1" w:rsidP="00A76F4A">
            <w:pPr>
              <w:ind w:right="12"/>
              <w:rPr>
                <w:sz w:val="21"/>
                <w:szCs w:val="21"/>
              </w:rPr>
            </w:pPr>
          </w:p>
        </w:tc>
        <w:tc>
          <w:tcPr>
            <w:tcW w:w="1411" w:type="dxa"/>
            <w:vMerge/>
            <w:tcBorders>
              <w:right w:val="single" w:sz="8" w:space="0" w:color="auto"/>
            </w:tcBorders>
            <w:vAlign w:val="bottom"/>
          </w:tcPr>
          <w:p w:rsidR="004647F1" w:rsidRPr="00260B47" w:rsidRDefault="004647F1" w:rsidP="00A76F4A">
            <w:pPr>
              <w:ind w:right="12"/>
              <w:rPr>
                <w:sz w:val="21"/>
                <w:szCs w:val="21"/>
              </w:rPr>
            </w:pPr>
          </w:p>
        </w:tc>
      </w:tr>
      <w:tr w:rsidR="004647F1" w:rsidRPr="00260B47" w:rsidTr="00AA5066">
        <w:trPr>
          <w:trHeight w:val="241"/>
        </w:trPr>
        <w:tc>
          <w:tcPr>
            <w:tcW w:w="1830" w:type="dxa"/>
            <w:vMerge/>
            <w:tcBorders>
              <w:left w:val="single" w:sz="8" w:space="0" w:color="auto"/>
              <w:bottom w:val="single" w:sz="8" w:space="0" w:color="auto"/>
              <w:right w:val="single" w:sz="8" w:space="0" w:color="auto"/>
            </w:tcBorders>
            <w:vAlign w:val="bottom"/>
          </w:tcPr>
          <w:p w:rsidR="004647F1" w:rsidRPr="00260B47" w:rsidRDefault="004647F1" w:rsidP="00A76F4A">
            <w:pPr>
              <w:ind w:right="12"/>
              <w:rPr>
                <w:sz w:val="21"/>
                <w:szCs w:val="21"/>
              </w:rPr>
            </w:pPr>
          </w:p>
        </w:tc>
        <w:tc>
          <w:tcPr>
            <w:tcW w:w="2186" w:type="dxa"/>
            <w:vMerge/>
            <w:tcBorders>
              <w:bottom w:val="single" w:sz="8" w:space="0" w:color="auto"/>
              <w:right w:val="single" w:sz="8" w:space="0" w:color="auto"/>
            </w:tcBorders>
            <w:vAlign w:val="bottom"/>
          </w:tcPr>
          <w:p w:rsidR="004647F1" w:rsidRPr="00260B47" w:rsidRDefault="004647F1" w:rsidP="00A76F4A">
            <w:pPr>
              <w:ind w:left="60" w:right="12"/>
              <w:rPr>
                <w:sz w:val="21"/>
                <w:szCs w:val="21"/>
              </w:rPr>
            </w:pPr>
          </w:p>
        </w:tc>
        <w:tc>
          <w:tcPr>
            <w:tcW w:w="3916" w:type="dxa"/>
            <w:vMerge/>
            <w:tcBorders>
              <w:bottom w:val="single" w:sz="8" w:space="0" w:color="auto"/>
              <w:right w:val="single" w:sz="8" w:space="0" w:color="auto"/>
            </w:tcBorders>
            <w:vAlign w:val="bottom"/>
          </w:tcPr>
          <w:p w:rsidR="004647F1" w:rsidRPr="00260B47" w:rsidRDefault="004647F1" w:rsidP="00A76F4A">
            <w:pPr>
              <w:ind w:right="12"/>
              <w:rPr>
                <w:sz w:val="21"/>
                <w:szCs w:val="21"/>
              </w:rPr>
            </w:pPr>
          </w:p>
        </w:tc>
        <w:tc>
          <w:tcPr>
            <w:tcW w:w="1127" w:type="dxa"/>
            <w:vMerge/>
            <w:tcBorders>
              <w:bottom w:val="single" w:sz="8" w:space="0" w:color="auto"/>
              <w:right w:val="single" w:sz="8" w:space="0" w:color="auto"/>
            </w:tcBorders>
            <w:vAlign w:val="bottom"/>
          </w:tcPr>
          <w:p w:rsidR="004647F1" w:rsidRPr="00260B47" w:rsidRDefault="004647F1" w:rsidP="00A76F4A">
            <w:pPr>
              <w:ind w:right="12"/>
              <w:rPr>
                <w:sz w:val="21"/>
                <w:szCs w:val="21"/>
              </w:rPr>
            </w:pPr>
          </w:p>
        </w:tc>
        <w:tc>
          <w:tcPr>
            <w:tcW w:w="1411" w:type="dxa"/>
            <w:vMerge/>
            <w:tcBorders>
              <w:bottom w:val="single" w:sz="8" w:space="0" w:color="auto"/>
              <w:right w:val="single" w:sz="8" w:space="0" w:color="auto"/>
            </w:tcBorders>
            <w:vAlign w:val="bottom"/>
          </w:tcPr>
          <w:p w:rsidR="004647F1" w:rsidRPr="00260B47" w:rsidRDefault="004647F1" w:rsidP="00A76F4A">
            <w:pPr>
              <w:ind w:right="12"/>
              <w:rPr>
                <w:sz w:val="21"/>
                <w:szCs w:val="21"/>
              </w:rPr>
            </w:pPr>
          </w:p>
        </w:tc>
      </w:tr>
      <w:tr w:rsidR="00865B2A" w:rsidRPr="00260B47" w:rsidTr="00AA5066">
        <w:trPr>
          <w:trHeight w:val="702"/>
        </w:trPr>
        <w:tc>
          <w:tcPr>
            <w:tcW w:w="1830" w:type="dxa"/>
            <w:vMerge w:val="restart"/>
            <w:tcBorders>
              <w:left w:val="single" w:sz="8" w:space="0" w:color="auto"/>
              <w:bottom w:val="nil"/>
              <w:right w:val="single" w:sz="8" w:space="0" w:color="auto"/>
            </w:tcBorders>
            <w:vAlign w:val="center"/>
          </w:tcPr>
          <w:p w:rsidR="00865B2A" w:rsidRPr="00260B47" w:rsidRDefault="00865B2A" w:rsidP="00A76F4A">
            <w:pPr>
              <w:ind w:left="80" w:right="12"/>
              <w:jc w:val="center"/>
              <w:rPr>
                <w:sz w:val="21"/>
                <w:szCs w:val="21"/>
              </w:rPr>
            </w:pPr>
            <w:r w:rsidRPr="00260B47">
              <w:rPr>
                <w:rFonts w:eastAsia="Times New Roman"/>
                <w:sz w:val="21"/>
                <w:szCs w:val="21"/>
              </w:rPr>
              <w:t>Sols</w:t>
            </w:r>
          </w:p>
        </w:tc>
        <w:tc>
          <w:tcPr>
            <w:tcW w:w="2186" w:type="dxa"/>
            <w:vMerge w:val="restart"/>
            <w:tcBorders>
              <w:bottom w:val="nil"/>
              <w:right w:val="single" w:sz="8" w:space="0" w:color="auto"/>
            </w:tcBorders>
            <w:vAlign w:val="center"/>
          </w:tcPr>
          <w:p w:rsidR="00865B2A" w:rsidRPr="00260B47" w:rsidRDefault="00865B2A" w:rsidP="00A76F4A">
            <w:pPr>
              <w:ind w:left="60" w:right="12"/>
              <w:jc w:val="center"/>
              <w:rPr>
                <w:sz w:val="21"/>
                <w:szCs w:val="21"/>
              </w:rPr>
            </w:pPr>
            <w:r w:rsidRPr="00260B47">
              <w:rPr>
                <w:rFonts w:eastAsia="Times New Roman"/>
                <w:sz w:val="21"/>
                <w:szCs w:val="21"/>
              </w:rPr>
              <w:t>Etat de pollution des sites</w:t>
            </w:r>
          </w:p>
          <w:p w:rsidR="00865B2A" w:rsidRPr="00260B47" w:rsidRDefault="00865B2A" w:rsidP="00A76F4A">
            <w:pPr>
              <w:ind w:left="60" w:right="12"/>
              <w:jc w:val="center"/>
              <w:rPr>
                <w:sz w:val="21"/>
                <w:szCs w:val="21"/>
              </w:rPr>
            </w:pPr>
            <w:r w:rsidRPr="00260B47">
              <w:rPr>
                <w:rFonts w:eastAsia="Times New Roman"/>
                <w:sz w:val="21"/>
                <w:szCs w:val="21"/>
              </w:rPr>
              <w:lastRenderedPageBreak/>
              <w:t>de stockage des pesticides</w:t>
            </w:r>
          </w:p>
        </w:tc>
        <w:tc>
          <w:tcPr>
            <w:tcW w:w="3916" w:type="dxa"/>
            <w:vMerge w:val="restart"/>
            <w:tcBorders>
              <w:bottom w:val="nil"/>
              <w:right w:val="single" w:sz="8" w:space="0" w:color="auto"/>
            </w:tcBorders>
            <w:vAlign w:val="center"/>
          </w:tcPr>
          <w:p w:rsidR="00865B2A" w:rsidRPr="00260B47" w:rsidRDefault="00865B2A" w:rsidP="00A76F4A">
            <w:pPr>
              <w:ind w:left="60" w:right="12"/>
              <w:jc w:val="center"/>
              <w:rPr>
                <w:sz w:val="21"/>
                <w:szCs w:val="21"/>
              </w:rPr>
            </w:pPr>
            <w:r w:rsidRPr="00260B47">
              <w:rPr>
                <w:rFonts w:ascii="Symbol" w:eastAsia="Symbol" w:hAnsi="Symbol" w:cs="Symbol"/>
                <w:sz w:val="21"/>
                <w:szCs w:val="21"/>
              </w:rPr>
              <w:lastRenderedPageBreak/>
              <w:t></w:t>
            </w:r>
            <w:r w:rsidRPr="00260B47">
              <w:rPr>
                <w:rFonts w:eastAsia="Times New Roman"/>
                <w:sz w:val="21"/>
                <w:szCs w:val="21"/>
              </w:rPr>
              <w:t>Typologie et quantité des rejets (solides et</w:t>
            </w:r>
          </w:p>
          <w:p w:rsidR="00865B2A" w:rsidRPr="00260B47" w:rsidRDefault="00865B2A" w:rsidP="00A76F4A">
            <w:pPr>
              <w:ind w:left="420" w:right="12"/>
              <w:jc w:val="center"/>
              <w:rPr>
                <w:sz w:val="21"/>
                <w:szCs w:val="21"/>
              </w:rPr>
            </w:pPr>
            <w:r w:rsidRPr="00260B47">
              <w:rPr>
                <w:rFonts w:eastAsia="Times New Roman"/>
                <w:sz w:val="21"/>
                <w:szCs w:val="21"/>
              </w:rPr>
              <w:t>liquides)</w:t>
            </w:r>
            <w:r w:rsidR="00370CA3">
              <w:rPr>
                <w:rFonts w:eastAsia="Times New Roman"/>
                <w:sz w:val="21"/>
                <w:szCs w:val="21"/>
              </w:rPr>
              <w:t xml:space="preserve"> présente sur site</w:t>
            </w:r>
          </w:p>
        </w:tc>
        <w:tc>
          <w:tcPr>
            <w:tcW w:w="1127" w:type="dxa"/>
            <w:tcBorders>
              <w:bottom w:val="nil"/>
              <w:right w:val="single" w:sz="8" w:space="0" w:color="auto"/>
            </w:tcBorders>
            <w:vAlign w:val="center"/>
          </w:tcPr>
          <w:p w:rsidR="00865B2A" w:rsidRPr="00260B47" w:rsidRDefault="00865B2A" w:rsidP="00A76F4A">
            <w:pPr>
              <w:ind w:left="60" w:right="12"/>
              <w:jc w:val="center"/>
              <w:rPr>
                <w:sz w:val="21"/>
                <w:szCs w:val="21"/>
              </w:rPr>
            </w:pPr>
            <w:r w:rsidRPr="00260B47">
              <w:rPr>
                <w:rFonts w:eastAsia="Times New Roman"/>
                <w:sz w:val="21"/>
                <w:szCs w:val="21"/>
              </w:rPr>
              <w:t>Une fois par</w:t>
            </w:r>
          </w:p>
          <w:p w:rsidR="00865B2A" w:rsidRPr="00260B47" w:rsidRDefault="00865B2A" w:rsidP="00A76F4A">
            <w:pPr>
              <w:ind w:left="60" w:right="12"/>
              <w:jc w:val="center"/>
              <w:rPr>
                <w:sz w:val="21"/>
                <w:szCs w:val="21"/>
              </w:rPr>
            </w:pPr>
            <w:r w:rsidRPr="00260B47">
              <w:rPr>
                <w:rFonts w:eastAsia="Times New Roman"/>
                <w:sz w:val="21"/>
                <w:szCs w:val="21"/>
              </w:rPr>
              <w:lastRenderedPageBreak/>
              <w:t>mois</w:t>
            </w:r>
          </w:p>
        </w:tc>
        <w:tc>
          <w:tcPr>
            <w:tcW w:w="1411" w:type="dxa"/>
            <w:vMerge w:val="restart"/>
            <w:tcBorders>
              <w:bottom w:val="nil"/>
              <w:right w:val="single" w:sz="8" w:space="0" w:color="auto"/>
            </w:tcBorders>
            <w:vAlign w:val="center"/>
          </w:tcPr>
          <w:p w:rsidR="00BA0EF5" w:rsidRDefault="00865B2A" w:rsidP="00A76F4A">
            <w:pPr>
              <w:ind w:left="40" w:right="12"/>
              <w:jc w:val="center"/>
              <w:rPr>
                <w:sz w:val="21"/>
                <w:szCs w:val="21"/>
              </w:rPr>
            </w:pPr>
            <w:r w:rsidRPr="00260B47">
              <w:rPr>
                <w:rFonts w:ascii="Symbol" w:eastAsia="Symbol" w:hAnsi="Symbol" w:cs="Symbol"/>
                <w:sz w:val="21"/>
                <w:szCs w:val="21"/>
              </w:rPr>
              <w:lastRenderedPageBreak/>
              <w:t></w:t>
            </w:r>
            <w:r w:rsidRPr="00260B47">
              <w:rPr>
                <w:rFonts w:eastAsia="Times New Roman"/>
                <w:sz w:val="21"/>
                <w:szCs w:val="21"/>
              </w:rPr>
              <w:t>PUSA</w:t>
            </w:r>
          </w:p>
          <w:p w:rsidR="00865B2A" w:rsidRPr="00260B47" w:rsidRDefault="00BA0EF5" w:rsidP="00A76F4A">
            <w:pPr>
              <w:ind w:left="40" w:right="12"/>
              <w:jc w:val="center"/>
              <w:rPr>
                <w:sz w:val="21"/>
                <w:szCs w:val="21"/>
              </w:rPr>
            </w:pPr>
            <w:r w:rsidRPr="00260B47">
              <w:rPr>
                <w:rFonts w:ascii="Symbol" w:eastAsia="Symbol" w:hAnsi="Symbol" w:cs="Symbol"/>
                <w:sz w:val="21"/>
                <w:szCs w:val="21"/>
              </w:rPr>
              <w:t></w:t>
            </w:r>
            <w:r w:rsidR="00865B2A" w:rsidRPr="00260B47">
              <w:rPr>
                <w:sz w:val="21"/>
                <w:szCs w:val="21"/>
              </w:rPr>
              <w:t>DGE</w:t>
            </w:r>
          </w:p>
          <w:p w:rsidR="00865B2A" w:rsidRPr="00260B47" w:rsidRDefault="00865B2A" w:rsidP="00A76F4A">
            <w:pPr>
              <w:ind w:left="40" w:right="12"/>
              <w:jc w:val="center"/>
              <w:rPr>
                <w:sz w:val="21"/>
                <w:szCs w:val="21"/>
              </w:rPr>
            </w:pPr>
            <w:r w:rsidRPr="00260B47">
              <w:rPr>
                <w:rFonts w:ascii="Symbol" w:eastAsia="Symbol" w:hAnsi="Symbol" w:cs="Symbol"/>
                <w:sz w:val="21"/>
                <w:szCs w:val="21"/>
              </w:rPr>
              <w:lastRenderedPageBreak/>
              <w:t></w:t>
            </w:r>
            <w:r w:rsidRPr="00260B47">
              <w:rPr>
                <w:rFonts w:eastAsia="Times New Roman"/>
                <w:sz w:val="21"/>
                <w:szCs w:val="21"/>
              </w:rPr>
              <w:t>DPV</w:t>
            </w:r>
          </w:p>
        </w:tc>
      </w:tr>
      <w:tr w:rsidR="00865B2A" w:rsidRPr="00260B47" w:rsidTr="00AA5066">
        <w:trPr>
          <w:trHeight w:val="133"/>
        </w:trPr>
        <w:tc>
          <w:tcPr>
            <w:tcW w:w="1830" w:type="dxa"/>
            <w:vMerge/>
            <w:tcBorders>
              <w:left w:val="single" w:sz="8" w:space="0" w:color="auto"/>
              <w:bottom w:val="single" w:sz="8" w:space="0" w:color="auto"/>
              <w:right w:val="single" w:sz="8" w:space="0" w:color="auto"/>
            </w:tcBorders>
            <w:vAlign w:val="bottom"/>
          </w:tcPr>
          <w:p w:rsidR="00865B2A" w:rsidRPr="00260B47" w:rsidRDefault="00865B2A" w:rsidP="00A76F4A">
            <w:pPr>
              <w:ind w:right="12"/>
              <w:rPr>
                <w:sz w:val="21"/>
                <w:szCs w:val="21"/>
              </w:rPr>
            </w:pPr>
          </w:p>
        </w:tc>
        <w:tc>
          <w:tcPr>
            <w:tcW w:w="2186" w:type="dxa"/>
            <w:vMerge/>
            <w:tcBorders>
              <w:bottom w:val="single" w:sz="8" w:space="0" w:color="auto"/>
              <w:right w:val="single" w:sz="8" w:space="0" w:color="auto"/>
            </w:tcBorders>
            <w:vAlign w:val="bottom"/>
          </w:tcPr>
          <w:p w:rsidR="00865B2A" w:rsidRPr="00260B47" w:rsidRDefault="00865B2A" w:rsidP="00A76F4A">
            <w:pPr>
              <w:ind w:right="12"/>
              <w:rPr>
                <w:sz w:val="21"/>
                <w:szCs w:val="21"/>
              </w:rPr>
            </w:pPr>
          </w:p>
        </w:tc>
        <w:tc>
          <w:tcPr>
            <w:tcW w:w="3916" w:type="dxa"/>
            <w:vMerge/>
            <w:tcBorders>
              <w:bottom w:val="single" w:sz="8" w:space="0" w:color="auto"/>
              <w:right w:val="single" w:sz="8" w:space="0" w:color="auto"/>
            </w:tcBorders>
            <w:vAlign w:val="bottom"/>
          </w:tcPr>
          <w:p w:rsidR="00865B2A" w:rsidRPr="00260B47" w:rsidRDefault="00865B2A" w:rsidP="00A76F4A">
            <w:pPr>
              <w:ind w:right="12"/>
              <w:rPr>
                <w:sz w:val="21"/>
                <w:szCs w:val="21"/>
              </w:rPr>
            </w:pPr>
          </w:p>
        </w:tc>
        <w:tc>
          <w:tcPr>
            <w:tcW w:w="1127" w:type="dxa"/>
            <w:tcBorders>
              <w:bottom w:val="single" w:sz="8" w:space="0" w:color="auto"/>
              <w:right w:val="single" w:sz="8" w:space="0" w:color="auto"/>
            </w:tcBorders>
            <w:vAlign w:val="bottom"/>
          </w:tcPr>
          <w:p w:rsidR="00865B2A" w:rsidRPr="00260B47" w:rsidRDefault="00865B2A" w:rsidP="00A76F4A">
            <w:pPr>
              <w:ind w:right="12"/>
              <w:rPr>
                <w:sz w:val="21"/>
                <w:szCs w:val="21"/>
              </w:rPr>
            </w:pPr>
          </w:p>
        </w:tc>
        <w:tc>
          <w:tcPr>
            <w:tcW w:w="1411" w:type="dxa"/>
            <w:vMerge/>
            <w:tcBorders>
              <w:bottom w:val="single" w:sz="8" w:space="0" w:color="auto"/>
              <w:right w:val="single" w:sz="8" w:space="0" w:color="auto"/>
            </w:tcBorders>
            <w:vAlign w:val="bottom"/>
          </w:tcPr>
          <w:p w:rsidR="00865B2A" w:rsidRPr="00260B47" w:rsidRDefault="00865B2A" w:rsidP="00A76F4A">
            <w:pPr>
              <w:ind w:right="12"/>
              <w:rPr>
                <w:sz w:val="21"/>
                <w:szCs w:val="21"/>
              </w:rPr>
            </w:pPr>
          </w:p>
        </w:tc>
      </w:tr>
      <w:tr w:rsidR="0017764C" w:rsidRPr="00260B47" w:rsidTr="00AA5066">
        <w:trPr>
          <w:trHeight w:val="1247"/>
        </w:trPr>
        <w:tc>
          <w:tcPr>
            <w:tcW w:w="1830" w:type="dxa"/>
            <w:tcBorders>
              <w:left w:val="single" w:sz="8" w:space="0" w:color="auto"/>
              <w:right w:val="single" w:sz="8" w:space="0" w:color="auto"/>
            </w:tcBorders>
            <w:vAlign w:val="center"/>
          </w:tcPr>
          <w:p w:rsidR="0017764C" w:rsidRPr="00260B47" w:rsidRDefault="0017764C" w:rsidP="00A76F4A">
            <w:pPr>
              <w:ind w:left="80" w:right="12"/>
              <w:jc w:val="center"/>
              <w:rPr>
                <w:sz w:val="21"/>
                <w:szCs w:val="21"/>
              </w:rPr>
            </w:pPr>
            <w:r w:rsidRPr="00260B47">
              <w:rPr>
                <w:rFonts w:eastAsia="Times New Roman"/>
                <w:sz w:val="21"/>
                <w:szCs w:val="21"/>
              </w:rPr>
              <w:t>Végétation et</w:t>
            </w:r>
          </w:p>
          <w:p w:rsidR="0017764C" w:rsidRPr="00260B47" w:rsidRDefault="0017764C" w:rsidP="00A76F4A">
            <w:pPr>
              <w:ind w:left="80" w:right="12"/>
              <w:jc w:val="center"/>
              <w:rPr>
                <w:sz w:val="21"/>
                <w:szCs w:val="21"/>
              </w:rPr>
            </w:pPr>
            <w:r w:rsidRPr="00260B47">
              <w:rPr>
                <w:rFonts w:eastAsia="Times New Roman"/>
                <w:sz w:val="21"/>
                <w:szCs w:val="21"/>
              </w:rPr>
              <w:t>faune</w:t>
            </w:r>
          </w:p>
        </w:tc>
        <w:tc>
          <w:tcPr>
            <w:tcW w:w="2186" w:type="dxa"/>
            <w:vMerge w:val="restart"/>
            <w:tcBorders>
              <w:right w:val="single" w:sz="8" w:space="0" w:color="auto"/>
            </w:tcBorders>
            <w:vAlign w:val="center"/>
          </w:tcPr>
          <w:p w:rsidR="0017764C" w:rsidRPr="00260B47" w:rsidRDefault="0017764C" w:rsidP="00A76F4A">
            <w:pPr>
              <w:ind w:left="60" w:right="12"/>
              <w:jc w:val="center"/>
              <w:rPr>
                <w:sz w:val="21"/>
                <w:szCs w:val="21"/>
              </w:rPr>
            </w:pPr>
            <w:r w:rsidRPr="00260B47">
              <w:rPr>
                <w:rFonts w:eastAsia="Times New Roman"/>
                <w:sz w:val="21"/>
                <w:szCs w:val="21"/>
              </w:rPr>
              <w:t>Évolution de la faune et</w:t>
            </w:r>
          </w:p>
          <w:p w:rsidR="0017764C" w:rsidRPr="00260B47" w:rsidRDefault="0017764C" w:rsidP="00A76F4A">
            <w:pPr>
              <w:ind w:left="60" w:right="12"/>
              <w:jc w:val="center"/>
              <w:rPr>
                <w:sz w:val="21"/>
                <w:szCs w:val="21"/>
              </w:rPr>
            </w:pPr>
            <w:r w:rsidRPr="00260B47">
              <w:rPr>
                <w:rFonts w:eastAsia="Times New Roman"/>
                <w:sz w:val="21"/>
                <w:szCs w:val="21"/>
              </w:rPr>
              <w:t>de la microfaune ;  et</w:t>
            </w:r>
          </w:p>
          <w:p w:rsidR="0017764C" w:rsidRPr="00260B47" w:rsidRDefault="0017764C" w:rsidP="00A76F4A">
            <w:pPr>
              <w:ind w:left="60" w:right="12"/>
              <w:jc w:val="center"/>
              <w:rPr>
                <w:sz w:val="21"/>
                <w:szCs w:val="21"/>
              </w:rPr>
            </w:pPr>
            <w:r w:rsidRPr="00260B47">
              <w:rPr>
                <w:rFonts w:eastAsia="Times New Roman"/>
                <w:sz w:val="21"/>
                <w:szCs w:val="21"/>
              </w:rPr>
              <w:t>l'état de la flore de la</w:t>
            </w:r>
          </w:p>
          <w:p w:rsidR="0017764C" w:rsidRPr="00260B47" w:rsidRDefault="0017764C" w:rsidP="00A76F4A">
            <w:pPr>
              <w:ind w:left="60" w:right="12"/>
              <w:jc w:val="center"/>
              <w:rPr>
                <w:sz w:val="21"/>
                <w:szCs w:val="21"/>
              </w:rPr>
            </w:pPr>
            <w:r w:rsidRPr="00260B47">
              <w:rPr>
                <w:rFonts w:eastAsia="Times New Roman"/>
                <w:sz w:val="21"/>
                <w:szCs w:val="21"/>
              </w:rPr>
              <w:t>biodiversité animale et</w:t>
            </w:r>
          </w:p>
          <w:p w:rsidR="0017764C" w:rsidRPr="00260B47" w:rsidRDefault="0017764C" w:rsidP="00A76F4A">
            <w:pPr>
              <w:ind w:left="60" w:right="12"/>
              <w:jc w:val="center"/>
              <w:rPr>
                <w:sz w:val="21"/>
                <w:szCs w:val="21"/>
              </w:rPr>
            </w:pPr>
            <w:r w:rsidRPr="00260B47">
              <w:rPr>
                <w:rFonts w:eastAsia="Times New Roman"/>
                <w:sz w:val="21"/>
                <w:szCs w:val="21"/>
              </w:rPr>
              <w:t>végétale</w:t>
            </w:r>
          </w:p>
        </w:tc>
        <w:tc>
          <w:tcPr>
            <w:tcW w:w="3916" w:type="dxa"/>
            <w:vMerge w:val="restart"/>
            <w:tcBorders>
              <w:right w:val="single" w:sz="8" w:space="0" w:color="auto"/>
            </w:tcBorders>
            <w:vAlign w:val="center"/>
          </w:tcPr>
          <w:p w:rsidR="0017764C" w:rsidRPr="00260B47" w:rsidRDefault="0017764C" w:rsidP="00A76F4A">
            <w:pPr>
              <w:ind w:left="60" w:right="12"/>
              <w:jc w:val="center"/>
              <w:rPr>
                <w:sz w:val="21"/>
                <w:szCs w:val="21"/>
              </w:rPr>
            </w:pPr>
            <w:r w:rsidRPr="00260B47">
              <w:rPr>
                <w:rFonts w:ascii="Symbol" w:eastAsia="Symbol" w:hAnsi="Symbol" w:cs="Symbol"/>
                <w:sz w:val="21"/>
                <w:szCs w:val="21"/>
              </w:rPr>
              <w:t></w:t>
            </w:r>
            <w:r w:rsidRPr="00260B47">
              <w:rPr>
                <w:rFonts w:eastAsia="Times New Roman"/>
                <w:sz w:val="21"/>
                <w:szCs w:val="21"/>
              </w:rPr>
              <w:t>Présence de résidus toxiques au niveau</w:t>
            </w:r>
          </w:p>
          <w:p w:rsidR="0017764C" w:rsidRPr="00260B47" w:rsidRDefault="0017764C" w:rsidP="00A76F4A">
            <w:pPr>
              <w:ind w:left="420" w:right="12"/>
              <w:jc w:val="center"/>
              <w:rPr>
                <w:sz w:val="21"/>
                <w:szCs w:val="21"/>
              </w:rPr>
            </w:pPr>
            <w:r w:rsidRPr="00260B47">
              <w:rPr>
                <w:rFonts w:eastAsia="Times New Roman"/>
                <w:sz w:val="21"/>
                <w:szCs w:val="21"/>
              </w:rPr>
              <w:t>des plantes et des cultures</w:t>
            </w:r>
          </w:p>
          <w:p w:rsidR="0017764C" w:rsidRPr="00260B47" w:rsidRDefault="0017764C" w:rsidP="00A76F4A">
            <w:pPr>
              <w:ind w:left="60" w:right="12"/>
              <w:jc w:val="center"/>
              <w:rPr>
                <w:sz w:val="21"/>
                <w:szCs w:val="21"/>
              </w:rPr>
            </w:pPr>
            <w:r w:rsidRPr="00260B47">
              <w:rPr>
                <w:rFonts w:ascii="Symbol" w:eastAsia="Symbol" w:hAnsi="Symbol" w:cs="Symbol"/>
                <w:sz w:val="21"/>
                <w:szCs w:val="21"/>
              </w:rPr>
              <w:t></w:t>
            </w:r>
            <w:r w:rsidRPr="00260B47">
              <w:rPr>
                <w:rFonts w:eastAsia="Times New Roman"/>
                <w:sz w:val="21"/>
                <w:szCs w:val="21"/>
              </w:rPr>
              <w:t>Niveaux de destruction des non cibles</w:t>
            </w:r>
          </w:p>
          <w:p w:rsidR="0017764C" w:rsidRPr="00260B47" w:rsidRDefault="0017764C" w:rsidP="00A76F4A">
            <w:pPr>
              <w:ind w:left="420" w:right="12"/>
              <w:jc w:val="center"/>
              <w:rPr>
                <w:sz w:val="21"/>
                <w:szCs w:val="21"/>
              </w:rPr>
            </w:pPr>
            <w:r w:rsidRPr="00260B47">
              <w:rPr>
                <w:rFonts w:eastAsia="Times New Roman"/>
                <w:sz w:val="21"/>
                <w:szCs w:val="21"/>
              </w:rPr>
              <w:t>(animaux, faune aquatiques et</w:t>
            </w:r>
          </w:p>
          <w:p w:rsidR="0017764C" w:rsidRPr="00260B47" w:rsidRDefault="0017764C" w:rsidP="00A76F4A">
            <w:pPr>
              <w:ind w:left="420" w:right="12"/>
              <w:jc w:val="center"/>
              <w:rPr>
                <w:sz w:val="21"/>
                <w:szCs w:val="21"/>
              </w:rPr>
            </w:pPr>
            <w:r w:rsidRPr="00260B47">
              <w:rPr>
                <w:rFonts w:eastAsia="Times New Roman"/>
                <w:sz w:val="21"/>
                <w:szCs w:val="21"/>
              </w:rPr>
              <w:t>végétation)</w:t>
            </w:r>
          </w:p>
        </w:tc>
        <w:tc>
          <w:tcPr>
            <w:tcW w:w="1127" w:type="dxa"/>
            <w:vMerge w:val="restart"/>
            <w:tcBorders>
              <w:right w:val="single" w:sz="8" w:space="0" w:color="auto"/>
            </w:tcBorders>
            <w:vAlign w:val="center"/>
          </w:tcPr>
          <w:p w:rsidR="0017764C" w:rsidRPr="00260B47" w:rsidRDefault="0017764C" w:rsidP="00A76F4A">
            <w:pPr>
              <w:ind w:left="60" w:right="12"/>
              <w:jc w:val="center"/>
              <w:rPr>
                <w:sz w:val="21"/>
                <w:szCs w:val="21"/>
              </w:rPr>
            </w:pPr>
            <w:r w:rsidRPr="00260B47">
              <w:rPr>
                <w:rFonts w:eastAsia="Times New Roman"/>
                <w:sz w:val="21"/>
                <w:szCs w:val="21"/>
              </w:rPr>
              <w:t>Une fois par</w:t>
            </w:r>
          </w:p>
          <w:p w:rsidR="0017764C" w:rsidRPr="00260B47" w:rsidRDefault="0017764C" w:rsidP="00A76F4A">
            <w:pPr>
              <w:ind w:left="60" w:right="12"/>
              <w:jc w:val="center"/>
              <w:rPr>
                <w:sz w:val="21"/>
                <w:szCs w:val="21"/>
              </w:rPr>
            </w:pPr>
            <w:r w:rsidRPr="00260B47">
              <w:rPr>
                <w:rFonts w:eastAsia="Times New Roman"/>
                <w:sz w:val="21"/>
                <w:szCs w:val="21"/>
              </w:rPr>
              <w:t>mois</w:t>
            </w:r>
          </w:p>
        </w:tc>
        <w:tc>
          <w:tcPr>
            <w:tcW w:w="1411" w:type="dxa"/>
            <w:vMerge w:val="restart"/>
            <w:tcBorders>
              <w:right w:val="single" w:sz="8" w:space="0" w:color="auto"/>
            </w:tcBorders>
            <w:vAlign w:val="center"/>
          </w:tcPr>
          <w:p w:rsidR="0017764C" w:rsidRPr="00260B47" w:rsidRDefault="0017764C"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PUSA</w:t>
            </w:r>
          </w:p>
          <w:p w:rsidR="0017764C" w:rsidRPr="00260B47" w:rsidRDefault="0017764C"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DPV</w:t>
            </w:r>
          </w:p>
          <w:p w:rsidR="0017764C" w:rsidRPr="00260B47" w:rsidRDefault="0017764C"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DGE</w:t>
            </w:r>
          </w:p>
          <w:p w:rsidR="0017764C" w:rsidRPr="00260B47" w:rsidRDefault="0017764C"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DGA</w:t>
            </w:r>
          </w:p>
        </w:tc>
      </w:tr>
      <w:tr w:rsidR="00BA0EF5" w:rsidRPr="00260B47" w:rsidTr="00AA5066">
        <w:trPr>
          <w:trHeight w:val="23"/>
        </w:trPr>
        <w:tc>
          <w:tcPr>
            <w:tcW w:w="1830" w:type="dxa"/>
            <w:tcBorders>
              <w:left w:val="single" w:sz="8" w:space="0" w:color="auto"/>
              <w:bottom w:val="single" w:sz="8" w:space="0" w:color="auto"/>
              <w:right w:val="single" w:sz="8" w:space="0" w:color="auto"/>
            </w:tcBorders>
            <w:vAlign w:val="bottom"/>
          </w:tcPr>
          <w:p w:rsidR="00BA0EF5" w:rsidRPr="00260B47" w:rsidRDefault="00BA0EF5" w:rsidP="00A76F4A">
            <w:pPr>
              <w:ind w:right="12"/>
              <w:rPr>
                <w:sz w:val="21"/>
                <w:szCs w:val="21"/>
              </w:rPr>
            </w:pPr>
          </w:p>
        </w:tc>
        <w:tc>
          <w:tcPr>
            <w:tcW w:w="2186" w:type="dxa"/>
            <w:vMerge/>
            <w:tcBorders>
              <w:bottom w:val="single" w:sz="8" w:space="0" w:color="auto"/>
              <w:right w:val="single" w:sz="8" w:space="0" w:color="auto"/>
            </w:tcBorders>
            <w:vAlign w:val="bottom"/>
          </w:tcPr>
          <w:p w:rsidR="00BA0EF5" w:rsidRPr="00260B47" w:rsidRDefault="00BA0EF5" w:rsidP="00A76F4A">
            <w:pPr>
              <w:ind w:right="12"/>
              <w:rPr>
                <w:sz w:val="21"/>
                <w:szCs w:val="21"/>
              </w:rPr>
            </w:pPr>
          </w:p>
        </w:tc>
        <w:tc>
          <w:tcPr>
            <w:tcW w:w="3916" w:type="dxa"/>
            <w:vMerge/>
            <w:tcBorders>
              <w:bottom w:val="single" w:sz="8" w:space="0" w:color="auto"/>
              <w:right w:val="single" w:sz="8" w:space="0" w:color="auto"/>
            </w:tcBorders>
            <w:vAlign w:val="bottom"/>
          </w:tcPr>
          <w:p w:rsidR="00BA0EF5" w:rsidRPr="00260B47" w:rsidRDefault="00BA0EF5" w:rsidP="00A76F4A">
            <w:pPr>
              <w:ind w:right="12"/>
              <w:rPr>
                <w:sz w:val="21"/>
                <w:szCs w:val="21"/>
              </w:rPr>
            </w:pPr>
          </w:p>
        </w:tc>
        <w:tc>
          <w:tcPr>
            <w:tcW w:w="1127" w:type="dxa"/>
            <w:vMerge/>
            <w:tcBorders>
              <w:bottom w:val="single" w:sz="8" w:space="0" w:color="auto"/>
              <w:right w:val="single" w:sz="8" w:space="0" w:color="auto"/>
            </w:tcBorders>
            <w:vAlign w:val="bottom"/>
          </w:tcPr>
          <w:p w:rsidR="00BA0EF5" w:rsidRPr="00260B47" w:rsidRDefault="00BA0EF5" w:rsidP="00A76F4A">
            <w:pPr>
              <w:ind w:right="12"/>
              <w:rPr>
                <w:sz w:val="21"/>
                <w:szCs w:val="21"/>
              </w:rPr>
            </w:pPr>
          </w:p>
        </w:tc>
        <w:tc>
          <w:tcPr>
            <w:tcW w:w="1411" w:type="dxa"/>
            <w:vMerge/>
            <w:tcBorders>
              <w:bottom w:val="single" w:sz="8" w:space="0" w:color="auto"/>
              <w:right w:val="single" w:sz="8" w:space="0" w:color="auto"/>
            </w:tcBorders>
            <w:vAlign w:val="bottom"/>
          </w:tcPr>
          <w:p w:rsidR="00BA0EF5" w:rsidRPr="00260B47" w:rsidRDefault="00BA0EF5" w:rsidP="00A76F4A">
            <w:pPr>
              <w:ind w:right="12"/>
              <w:rPr>
                <w:sz w:val="21"/>
                <w:szCs w:val="21"/>
              </w:rPr>
            </w:pPr>
          </w:p>
        </w:tc>
      </w:tr>
      <w:tr w:rsidR="00D872AD" w:rsidRPr="00260B47" w:rsidTr="00F5679F">
        <w:trPr>
          <w:trHeight w:val="1820"/>
        </w:trPr>
        <w:tc>
          <w:tcPr>
            <w:tcW w:w="1830" w:type="dxa"/>
            <w:tcBorders>
              <w:top w:val="single" w:sz="8" w:space="0" w:color="auto"/>
              <w:left w:val="single" w:sz="8" w:space="0" w:color="auto"/>
              <w:bottom w:val="single" w:sz="4" w:space="0" w:color="auto"/>
              <w:right w:val="single" w:sz="8" w:space="0" w:color="auto"/>
            </w:tcBorders>
            <w:vAlign w:val="center"/>
          </w:tcPr>
          <w:p w:rsidR="00D872AD" w:rsidRPr="00260B47" w:rsidRDefault="00D872AD" w:rsidP="00A76F4A">
            <w:pPr>
              <w:ind w:left="80" w:right="12"/>
              <w:jc w:val="center"/>
              <w:rPr>
                <w:sz w:val="21"/>
                <w:szCs w:val="21"/>
              </w:rPr>
            </w:pPr>
            <w:r w:rsidRPr="00260B47">
              <w:rPr>
                <w:rFonts w:eastAsia="Times New Roman"/>
                <w:sz w:val="21"/>
                <w:szCs w:val="21"/>
              </w:rPr>
              <w:t>Environnement humain</w:t>
            </w:r>
          </w:p>
        </w:tc>
        <w:tc>
          <w:tcPr>
            <w:tcW w:w="2186" w:type="dxa"/>
            <w:tcBorders>
              <w:top w:val="single" w:sz="8" w:space="0" w:color="auto"/>
              <w:bottom w:val="single" w:sz="4" w:space="0" w:color="auto"/>
              <w:right w:val="single" w:sz="8" w:space="0" w:color="auto"/>
            </w:tcBorders>
            <w:vAlign w:val="center"/>
          </w:tcPr>
          <w:p w:rsidR="00D872AD" w:rsidRPr="00260B47" w:rsidRDefault="00D872AD" w:rsidP="00A76F4A">
            <w:pPr>
              <w:ind w:left="60" w:right="12"/>
              <w:jc w:val="center"/>
              <w:rPr>
                <w:sz w:val="21"/>
                <w:szCs w:val="21"/>
              </w:rPr>
            </w:pPr>
            <w:r w:rsidRPr="00260B47">
              <w:rPr>
                <w:rFonts w:eastAsia="Times New Roman"/>
                <w:sz w:val="21"/>
                <w:szCs w:val="21"/>
              </w:rPr>
              <w:t>Hygiène et santé</w:t>
            </w:r>
          </w:p>
          <w:p w:rsidR="00D872AD" w:rsidRPr="00260B47" w:rsidRDefault="00D872AD" w:rsidP="00A76F4A">
            <w:pPr>
              <w:ind w:left="60" w:right="12"/>
              <w:jc w:val="center"/>
              <w:rPr>
                <w:sz w:val="21"/>
                <w:szCs w:val="21"/>
              </w:rPr>
            </w:pPr>
            <w:r w:rsidRPr="00260B47">
              <w:rPr>
                <w:rFonts w:eastAsia="Times New Roman"/>
                <w:sz w:val="21"/>
                <w:szCs w:val="21"/>
              </w:rPr>
              <w:t>Pollution et nuisances</w:t>
            </w:r>
          </w:p>
          <w:p w:rsidR="00D872AD" w:rsidRPr="00260B47" w:rsidRDefault="00D872AD" w:rsidP="00A76F4A">
            <w:pPr>
              <w:ind w:left="60" w:right="12"/>
              <w:jc w:val="center"/>
              <w:rPr>
                <w:sz w:val="21"/>
                <w:szCs w:val="21"/>
              </w:rPr>
            </w:pPr>
            <w:r w:rsidRPr="00260B47">
              <w:rPr>
                <w:rFonts w:eastAsia="Times New Roman"/>
                <w:sz w:val="21"/>
                <w:szCs w:val="21"/>
              </w:rPr>
              <w:t>Protection et Sécurité lors</w:t>
            </w:r>
          </w:p>
          <w:p w:rsidR="00D872AD" w:rsidRPr="00260B47" w:rsidRDefault="00D872AD" w:rsidP="00A76F4A">
            <w:pPr>
              <w:ind w:left="60" w:right="12"/>
              <w:jc w:val="center"/>
              <w:rPr>
                <w:sz w:val="21"/>
                <w:szCs w:val="21"/>
              </w:rPr>
            </w:pPr>
            <w:r w:rsidRPr="00260B47">
              <w:rPr>
                <w:rFonts w:eastAsia="Times New Roman"/>
                <w:sz w:val="21"/>
                <w:szCs w:val="21"/>
              </w:rPr>
              <w:t>des opérations</w:t>
            </w:r>
          </w:p>
        </w:tc>
        <w:tc>
          <w:tcPr>
            <w:tcW w:w="3916" w:type="dxa"/>
            <w:tcBorders>
              <w:top w:val="single" w:sz="8" w:space="0" w:color="auto"/>
              <w:bottom w:val="single" w:sz="4" w:space="0" w:color="auto"/>
              <w:right w:val="single" w:sz="8" w:space="0" w:color="auto"/>
            </w:tcBorders>
            <w:vAlign w:val="bottom"/>
          </w:tcPr>
          <w:p w:rsidR="00D872AD" w:rsidRPr="00260B47" w:rsidRDefault="00D872AD" w:rsidP="00A76F4A">
            <w:pPr>
              <w:ind w:left="60" w:right="12"/>
              <w:rPr>
                <w:sz w:val="21"/>
                <w:szCs w:val="21"/>
              </w:rPr>
            </w:pPr>
            <w:r w:rsidRPr="00260B47">
              <w:rPr>
                <w:rFonts w:ascii="Symbol" w:eastAsia="Symbol" w:hAnsi="Symbol" w:cs="Symbol"/>
                <w:sz w:val="21"/>
                <w:szCs w:val="21"/>
              </w:rPr>
              <w:t></w:t>
            </w:r>
            <w:r w:rsidRPr="00260B47">
              <w:rPr>
                <w:rFonts w:eastAsia="Times New Roman"/>
                <w:sz w:val="21"/>
                <w:szCs w:val="21"/>
              </w:rPr>
              <w:t>Types et qualité des pesticides utilisés</w:t>
            </w:r>
          </w:p>
          <w:p w:rsidR="00D872AD" w:rsidRPr="00260B47" w:rsidRDefault="00D872AD" w:rsidP="00A76F4A">
            <w:pPr>
              <w:ind w:left="60" w:right="12"/>
              <w:rPr>
                <w:sz w:val="21"/>
                <w:szCs w:val="21"/>
              </w:rPr>
            </w:pPr>
            <w:r w:rsidRPr="00260B47">
              <w:rPr>
                <w:rFonts w:ascii="Symbol" w:eastAsia="Symbol" w:hAnsi="Symbol" w:cs="Symbol"/>
                <w:sz w:val="21"/>
                <w:szCs w:val="21"/>
              </w:rPr>
              <w:t></w:t>
            </w:r>
            <w:r w:rsidRPr="00260B47">
              <w:rPr>
                <w:rFonts w:eastAsia="Times New Roman"/>
                <w:sz w:val="21"/>
                <w:szCs w:val="21"/>
              </w:rPr>
              <w:t>Nombre de moustiquaires fournis dans la</w:t>
            </w:r>
            <w:r>
              <w:rPr>
                <w:sz w:val="21"/>
                <w:szCs w:val="21"/>
              </w:rPr>
              <w:t xml:space="preserve"> </w:t>
            </w:r>
            <w:r w:rsidRPr="00260B47">
              <w:rPr>
                <w:rFonts w:eastAsia="Times New Roman"/>
                <w:sz w:val="21"/>
                <w:szCs w:val="21"/>
              </w:rPr>
              <w:t>lutte contre le paludisme</w:t>
            </w:r>
          </w:p>
          <w:p w:rsidR="00D872AD" w:rsidRPr="00260B47" w:rsidRDefault="00D872AD" w:rsidP="00A76F4A">
            <w:pPr>
              <w:ind w:left="60" w:right="12"/>
              <w:rPr>
                <w:sz w:val="21"/>
                <w:szCs w:val="21"/>
              </w:rPr>
            </w:pPr>
            <w:r w:rsidRPr="00260B47">
              <w:rPr>
                <w:rFonts w:ascii="Symbol" w:eastAsia="Symbol" w:hAnsi="Symbol" w:cs="Symbol"/>
                <w:sz w:val="21"/>
                <w:szCs w:val="21"/>
              </w:rPr>
              <w:t></w:t>
            </w:r>
            <w:r w:rsidRPr="00260B47">
              <w:rPr>
                <w:rFonts w:eastAsia="Times New Roman"/>
                <w:sz w:val="21"/>
                <w:szCs w:val="21"/>
              </w:rPr>
              <w:t>Nombre de cas de paludisme sur les sites</w:t>
            </w:r>
          </w:p>
          <w:p w:rsidR="00D872AD" w:rsidRPr="00260B47" w:rsidRDefault="004204E3" w:rsidP="00A76F4A">
            <w:pPr>
              <w:ind w:left="420" w:right="12"/>
              <w:rPr>
                <w:sz w:val="21"/>
                <w:szCs w:val="21"/>
              </w:rPr>
            </w:pPr>
            <w:r w:rsidRPr="00260B47">
              <w:rPr>
                <w:rFonts w:eastAsia="Times New Roman"/>
                <w:sz w:val="21"/>
                <w:szCs w:val="21"/>
              </w:rPr>
              <w:t>D’intervention</w:t>
            </w:r>
          </w:p>
          <w:p w:rsidR="00D872AD" w:rsidRPr="00260B47" w:rsidRDefault="00D872AD" w:rsidP="00A76F4A">
            <w:pPr>
              <w:ind w:left="60" w:right="12"/>
              <w:rPr>
                <w:sz w:val="21"/>
                <w:szCs w:val="21"/>
              </w:rPr>
            </w:pPr>
            <w:r w:rsidRPr="00260B47">
              <w:rPr>
                <w:rFonts w:ascii="Symbol" w:eastAsia="Symbol" w:hAnsi="Symbol" w:cs="Symbol"/>
                <w:sz w:val="21"/>
                <w:szCs w:val="21"/>
              </w:rPr>
              <w:t></w:t>
            </w:r>
            <w:r w:rsidRPr="00260B47">
              <w:rPr>
                <w:rFonts w:eastAsia="Times New Roman"/>
                <w:sz w:val="21"/>
                <w:szCs w:val="21"/>
              </w:rPr>
              <w:t>Nombre d’accident/intoxication</w:t>
            </w:r>
          </w:p>
          <w:p w:rsidR="00D872AD" w:rsidRPr="00260B47" w:rsidRDefault="00D872AD" w:rsidP="00A76F4A">
            <w:pPr>
              <w:ind w:left="60" w:right="12"/>
              <w:rPr>
                <w:sz w:val="21"/>
                <w:szCs w:val="21"/>
              </w:rPr>
            </w:pPr>
            <w:r w:rsidRPr="00260B47">
              <w:rPr>
                <w:rFonts w:ascii="Symbol" w:eastAsia="Symbol" w:hAnsi="Symbol" w:cs="Symbol"/>
                <w:sz w:val="21"/>
                <w:szCs w:val="21"/>
              </w:rPr>
              <w:t></w:t>
            </w:r>
            <w:r w:rsidR="004204E3">
              <w:rPr>
                <w:rFonts w:eastAsia="Symbol"/>
                <w:sz w:val="21"/>
                <w:szCs w:val="21"/>
              </w:rPr>
              <w:t xml:space="preserve">Présence d’un système de </w:t>
            </w:r>
            <w:r w:rsidRPr="00260B47">
              <w:rPr>
                <w:rFonts w:eastAsia="Times New Roman"/>
                <w:sz w:val="21"/>
                <w:szCs w:val="21"/>
              </w:rPr>
              <w:t>Gestion des déchets (résidus de pesticides</w:t>
            </w:r>
            <w:r w:rsidR="003D572A">
              <w:rPr>
                <w:rFonts w:eastAsia="Times New Roman"/>
                <w:sz w:val="21"/>
                <w:szCs w:val="21"/>
              </w:rPr>
              <w:t xml:space="preserve"> </w:t>
            </w:r>
            <w:r w:rsidRPr="00260B47">
              <w:rPr>
                <w:rFonts w:eastAsia="Times New Roman"/>
                <w:sz w:val="21"/>
                <w:szCs w:val="21"/>
              </w:rPr>
              <w:t>et emballages vides)</w:t>
            </w:r>
          </w:p>
          <w:p w:rsidR="00D872AD" w:rsidRPr="00260B47" w:rsidRDefault="00D872AD" w:rsidP="00A76F4A">
            <w:pPr>
              <w:ind w:right="12"/>
              <w:rPr>
                <w:sz w:val="21"/>
                <w:szCs w:val="21"/>
              </w:rPr>
            </w:pPr>
            <w:r w:rsidRPr="00260B47">
              <w:rPr>
                <w:rFonts w:ascii="Symbol" w:eastAsia="Symbol" w:hAnsi="Symbol" w:cs="Symbol"/>
                <w:sz w:val="21"/>
                <w:szCs w:val="21"/>
              </w:rPr>
              <w:t></w:t>
            </w:r>
            <w:r w:rsidR="004204E3">
              <w:rPr>
                <w:rFonts w:ascii="Symbol" w:eastAsia="Symbol" w:hAnsi="Symbol" w:cs="Symbol"/>
                <w:sz w:val="21"/>
                <w:szCs w:val="21"/>
              </w:rPr>
              <w:t></w:t>
            </w:r>
            <w:r w:rsidR="004204E3">
              <w:rPr>
                <w:rFonts w:eastAsia="Symbol"/>
                <w:sz w:val="21"/>
                <w:szCs w:val="21"/>
              </w:rPr>
              <w:t xml:space="preserve">ombre de personne </w:t>
            </w:r>
            <w:r w:rsidR="004204E3">
              <w:rPr>
                <w:rFonts w:eastAsia="Times New Roman"/>
                <w:sz w:val="21"/>
                <w:szCs w:val="21"/>
              </w:rPr>
              <w:t>r</w:t>
            </w:r>
            <w:r w:rsidRPr="00260B47">
              <w:rPr>
                <w:rFonts w:eastAsia="Times New Roman"/>
                <w:sz w:val="21"/>
                <w:szCs w:val="21"/>
              </w:rPr>
              <w:t>espect</w:t>
            </w:r>
            <w:r w:rsidR="004204E3">
              <w:rPr>
                <w:rFonts w:eastAsia="Times New Roman"/>
                <w:sz w:val="21"/>
                <w:szCs w:val="21"/>
              </w:rPr>
              <w:t>ant</w:t>
            </w:r>
            <w:r w:rsidRPr="00260B47">
              <w:rPr>
                <w:rFonts w:eastAsia="Times New Roman"/>
                <w:sz w:val="21"/>
                <w:szCs w:val="21"/>
              </w:rPr>
              <w:t xml:space="preserve"> </w:t>
            </w:r>
            <w:r w:rsidR="00DE2CBB">
              <w:rPr>
                <w:rFonts w:eastAsia="Times New Roman"/>
                <w:sz w:val="21"/>
                <w:szCs w:val="21"/>
              </w:rPr>
              <w:t>le</w:t>
            </w:r>
            <w:r w:rsidRPr="00260B47">
              <w:rPr>
                <w:rFonts w:eastAsia="Times New Roman"/>
                <w:sz w:val="21"/>
                <w:szCs w:val="21"/>
              </w:rPr>
              <w:t xml:space="preserve"> port des équipements de</w:t>
            </w:r>
            <w:r w:rsidR="005E613E">
              <w:rPr>
                <w:rFonts w:eastAsia="Times New Roman"/>
                <w:sz w:val="21"/>
                <w:szCs w:val="21"/>
              </w:rPr>
              <w:t xml:space="preserve"> </w:t>
            </w:r>
            <w:r w:rsidRPr="00260B47">
              <w:rPr>
                <w:rFonts w:eastAsia="Times New Roman"/>
                <w:sz w:val="21"/>
                <w:szCs w:val="21"/>
              </w:rPr>
              <w:t>protection</w:t>
            </w:r>
          </w:p>
          <w:p w:rsidR="00D872AD" w:rsidRPr="00260B47" w:rsidRDefault="00D872AD" w:rsidP="00A76F4A">
            <w:pPr>
              <w:ind w:left="60" w:right="12"/>
              <w:rPr>
                <w:sz w:val="21"/>
                <w:szCs w:val="21"/>
              </w:rPr>
            </w:pPr>
            <w:r w:rsidRPr="00260B47">
              <w:rPr>
                <w:rFonts w:ascii="Symbol" w:eastAsia="Symbol" w:hAnsi="Symbol" w:cs="Symbol"/>
                <w:sz w:val="21"/>
                <w:szCs w:val="21"/>
              </w:rPr>
              <w:t></w:t>
            </w:r>
            <w:r w:rsidRPr="00260B47">
              <w:rPr>
                <w:rFonts w:eastAsia="Times New Roman"/>
                <w:sz w:val="21"/>
                <w:szCs w:val="21"/>
              </w:rPr>
              <w:t>Nombre de producteurs sensibilisés sur</w:t>
            </w:r>
          </w:p>
          <w:p w:rsidR="00D872AD" w:rsidRPr="00260B47" w:rsidRDefault="00D872AD" w:rsidP="00A76F4A">
            <w:pPr>
              <w:ind w:left="420" w:right="12"/>
              <w:rPr>
                <w:sz w:val="21"/>
                <w:szCs w:val="21"/>
              </w:rPr>
            </w:pPr>
            <w:r w:rsidRPr="00260B47">
              <w:rPr>
                <w:rFonts w:eastAsia="Times New Roman"/>
                <w:sz w:val="21"/>
                <w:szCs w:val="21"/>
              </w:rPr>
              <w:t>l’utilisation des pesticides</w:t>
            </w:r>
          </w:p>
          <w:p w:rsidR="00D872AD" w:rsidRPr="00260B47" w:rsidRDefault="00D872AD" w:rsidP="00A76F4A">
            <w:pPr>
              <w:ind w:left="60" w:right="12"/>
              <w:rPr>
                <w:sz w:val="21"/>
                <w:szCs w:val="21"/>
              </w:rPr>
            </w:pPr>
            <w:r w:rsidRPr="00260B47">
              <w:rPr>
                <w:rFonts w:ascii="Symbol" w:eastAsia="Symbol" w:hAnsi="Symbol" w:cs="Symbol"/>
                <w:sz w:val="21"/>
                <w:szCs w:val="21"/>
              </w:rPr>
              <w:t></w:t>
            </w:r>
            <w:r w:rsidR="00DE2CBB">
              <w:rPr>
                <w:rFonts w:eastAsia="Times New Roman"/>
                <w:sz w:val="21"/>
                <w:szCs w:val="21"/>
              </w:rPr>
              <w:t>Nombre de</w:t>
            </w:r>
            <w:r w:rsidRPr="00260B47">
              <w:rPr>
                <w:rFonts w:eastAsia="Times New Roman"/>
                <w:sz w:val="21"/>
                <w:szCs w:val="21"/>
              </w:rPr>
              <w:t xml:space="preserve"> suivi effectué par les agents de</w:t>
            </w:r>
          </w:p>
          <w:p w:rsidR="00D872AD" w:rsidRPr="00260B47" w:rsidRDefault="00D872AD" w:rsidP="00A76F4A">
            <w:pPr>
              <w:ind w:left="420" w:right="12"/>
              <w:rPr>
                <w:sz w:val="21"/>
                <w:szCs w:val="21"/>
              </w:rPr>
            </w:pPr>
            <w:r w:rsidRPr="00260B47">
              <w:rPr>
                <w:rFonts w:eastAsia="Times New Roman"/>
                <w:sz w:val="21"/>
                <w:szCs w:val="21"/>
              </w:rPr>
              <w:t>la DPV</w:t>
            </w:r>
          </w:p>
        </w:tc>
        <w:tc>
          <w:tcPr>
            <w:tcW w:w="1127" w:type="dxa"/>
            <w:tcBorders>
              <w:top w:val="single" w:sz="8" w:space="0" w:color="auto"/>
              <w:bottom w:val="single" w:sz="4" w:space="0" w:color="auto"/>
              <w:right w:val="single" w:sz="8" w:space="0" w:color="auto"/>
            </w:tcBorders>
            <w:vAlign w:val="bottom"/>
          </w:tcPr>
          <w:p w:rsidR="00D872AD" w:rsidRPr="00260B47" w:rsidRDefault="00D872AD" w:rsidP="00A76F4A">
            <w:pPr>
              <w:ind w:left="60" w:right="12"/>
              <w:rPr>
                <w:sz w:val="21"/>
                <w:szCs w:val="21"/>
              </w:rPr>
            </w:pPr>
            <w:r w:rsidRPr="00260B47">
              <w:rPr>
                <w:rFonts w:eastAsia="Times New Roman"/>
                <w:sz w:val="21"/>
                <w:szCs w:val="21"/>
              </w:rPr>
              <w:t>Une fois par</w:t>
            </w:r>
          </w:p>
          <w:p w:rsidR="00D872AD" w:rsidRPr="00260B47" w:rsidRDefault="00D872AD" w:rsidP="00A76F4A">
            <w:pPr>
              <w:ind w:left="60" w:right="12"/>
              <w:rPr>
                <w:sz w:val="21"/>
                <w:szCs w:val="21"/>
              </w:rPr>
            </w:pPr>
            <w:r w:rsidRPr="00260B47">
              <w:rPr>
                <w:rFonts w:eastAsia="Times New Roman"/>
                <w:sz w:val="21"/>
                <w:szCs w:val="21"/>
              </w:rPr>
              <w:t>mois</w:t>
            </w:r>
          </w:p>
        </w:tc>
        <w:tc>
          <w:tcPr>
            <w:tcW w:w="1411" w:type="dxa"/>
            <w:tcBorders>
              <w:top w:val="single" w:sz="8" w:space="0" w:color="auto"/>
              <w:bottom w:val="single" w:sz="4" w:space="0" w:color="auto"/>
              <w:right w:val="single" w:sz="8" w:space="0" w:color="auto"/>
            </w:tcBorders>
            <w:vAlign w:val="center"/>
          </w:tcPr>
          <w:p w:rsidR="00D872AD" w:rsidRPr="00260B47" w:rsidRDefault="00D872AD"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PUSA</w:t>
            </w:r>
          </w:p>
          <w:p w:rsidR="00D872AD" w:rsidRPr="00260B47" w:rsidRDefault="00D872AD"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DPV</w:t>
            </w:r>
          </w:p>
          <w:p w:rsidR="00D872AD" w:rsidRPr="00260B47" w:rsidRDefault="00D872AD"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DGE</w:t>
            </w:r>
          </w:p>
          <w:p w:rsidR="00D872AD" w:rsidRPr="00260B47" w:rsidRDefault="00D872AD"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DRS</w:t>
            </w:r>
          </w:p>
          <w:p w:rsidR="00D872AD" w:rsidRPr="00260B47" w:rsidRDefault="00D872AD"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DGA</w:t>
            </w:r>
          </w:p>
          <w:p w:rsidR="00D872AD" w:rsidRPr="00260B47" w:rsidRDefault="00D872AD"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OP</w:t>
            </w:r>
          </w:p>
          <w:p w:rsidR="00D872AD" w:rsidRPr="00260B47" w:rsidRDefault="00D872AD" w:rsidP="00A76F4A">
            <w:pPr>
              <w:ind w:left="40" w:right="12"/>
              <w:jc w:val="center"/>
              <w:rPr>
                <w:sz w:val="21"/>
                <w:szCs w:val="21"/>
              </w:rPr>
            </w:pPr>
            <w:r w:rsidRPr="00260B47">
              <w:rPr>
                <w:rFonts w:ascii="Symbol" w:eastAsia="Symbol" w:hAnsi="Symbol" w:cs="Symbol"/>
                <w:sz w:val="21"/>
                <w:szCs w:val="21"/>
              </w:rPr>
              <w:t></w:t>
            </w:r>
            <w:r w:rsidRPr="00260B47">
              <w:rPr>
                <w:rFonts w:eastAsia="Times New Roman"/>
                <w:sz w:val="21"/>
                <w:szCs w:val="21"/>
              </w:rPr>
              <w:t>Collectivités locales</w:t>
            </w:r>
          </w:p>
        </w:tc>
      </w:tr>
    </w:tbl>
    <w:p w:rsidR="00AD7BEE" w:rsidRPr="00F77A94" w:rsidRDefault="00AD7BEE" w:rsidP="00A76F4A">
      <w:pPr>
        <w:ind w:left="360" w:right="12"/>
        <w:jc w:val="both"/>
      </w:pPr>
    </w:p>
    <w:p w:rsidR="00563079" w:rsidRDefault="00563079" w:rsidP="00A76F4A">
      <w:pPr>
        <w:ind w:left="426" w:right="12"/>
        <w:jc w:val="both"/>
        <w:rPr>
          <w:b/>
        </w:rPr>
      </w:pPr>
      <w:r>
        <w:rPr>
          <w:b/>
        </w:rPr>
        <w:t xml:space="preserve">Arrangements institutionnels </w:t>
      </w:r>
      <w:r w:rsidR="005D44C2">
        <w:rPr>
          <w:b/>
        </w:rPr>
        <w:t>pour la mise en œuvre du PGP</w:t>
      </w:r>
    </w:p>
    <w:p w:rsidR="00563079" w:rsidRDefault="00563079" w:rsidP="00A76F4A">
      <w:pPr>
        <w:ind w:right="12"/>
        <w:jc w:val="both"/>
        <w:rPr>
          <w:b/>
        </w:rPr>
      </w:pPr>
    </w:p>
    <w:p w:rsidR="00426A7D" w:rsidRPr="00285890" w:rsidRDefault="00375BD8" w:rsidP="00A76F4A">
      <w:pPr>
        <w:pStyle w:val="PargrafodaLista"/>
        <w:numPr>
          <w:ilvl w:val="0"/>
          <w:numId w:val="171"/>
        </w:numPr>
        <w:spacing w:after="0" w:line="240" w:lineRule="auto"/>
        <w:ind w:right="12"/>
        <w:jc w:val="both"/>
        <w:rPr>
          <w:rFonts w:ascii="Times" w:hAnsi="Times"/>
          <w:sz w:val="22"/>
          <w:szCs w:val="22"/>
        </w:rPr>
      </w:pPr>
      <w:r w:rsidRPr="00285890">
        <w:rPr>
          <w:rFonts w:ascii="Times" w:hAnsi="Times"/>
          <w:bCs/>
          <w:i/>
          <w:iCs/>
          <w:sz w:val="22"/>
          <w:szCs w:val="22"/>
        </w:rPr>
        <w:t>L'UCP du PUSA</w:t>
      </w:r>
      <w:r w:rsidR="00426A7D" w:rsidRPr="00285890">
        <w:rPr>
          <w:rFonts w:ascii="Times" w:hAnsi="Times"/>
          <w:bCs/>
          <w:i/>
          <w:iCs/>
          <w:sz w:val="22"/>
          <w:szCs w:val="22"/>
        </w:rPr>
        <w:t xml:space="preserve"> : </w:t>
      </w:r>
      <w:r w:rsidR="00426A7D" w:rsidRPr="00285890">
        <w:rPr>
          <w:rFonts w:ascii="Times" w:hAnsi="Times"/>
          <w:sz w:val="22"/>
          <w:szCs w:val="22"/>
        </w:rPr>
        <w:t>va assurer la coordina</w:t>
      </w:r>
      <w:r w:rsidR="00D740A3" w:rsidRPr="00285890">
        <w:rPr>
          <w:rFonts w:ascii="Times" w:hAnsi="Times"/>
          <w:sz w:val="22"/>
          <w:szCs w:val="22"/>
        </w:rPr>
        <w:t>tion de la mise en œuvre du PGP</w:t>
      </w:r>
      <w:r w:rsidR="00426A7D" w:rsidRPr="00285890">
        <w:rPr>
          <w:rFonts w:ascii="Times" w:hAnsi="Times"/>
          <w:sz w:val="22"/>
          <w:szCs w:val="22"/>
        </w:rPr>
        <w:t xml:space="preserve"> et servir</w:t>
      </w:r>
      <w:r w:rsidR="00426A7D" w:rsidRPr="00285890">
        <w:rPr>
          <w:rFonts w:ascii="Times" w:hAnsi="Times"/>
          <w:bCs/>
          <w:i/>
          <w:iCs/>
          <w:sz w:val="22"/>
          <w:szCs w:val="22"/>
        </w:rPr>
        <w:t xml:space="preserve"> </w:t>
      </w:r>
      <w:r w:rsidR="00426A7D" w:rsidRPr="00285890">
        <w:rPr>
          <w:rFonts w:ascii="Times" w:hAnsi="Times"/>
          <w:sz w:val="22"/>
          <w:szCs w:val="22"/>
        </w:rPr>
        <w:t>d’interface avec les autres ac</w:t>
      </w:r>
      <w:r w:rsidRPr="00285890">
        <w:rPr>
          <w:rFonts w:ascii="Times" w:hAnsi="Times"/>
          <w:sz w:val="22"/>
          <w:szCs w:val="22"/>
        </w:rPr>
        <w:t xml:space="preserve">teurs concernés (DGA ; DPV </w:t>
      </w:r>
      <w:r w:rsidR="00426A7D" w:rsidRPr="00285890">
        <w:rPr>
          <w:rFonts w:ascii="Times" w:hAnsi="Times"/>
          <w:sz w:val="22"/>
          <w:szCs w:val="22"/>
        </w:rPr>
        <w:t>; etc.). Elle coordonnera le renforcement des capacités et la formation des agents en rapport avec le PF/DPV et celui des producteurs agricoles. Il assurera l'organisation de l'atelier de divulgation du manuel de bonnes pratiques et sa vulgarisation dans l</w:t>
      </w:r>
      <w:r w:rsidRPr="00285890">
        <w:rPr>
          <w:rFonts w:ascii="Times" w:hAnsi="Times"/>
          <w:sz w:val="22"/>
          <w:szCs w:val="22"/>
        </w:rPr>
        <w:t>es zones d'intervention du Projet PUSA</w:t>
      </w:r>
      <w:r w:rsidR="00426A7D" w:rsidRPr="00285890">
        <w:rPr>
          <w:rFonts w:ascii="Times" w:hAnsi="Times"/>
          <w:sz w:val="22"/>
          <w:szCs w:val="22"/>
        </w:rPr>
        <w:t>.</w:t>
      </w:r>
    </w:p>
    <w:p w:rsidR="00426A7D" w:rsidRPr="00285890" w:rsidRDefault="00426A7D" w:rsidP="00A76F4A">
      <w:pPr>
        <w:pStyle w:val="PargrafodaLista"/>
        <w:numPr>
          <w:ilvl w:val="0"/>
          <w:numId w:val="171"/>
        </w:numPr>
        <w:spacing w:after="0" w:line="240" w:lineRule="auto"/>
        <w:ind w:right="12"/>
        <w:jc w:val="both"/>
        <w:rPr>
          <w:rFonts w:ascii="Times" w:hAnsi="Times"/>
          <w:sz w:val="22"/>
          <w:szCs w:val="22"/>
        </w:rPr>
      </w:pPr>
      <w:r w:rsidRPr="00285890">
        <w:rPr>
          <w:rFonts w:ascii="Times" w:hAnsi="Times"/>
          <w:bCs/>
          <w:i/>
          <w:iCs/>
          <w:sz w:val="22"/>
          <w:szCs w:val="22"/>
        </w:rPr>
        <w:t xml:space="preserve">Le Service de la DPV: </w:t>
      </w:r>
      <w:r w:rsidRPr="00285890">
        <w:rPr>
          <w:rFonts w:ascii="Times" w:hAnsi="Times"/>
          <w:sz w:val="22"/>
          <w:szCs w:val="22"/>
        </w:rPr>
        <w:t>elle va assurer la formation des différents acteurs et participer au suivi</w:t>
      </w:r>
      <w:r w:rsidRPr="00285890">
        <w:rPr>
          <w:rFonts w:ascii="Times" w:hAnsi="Times"/>
          <w:bCs/>
          <w:i/>
          <w:iCs/>
          <w:sz w:val="22"/>
          <w:szCs w:val="22"/>
        </w:rPr>
        <w:t xml:space="preserve"> </w:t>
      </w:r>
      <w:r w:rsidR="00D740A3" w:rsidRPr="00285890">
        <w:rPr>
          <w:rFonts w:ascii="Times" w:hAnsi="Times"/>
          <w:sz w:val="22"/>
          <w:szCs w:val="22"/>
        </w:rPr>
        <w:t>de la mise en œuvre du PGP</w:t>
      </w:r>
      <w:r w:rsidRPr="00285890">
        <w:rPr>
          <w:rFonts w:ascii="Times" w:hAnsi="Times"/>
          <w:sz w:val="22"/>
          <w:szCs w:val="22"/>
        </w:rPr>
        <w:t xml:space="preserve"> et au renforcement des capacités de ses agents sur le terrain ; la </w:t>
      </w:r>
      <w:r w:rsidRPr="00285890">
        <w:rPr>
          <w:rFonts w:ascii="Times" w:hAnsi="Times"/>
          <w:bCs/>
          <w:i/>
          <w:iCs/>
          <w:sz w:val="22"/>
          <w:szCs w:val="22"/>
        </w:rPr>
        <w:t xml:space="preserve">DPV </w:t>
      </w:r>
      <w:r w:rsidRPr="00285890">
        <w:rPr>
          <w:rFonts w:ascii="Times" w:hAnsi="Times"/>
          <w:sz w:val="22"/>
          <w:szCs w:val="22"/>
        </w:rPr>
        <w:t>assurera le</w:t>
      </w:r>
      <w:r w:rsidRPr="00285890">
        <w:rPr>
          <w:rFonts w:ascii="Times" w:hAnsi="Times"/>
          <w:bCs/>
          <w:i/>
          <w:iCs/>
          <w:sz w:val="22"/>
          <w:szCs w:val="22"/>
        </w:rPr>
        <w:t xml:space="preserve"> </w:t>
      </w:r>
      <w:r w:rsidRPr="00285890">
        <w:rPr>
          <w:rFonts w:ascii="Times" w:hAnsi="Times"/>
          <w:sz w:val="22"/>
          <w:szCs w:val="22"/>
          <w:u w:val="single"/>
        </w:rPr>
        <w:t>suivi interne</w:t>
      </w:r>
      <w:r w:rsidRPr="00285890">
        <w:rPr>
          <w:rFonts w:ascii="Times" w:hAnsi="Times"/>
          <w:bCs/>
          <w:i/>
          <w:iCs/>
          <w:sz w:val="22"/>
          <w:szCs w:val="22"/>
        </w:rPr>
        <w:t xml:space="preserve"> </w:t>
      </w:r>
      <w:r w:rsidRPr="00285890">
        <w:rPr>
          <w:rFonts w:ascii="Times" w:hAnsi="Times"/>
          <w:sz w:val="22"/>
          <w:szCs w:val="22"/>
        </w:rPr>
        <w:t>de la mise en œuvre du volet «</w:t>
      </w:r>
      <w:r w:rsidRPr="00285890">
        <w:rPr>
          <w:rFonts w:ascii="Times" w:hAnsi="Times"/>
          <w:bCs/>
          <w:i/>
          <w:iCs/>
          <w:sz w:val="22"/>
          <w:szCs w:val="22"/>
        </w:rPr>
        <w:t xml:space="preserve"> </w:t>
      </w:r>
      <w:r w:rsidRPr="00285890">
        <w:rPr>
          <w:rFonts w:ascii="Times" w:hAnsi="Times"/>
          <w:sz w:val="22"/>
          <w:szCs w:val="22"/>
          <w:u w:val="single"/>
        </w:rPr>
        <w:t>environnement et santé</w:t>
      </w:r>
      <w:r w:rsidRPr="00285890">
        <w:rPr>
          <w:rFonts w:ascii="Times" w:hAnsi="Times"/>
          <w:bCs/>
          <w:i/>
          <w:iCs/>
          <w:sz w:val="22"/>
          <w:szCs w:val="22"/>
        </w:rPr>
        <w:t xml:space="preserve"> </w:t>
      </w:r>
      <w:r w:rsidRPr="00285890">
        <w:rPr>
          <w:rFonts w:ascii="Times" w:hAnsi="Times"/>
          <w:sz w:val="22"/>
          <w:szCs w:val="22"/>
        </w:rPr>
        <w:t>» du</w:t>
      </w:r>
      <w:r w:rsidRPr="00285890">
        <w:rPr>
          <w:rFonts w:ascii="Times" w:hAnsi="Times"/>
          <w:bCs/>
          <w:i/>
          <w:iCs/>
          <w:sz w:val="22"/>
          <w:szCs w:val="22"/>
        </w:rPr>
        <w:t xml:space="preserve"> </w:t>
      </w:r>
      <w:r w:rsidR="00D740A3" w:rsidRPr="00285890">
        <w:rPr>
          <w:rFonts w:ascii="Times" w:hAnsi="Times"/>
          <w:sz w:val="22"/>
          <w:szCs w:val="22"/>
        </w:rPr>
        <w:t>PGP</w:t>
      </w:r>
      <w:r w:rsidRPr="00285890">
        <w:rPr>
          <w:rFonts w:ascii="Times" w:hAnsi="Times"/>
          <w:sz w:val="22"/>
          <w:szCs w:val="22"/>
        </w:rPr>
        <w:t xml:space="preserve"> et établira régulièrement des ra</w:t>
      </w:r>
      <w:r w:rsidR="001D5734" w:rsidRPr="00285890">
        <w:rPr>
          <w:rFonts w:ascii="Times" w:hAnsi="Times"/>
          <w:sz w:val="22"/>
          <w:szCs w:val="22"/>
        </w:rPr>
        <w:t>pports à cet effet à l'UCP PUSA</w:t>
      </w:r>
      <w:r w:rsidRPr="00285890">
        <w:rPr>
          <w:rFonts w:ascii="Times" w:hAnsi="Times"/>
          <w:sz w:val="22"/>
          <w:szCs w:val="22"/>
        </w:rPr>
        <w:t>.</w:t>
      </w:r>
    </w:p>
    <w:p w:rsidR="00426A7D" w:rsidRPr="00285890" w:rsidRDefault="00426A7D" w:rsidP="00A76F4A">
      <w:pPr>
        <w:pStyle w:val="PargrafodaLista"/>
        <w:numPr>
          <w:ilvl w:val="0"/>
          <w:numId w:val="171"/>
        </w:numPr>
        <w:spacing w:after="0" w:line="240" w:lineRule="auto"/>
        <w:ind w:right="12"/>
        <w:jc w:val="both"/>
        <w:rPr>
          <w:rFonts w:ascii="Times" w:hAnsi="Times"/>
          <w:sz w:val="22"/>
          <w:szCs w:val="22"/>
        </w:rPr>
      </w:pPr>
      <w:r w:rsidRPr="00285890">
        <w:rPr>
          <w:rFonts w:ascii="Times" w:hAnsi="Times"/>
          <w:bCs/>
          <w:i/>
          <w:iCs/>
          <w:sz w:val="22"/>
          <w:szCs w:val="22"/>
        </w:rPr>
        <w:t xml:space="preserve">La DGE : </w:t>
      </w:r>
      <w:r w:rsidRPr="00285890">
        <w:rPr>
          <w:rFonts w:ascii="Times" w:hAnsi="Times"/>
          <w:sz w:val="22"/>
          <w:szCs w:val="22"/>
        </w:rPr>
        <w:t>Elle va assurera le</w:t>
      </w:r>
      <w:r w:rsidRPr="00285890">
        <w:rPr>
          <w:rFonts w:ascii="Times" w:hAnsi="Times"/>
          <w:bCs/>
          <w:i/>
          <w:iCs/>
          <w:sz w:val="22"/>
          <w:szCs w:val="22"/>
        </w:rPr>
        <w:t xml:space="preserve"> </w:t>
      </w:r>
      <w:r w:rsidRPr="00285890">
        <w:rPr>
          <w:rFonts w:ascii="Times" w:hAnsi="Times"/>
          <w:sz w:val="22"/>
          <w:szCs w:val="22"/>
          <w:u w:val="single"/>
        </w:rPr>
        <w:t>suivi externe</w:t>
      </w:r>
      <w:r w:rsidRPr="00285890">
        <w:rPr>
          <w:rFonts w:ascii="Times" w:hAnsi="Times"/>
          <w:bCs/>
          <w:i/>
          <w:iCs/>
          <w:sz w:val="22"/>
          <w:szCs w:val="22"/>
        </w:rPr>
        <w:t xml:space="preserve"> </w:t>
      </w:r>
      <w:r w:rsidRPr="00285890">
        <w:rPr>
          <w:rFonts w:ascii="Times" w:hAnsi="Times"/>
          <w:sz w:val="22"/>
          <w:szCs w:val="22"/>
        </w:rPr>
        <w:t>de la mise en œuvre du volet «</w:t>
      </w:r>
      <w:r w:rsidRPr="00285890">
        <w:rPr>
          <w:rFonts w:ascii="Times" w:hAnsi="Times"/>
          <w:bCs/>
          <w:i/>
          <w:iCs/>
          <w:sz w:val="22"/>
          <w:szCs w:val="22"/>
        </w:rPr>
        <w:t xml:space="preserve"> </w:t>
      </w:r>
      <w:r w:rsidRPr="00285890">
        <w:rPr>
          <w:rFonts w:ascii="Times" w:hAnsi="Times"/>
          <w:sz w:val="22"/>
          <w:szCs w:val="22"/>
          <w:u w:val="single"/>
        </w:rPr>
        <w:t>environnement</w:t>
      </w:r>
      <w:r w:rsidRPr="00285890">
        <w:rPr>
          <w:rFonts w:ascii="Times" w:hAnsi="Times"/>
          <w:bCs/>
          <w:i/>
          <w:iCs/>
          <w:sz w:val="22"/>
          <w:szCs w:val="22"/>
        </w:rPr>
        <w:t xml:space="preserve"> </w:t>
      </w:r>
      <w:r w:rsidRPr="00285890">
        <w:rPr>
          <w:rFonts w:ascii="Times" w:hAnsi="Times"/>
          <w:sz w:val="22"/>
          <w:szCs w:val="22"/>
        </w:rPr>
        <w:t>» de</w:t>
      </w:r>
      <w:r w:rsidRPr="00285890">
        <w:rPr>
          <w:rFonts w:ascii="Times" w:hAnsi="Times"/>
          <w:bCs/>
          <w:i/>
          <w:iCs/>
          <w:sz w:val="22"/>
          <w:szCs w:val="22"/>
        </w:rPr>
        <w:t xml:space="preserve"> </w:t>
      </w:r>
      <w:r w:rsidR="00D740A3" w:rsidRPr="00285890">
        <w:rPr>
          <w:rFonts w:ascii="Times" w:hAnsi="Times"/>
          <w:sz w:val="22"/>
          <w:szCs w:val="22"/>
        </w:rPr>
        <w:t>la mise en œuvre du PGP</w:t>
      </w:r>
      <w:r w:rsidRPr="00285890">
        <w:rPr>
          <w:rFonts w:ascii="Times" w:hAnsi="Times"/>
          <w:sz w:val="22"/>
          <w:szCs w:val="22"/>
        </w:rPr>
        <w:t xml:space="preserve"> ;</w:t>
      </w:r>
    </w:p>
    <w:p w:rsidR="00426A7D" w:rsidRPr="00285890" w:rsidRDefault="00426A7D" w:rsidP="00A76F4A">
      <w:pPr>
        <w:pStyle w:val="PargrafodaLista"/>
        <w:numPr>
          <w:ilvl w:val="0"/>
          <w:numId w:val="171"/>
        </w:numPr>
        <w:spacing w:after="0" w:line="240" w:lineRule="auto"/>
        <w:ind w:right="12"/>
        <w:jc w:val="both"/>
        <w:rPr>
          <w:rFonts w:ascii="Times" w:hAnsi="Times"/>
          <w:sz w:val="22"/>
          <w:szCs w:val="22"/>
        </w:rPr>
      </w:pPr>
      <w:r w:rsidRPr="00285890">
        <w:rPr>
          <w:rFonts w:ascii="Times" w:hAnsi="Times"/>
          <w:bCs/>
          <w:i/>
          <w:iCs/>
          <w:sz w:val="22"/>
          <w:szCs w:val="22"/>
        </w:rPr>
        <w:t xml:space="preserve">Les Organisation de Producteurs Agricoles : </w:t>
      </w:r>
      <w:r w:rsidRPr="00285890">
        <w:rPr>
          <w:rFonts w:ascii="Times" w:hAnsi="Times"/>
          <w:sz w:val="22"/>
          <w:szCs w:val="22"/>
        </w:rPr>
        <w:t>Elles doivent disposer et appliquer les</w:t>
      </w:r>
      <w:r w:rsidRPr="00285890">
        <w:rPr>
          <w:rFonts w:ascii="Times" w:hAnsi="Times"/>
          <w:bCs/>
          <w:i/>
          <w:iCs/>
          <w:sz w:val="22"/>
          <w:szCs w:val="22"/>
        </w:rPr>
        <w:t xml:space="preserve"> </w:t>
      </w:r>
      <w:r w:rsidRPr="00285890">
        <w:rPr>
          <w:rFonts w:ascii="Times" w:hAnsi="Times"/>
          <w:sz w:val="22"/>
          <w:szCs w:val="22"/>
        </w:rPr>
        <w:t>procédures et les bonnes pratiques environnementales en matière d’utilisation et de gestion écologique et sécurisée des pesticides ;</w:t>
      </w:r>
    </w:p>
    <w:p w:rsidR="00426A7D" w:rsidRPr="00285890" w:rsidRDefault="00426A7D" w:rsidP="00A76F4A">
      <w:pPr>
        <w:pStyle w:val="PargrafodaLista"/>
        <w:numPr>
          <w:ilvl w:val="0"/>
          <w:numId w:val="171"/>
        </w:numPr>
        <w:spacing w:after="0" w:line="240" w:lineRule="auto"/>
        <w:ind w:right="12"/>
        <w:jc w:val="both"/>
        <w:rPr>
          <w:rFonts w:ascii="Times" w:hAnsi="Times"/>
          <w:sz w:val="22"/>
          <w:szCs w:val="22"/>
        </w:rPr>
      </w:pPr>
      <w:r w:rsidRPr="00285890">
        <w:rPr>
          <w:rFonts w:ascii="Times" w:hAnsi="Times"/>
          <w:bCs/>
          <w:i/>
          <w:iCs/>
          <w:sz w:val="22"/>
          <w:szCs w:val="22"/>
        </w:rPr>
        <w:t xml:space="preserve">Les collectivités </w:t>
      </w:r>
      <w:r w:rsidR="001D5734" w:rsidRPr="00285890">
        <w:rPr>
          <w:rFonts w:ascii="Times" w:hAnsi="Times"/>
          <w:bCs/>
          <w:i/>
          <w:iCs/>
          <w:sz w:val="22"/>
          <w:szCs w:val="22"/>
        </w:rPr>
        <w:t>locales :</w:t>
      </w:r>
      <w:r w:rsidRPr="00285890">
        <w:rPr>
          <w:rFonts w:ascii="Times" w:hAnsi="Times"/>
          <w:bCs/>
          <w:i/>
          <w:iCs/>
          <w:sz w:val="22"/>
          <w:szCs w:val="22"/>
        </w:rPr>
        <w:t xml:space="preserve"> </w:t>
      </w:r>
      <w:r w:rsidRPr="00285890">
        <w:rPr>
          <w:rFonts w:ascii="Times" w:hAnsi="Times"/>
          <w:sz w:val="22"/>
          <w:szCs w:val="22"/>
        </w:rPr>
        <w:t>elles participeront à la sensibilisation des populations, aux activités</w:t>
      </w:r>
      <w:r w:rsidRPr="00285890">
        <w:rPr>
          <w:rFonts w:ascii="Times" w:hAnsi="Times"/>
          <w:bCs/>
          <w:i/>
          <w:iCs/>
          <w:sz w:val="22"/>
          <w:szCs w:val="22"/>
        </w:rPr>
        <w:t xml:space="preserve"> </w:t>
      </w:r>
      <w:r w:rsidRPr="00285890">
        <w:rPr>
          <w:rFonts w:ascii="Times" w:hAnsi="Times"/>
          <w:sz w:val="22"/>
          <w:szCs w:val="22"/>
        </w:rPr>
        <w:t>de mobilisation sociale. Elles participeront aussi à la supervision et au suivi externe de la mise en œuvre des mesures p</w:t>
      </w:r>
      <w:r w:rsidR="00D740A3" w:rsidRPr="00285890">
        <w:rPr>
          <w:rFonts w:ascii="Times" w:hAnsi="Times"/>
          <w:sz w:val="22"/>
          <w:szCs w:val="22"/>
        </w:rPr>
        <w:t>réconisées dans le cadre du PGP</w:t>
      </w:r>
      <w:r w:rsidRPr="00285890">
        <w:rPr>
          <w:rFonts w:ascii="Times" w:hAnsi="Times"/>
          <w:sz w:val="22"/>
          <w:szCs w:val="22"/>
        </w:rPr>
        <w:t xml:space="preserve"> ;</w:t>
      </w:r>
    </w:p>
    <w:p w:rsidR="00426A7D" w:rsidRPr="00285890" w:rsidRDefault="00426A7D" w:rsidP="00A76F4A">
      <w:pPr>
        <w:numPr>
          <w:ilvl w:val="0"/>
          <w:numId w:val="171"/>
        </w:numPr>
        <w:ind w:right="12"/>
        <w:jc w:val="both"/>
        <w:rPr>
          <w:rFonts w:ascii="Times" w:hAnsi="Times"/>
          <w:sz w:val="22"/>
          <w:szCs w:val="22"/>
        </w:rPr>
      </w:pPr>
      <w:r w:rsidRPr="00285890">
        <w:rPr>
          <w:rFonts w:ascii="Times" w:hAnsi="Times"/>
          <w:bCs/>
          <w:i/>
          <w:iCs/>
          <w:sz w:val="22"/>
          <w:szCs w:val="22"/>
        </w:rPr>
        <w:t xml:space="preserve">Les ONG et la Société civile : </w:t>
      </w:r>
      <w:r w:rsidRPr="00285890">
        <w:rPr>
          <w:rFonts w:ascii="Times" w:hAnsi="Times"/>
          <w:sz w:val="22"/>
          <w:szCs w:val="22"/>
        </w:rPr>
        <w:t>Les ONG, OCB et autres organisations environnementales de</w:t>
      </w:r>
      <w:r w:rsidRPr="00285890">
        <w:rPr>
          <w:rFonts w:ascii="Times" w:hAnsi="Times"/>
          <w:bCs/>
          <w:i/>
          <w:iCs/>
          <w:sz w:val="22"/>
          <w:szCs w:val="22"/>
        </w:rPr>
        <w:t xml:space="preserve"> </w:t>
      </w:r>
      <w:r w:rsidRPr="00285890">
        <w:rPr>
          <w:rFonts w:ascii="Times" w:hAnsi="Times"/>
          <w:sz w:val="22"/>
          <w:szCs w:val="22"/>
        </w:rPr>
        <w:t>société civile pourront aussi participer à informer, éduquer et conscientiser les producteurs agricoles et les populations sur les aspects environnementaux et sociaux liés à la mise en</w:t>
      </w:r>
      <w:r w:rsidR="001D5734" w:rsidRPr="00285890">
        <w:rPr>
          <w:rFonts w:ascii="Times" w:hAnsi="Times"/>
          <w:sz w:val="22"/>
          <w:szCs w:val="22"/>
        </w:rPr>
        <w:t xml:space="preserve"> </w:t>
      </w:r>
      <w:r w:rsidR="00575B0A" w:rsidRPr="00285890">
        <w:rPr>
          <w:rFonts w:ascii="Times" w:hAnsi="Times"/>
          <w:sz w:val="22"/>
          <w:szCs w:val="22"/>
        </w:rPr>
        <w:t>œuvre du PGP</w:t>
      </w:r>
      <w:r w:rsidRPr="00285890">
        <w:rPr>
          <w:rFonts w:ascii="Times" w:hAnsi="Times"/>
          <w:sz w:val="22"/>
          <w:szCs w:val="22"/>
        </w:rPr>
        <w:t>, mais aussi au suivi de la mise en œuvre et à la surveillance de l’environnement.</w:t>
      </w:r>
    </w:p>
    <w:p w:rsidR="00563079" w:rsidRDefault="00426A7D" w:rsidP="00A76F4A">
      <w:pPr>
        <w:ind w:right="12"/>
        <w:jc w:val="both"/>
        <w:rPr>
          <w:b/>
        </w:rPr>
      </w:pPr>
      <w:r w:rsidRPr="00426A7D">
        <w:rPr>
          <w:b/>
          <w:noProof/>
          <w:lang w:val="pt-PT" w:eastAsia="pt-PT"/>
        </w:rPr>
        <w:drawing>
          <wp:anchor distT="0" distB="0" distL="114300" distR="114300" simplePos="0" relativeHeight="251658317" behindDoc="1" locked="0" layoutInCell="0" allowOverlap="1" wp14:anchorId="40D0981D" wp14:editId="1D685C4A">
            <wp:simplePos x="0" y="0"/>
            <wp:positionH relativeFrom="column">
              <wp:posOffset>5755005</wp:posOffset>
            </wp:positionH>
            <wp:positionV relativeFrom="paragraph">
              <wp:posOffset>3569970</wp:posOffset>
            </wp:positionV>
            <wp:extent cx="387350" cy="2933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387350" cy="293370"/>
                    </a:xfrm>
                    <a:prstGeom prst="rect">
                      <a:avLst/>
                    </a:prstGeom>
                    <a:noFill/>
                  </pic:spPr>
                </pic:pic>
              </a:graphicData>
            </a:graphic>
          </wp:anchor>
        </w:drawing>
      </w:r>
    </w:p>
    <w:p w:rsidR="00570C36" w:rsidRPr="00F77A94" w:rsidRDefault="00570C36" w:rsidP="00720117">
      <w:pPr>
        <w:ind w:right="12"/>
        <w:jc w:val="center"/>
        <w:rPr>
          <w:b/>
        </w:rPr>
      </w:pPr>
      <w:r w:rsidRPr="00F77A94">
        <w:rPr>
          <w:b/>
        </w:rPr>
        <w:t xml:space="preserve">La mise en œuvre du suivi et coût </w:t>
      </w:r>
      <w:r w:rsidR="008D0A6E" w:rsidRPr="00F77A94">
        <w:rPr>
          <w:b/>
        </w:rPr>
        <w:t>des activités proposées</w:t>
      </w:r>
    </w:p>
    <w:p w:rsidR="00570C36" w:rsidRPr="00F77A94" w:rsidRDefault="00570C36" w:rsidP="00A76F4A">
      <w:pPr>
        <w:ind w:right="12"/>
        <w:jc w:val="both"/>
      </w:pPr>
    </w:p>
    <w:tbl>
      <w:tblPr>
        <w:tblW w:w="10622" w:type="dxa"/>
        <w:jc w:val="center"/>
        <w:tblLayout w:type="fixed"/>
        <w:tblCellMar>
          <w:left w:w="0" w:type="dxa"/>
          <w:right w:w="0" w:type="dxa"/>
        </w:tblCellMar>
        <w:tblLook w:val="04A0" w:firstRow="1" w:lastRow="0" w:firstColumn="1" w:lastColumn="0" w:noHBand="0" w:noVBand="1"/>
      </w:tblPr>
      <w:tblGrid>
        <w:gridCol w:w="1120"/>
        <w:gridCol w:w="2698"/>
        <w:gridCol w:w="1042"/>
        <w:gridCol w:w="1120"/>
        <w:gridCol w:w="720"/>
        <w:gridCol w:w="1280"/>
        <w:gridCol w:w="2642"/>
      </w:tblGrid>
      <w:tr w:rsidR="00AD7BEE" w:rsidTr="00252B4C">
        <w:trPr>
          <w:trHeight w:val="284"/>
          <w:jc w:val="center"/>
        </w:trPr>
        <w:tc>
          <w:tcPr>
            <w:tcW w:w="1120" w:type="dxa"/>
            <w:tcBorders>
              <w:top w:val="single" w:sz="8" w:space="0" w:color="auto"/>
              <w:left w:val="single" w:sz="8" w:space="0" w:color="auto"/>
            </w:tcBorders>
            <w:vAlign w:val="bottom"/>
          </w:tcPr>
          <w:p w:rsidR="00AD7BEE" w:rsidRDefault="00AD7BEE" w:rsidP="00A76F4A">
            <w:pPr>
              <w:ind w:left="80" w:right="12"/>
              <w:rPr>
                <w:sz w:val="20"/>
                <w:szCs w:val="20"/>
              </w:rPr>
            </w:pPr>
            <w:r>
              <w:rPr>
                <w:rFonts w:eastAsia="Times New Roman"/>
                <w:b/>
                <w:bCs/>
                <w:sz w:val="20"/>
                <w:szCs w:val="20"/>
              </w:rPr>
              <w:t>Détail</w:t>
            </w:r>
          </w:p>
        </w:tc>
        <w:tc>
          <w:tcPr>
            <w:tcW w:w="2698" w:type="dxa"/>
            <w:tcBorders>
              <w:top w:val="single" w:sz="8" w:space="0" w:color="auto"/>
              <w:right w:val="single" w:sz="8" w:space="0" w:color="auto"/>
            </w:tcBorders>
            <w:vAlign w:val="bottom"/>
          </w:tcPr>
          <w:p w:rsidR="00AD7BEE" w:rsidRDefault="00AD7BEE" w:rsidP="00A76F4A">
            <w:pPr>
              <w:ind w:right="12"/>
            </w:pPr>
          </w:p>
        </w:tc>
        <w:tc>
          <w:tcPr>
            <w:tcW w:w="1042" w:type="dxa"/>
            <w:tcBorders>
              <w:top w:val="single" w:sz="8" w:space="0" w:color="auto"/>
              <w:right w:val="single" w:sz="8" w:space="0" w:color="auto"/>
            </w:tcBorders>
            <w:vAlign w:val="bottom"/>
          </w:tcPr>
          <w:p w:rsidR="00AD7BEE" w:rsidRDefault="00AD7BEE" w:rsidP="00A76F4A">
            <w:pPr>
              <w:ind w:left="60" w:right="12"/>
              <w:rPr>
                <w:sz w:val="20"/>
                <w:szCs w:val="20"/>
              </w:rPr>
            </w:pPr>
            <w:r>
              <w:rPr>
                <w:rFonts w:eastAsia="Times New Roman"/>
                <w:b/>
                <w:bCs/>
                <w:sz w:val="20"/>
                <w:szCs w:val="20"/>
              </w:rPr>
              <w:t>Unité</w:t>
            </w:r>
          </w:p>
        </w:tc>
        <w:tc>
          <w:tcPr>
            <w:tcW w:w="1120" w:type="dxa"/>
            <w:tcBorders>
              <w:top w:val="single" w:sz="8" w:space="0" w:color="auto"/>
              <w:right w:val="single" w:sz="8" w:space="0" w:color="auto"/>
            </w:tcBorders>
            <w:vAlign w:val="bottom"/>
          </w:tcPr>
          <w:p w:rsidR="00AD7BEE" w:rsidRDefault="00AD7BEE" w:rsidP="00A76F4A">
            <w:pPr>
              <w:ind w:left="40" w:right="12"/>
              <w:rPr>
                <w:sz w:val="20"/>
                <w:szCs w:val="20"/>
              </w:rPr>
            </w:pPr>
            <w:r>
              <w:rPr>
                <w:rFonts w:eastAsia="Times New Roman"/>
                <w:b/>
                <w:bCs/>
                <w:sz w:val="20"/>
                <w:szCs w:val="20"/>
              </w:rPr>
              <w:t>Quantité</w:t>
            </w:r>
          </w:p>
        </w:tc>
        <w:tc>
          <w:tcPr>
            <w:tcW w:w="720" w:type="dxa"/>
            <w:tcBorders>
              <w:top w:val="single" w:sz="8" w:space="0" w:color="auto"/>
              <w:right w:val="single" w:sz="8" w:space="0" w:color="auto"/>
            </w:tcBorders>
            <w:vAlign w:val="bottom"/>
          </w:tcPr>
          <w:p w:rsidR="00AD7BEE" w:rsidRDefault="00AD7BEE" w:rsidP="00A76F4A">
            <w:pPr>
              <w:ind w:left="60" w:right="12"/>
              <w:rPr>
                <w:sz w:val="20"/>
                <w:szCs w:val="20"/>
              </w:rPr>
            </w:pPr>
            <w:r>
              <w:rPr>
                <w:rFonts w:eastAsia="Times New Roman"/>
                <w:b/>
                <w:bCs/>
                <w:sz w:val="20"/>
                <w:szCs w:val="20"/>
              </w:rPr>
              <w:t>PU</w:t>
            </w:r>
          </w:p>
        </w:tc>
        <w:tc>
          <w:tcPr>
            <w:tcW w:w="1280" w:type="dxa"/>
            <w:tcBorders>
              <w:top w:val="single" w:sz="8" w:space="0" w:color="auto"/>
              <w:right w:val="single" w:sz="8" w:space="0" w:color="auto"/>
            </w:tcBorders>
            <w:vAlign w:val="bottom"/>
          </w:tcPr>
          <w:p w:rsidR="00AD7BEE" w:rsidRDefault="00AD7BEE" w:rsidP="00A76F4A">
            <w:pPr>
              <w:ind w:right="12"/>
              <w:jc w:val="center"/>
              <w:rPr>
                <w:sz w:val="20"/>
                <w:szCs w:val="20"/>
              </w:rPr>
            </w:pPr>
            <w:r>
              <w:rPr>
                <w:rFonts w:eastAsia="Times New Roman"/>
                <w:b/>
                <w:bCs/>
                <w:sz w:val="20"/>
                <w:szCs w:val="20"/>
              </w:rPr>
              <w:t>Total (USD)</w:t>
            </w:r>
          </w:p>
        </w:tc>
        <w:tc>
          <w:tcPr>
            <w:tcW w:w="2642" w:type="dxa"/>
            <w:tcBorders>
              <w:top w:val="single" w:sz="8" w:space="0" w:color="auto"/>
              <w:right w:val="single" w:sz="8" w:space="0" w:color="auto"/>
            </w:tcBorders>
            <w:vAlign w:val="bottom"/>
          </w:tcPr>
          <w:p w:rsidR="00AD7BEE" w:rsidRDefault="00AD7BEE" w:rsidP="00A76F4A">
            <w:pPr>
              <w:ind w:left="480" w:right="12"/>
              <w:rPr>
                <w:sz w:val="20"/>
                <w:szCs w:val="20"/>
              </w:rPr>
            </w:pPr>
            <w:r>
              <w:rPr>
                <w:rFonts w:eastAsia="Times New Roman"/>
                <w:b/>
                <w:bCs/>
                <w:sz w:val="20"/>
                <w:szCs w:val="20"/>
              </w:rPr>
              <w:t>Imputation</w:t>
            </w:r>
          </w:p>
        </w:tc>
      </w:tr>
      <w:tr w:rsidR="00AD7BEE" w:rsidTr="00252B4C">
        <w:trPr>
          <w:trHeight w:val="52"/>
          <w:jc w:val="center"/>
        </w:trPr>
        <w:tc>
          <w:tcPr>
            <w:tcW w:w="1120" w:type="dxa"/>
            <w:tcBorders>
              <w:left w:val="single" w:sz="8" w:space="0" w:color="auto"/>
              <w:bottom w:val="single" w:sz="8" w:space="0" w:color="auto"/>
            </w:tcBorders>
            <w:vAlign w:val="bottom"/>
          </w:tcPr>
          <w:p w:rsidR="00AD7BEE" w:rsidRDefault="00AD7BEE" w:rsidP="00A76F4A">
            <w:pPr>
              <w:ind w:right="12"/>
              <w:rPr>
                <w:sz w:val="4"/>
                <w:szCs w:val="4"/>
              </w:rPr>
            </w:pPr>
          </w:p>
        </w:tc>
        <w:tc>
          <w:tcPr>
            <w:tcW w:w="2698" w:type="dxa"/>
            <w:tcBorders>
              <w:bottom w:val="single" w:sz="8" w:space="0" w:color="auto"/>
              <w:right w:val="single" w:sz="8" w:space="0" w:color="auto"/>
            </w:tcBorders>
            <w:vAlign w:val="bottom"/>
          </w:tcPr>
          <w:p w:rsidR="00AD7BEE" w:rsidRDefault="00AD7BEE" w:rsidP="00A76F4A">
            <w:pPr>
              <w:ind w:right="12"/>
              <w:rPr>
                <w:sz w:val="4"/>
                <w:szCs w:val="4"/>
              </w:rPr>
            </w:pPr>
          </w:p>
        </w:tc>
        <w:tc>
          <w:tcPr>
            <w:tcW w:w="1042" w:type="dxa"/>
            <w:tcBorders>
              <w:bottom w:val="single" w:sz="8" w:space="0" w:color="auto"/>
              <w:right w:val="single" w:sz="8" w:space="0" w:color="auto"/>
            </w:tcBorders>
            <w:vAlign w:val="bottom"/>
          </w:tcPr>
          <w:p w:rsidR="00AD7BEE" w:rsidRDefault="00AD7BEE" w:rsidP="00A76F4A">
            <w:pPr>
              <w:ind w:right="12"/>
              <w:rPr>
                <w:sz w:val="4"/>
                <w:szCs w:val="4"/>
              </w:rPr>
            </w:pPr>
          </w:p>
        </w:tc>
        <w:tc>
          <w:tcPr>
            <w:tcW w:w="1120" w:type="dxa"/>
            <w:tcBorders>
              <w:bottom w:val="single" w:sz="8" w:space="0" w:color="auto"/>
              <w:right w:val="single" w:sz="8" w:space="0" w:color="auto"/>
            </w:tcBorders>
            <w:vAlign w:val="bottom"/>
          </w:tcPr>
          <w:p w:rsidR="00AD7BEE" w:rsidRDefault="00AD7BEE" w:rsidP="00A76F4A">
            <w:pPr>
              <w:ind w:right="12"/>
              <w:rPr>
                <w:sz w:val="4"/>
                <w:szCs w:val="4"/>
              </w:rPr>
            </w:pPr>
          </w:p>
        </w:tc>
        <w:tc>
          <w:tcPr>
            <w:tcW w:w="720" w:type="dxa"/>
            <w:tcBorders>
              <w:bottom w:val="single" w:sz="8" w:space="0" w:color="auto"/>
              <w:right w:val="single" w:sz="8" w:space="0" w:color="auto"/>
            </w:tcBorders>
            <w:vAlign w:val="bottom"/>
          </w:tcPr>
          <w:p w:rsidR="00AD7BEE" w:rsidRDefault="00AD7BEE" w:rsidP="00A76F4A">
            <w:pPr>
              <w:ind w:right="12"/>
              <w:rPr>
                <w:sz w:val="4"/>
                <w:szCs w:val="4"/>
              </w:rPr>
            </w:pPr>
          </w:p>
        </w:tc>
        <w:tc>
          <w:tcPr>
            <w:tcW w:w="1280" w:type="dxa"/>
            <w:tcBorders>
              <w:bottom w:val="single" w:sz="8" w:space="0" w:color="auto"/>
              <w:right w:val="single" w:sz="8" w:space="0" w:color="auto"/>
            </w:tcBorders>
            <w:vAlign w:val="bottom"/>
          </w:tcPr>
          <w:p w:rsidR="00AD7BEE" w:rsidRDefault="00AD7BEE" w:rsidP="00A76F4A">
            <w:pPr>
              <w:ind w:right="12"/>
              <w:rPr>
                <w:sz w:val="4"/>
                <w:szCs w:val="4"/>
              </w:rPr>
            </w:pPr>
          </w:p>
        </w:tc>
        <w:tc>
          <w:tcPr>
            <w:tcW w:w="2642" w:type="dxa"/>
            <w:tcBorders>
              <w:bottom w:val="single" w:sz="8" w:space="0" w:color="auto"/>
              <w:right w:val="single" w:sz="8" w:space="0" w:color="auto"/>
            </w:tcBorders>
            <w:vAlign w:val="bottom"/>
          </w:tcPr>
          <w:p w:rsidR="00AD7BEE" w:rsidRDefault="00AD7BEE" w:rsidP="00A76F4A">
            <w:pPr>
              <w:ind w:right="12"/>
              <w:rPr>
                <w:sz w:val="4"/>
                <w:szCs w:val="4"/>
              </w:rPr>
            </w:pPr>
          </w:p>
        </w:tc>
      </w:tr>
      <w:tr w:rsidR="00AA5066" w:rsidTr="00252B4C">
        <w:trPr>
          <w:trHeight w:val="212"/>
          <w:jc w:val="center"/>
        </w:trPr>
        <w:tc>
          <w:tcPr>
            <w:tcW w:w="1120" w:type="dxa"/>
            <w:tcBorders>
              <w:left w:val="single" w:sz="8" w:space="0" w:color="auto"/>
            </w:tcBorders>
            <w:vAlign w:val="bottom"/>
          </w:tcPr>
          <w:p w:rsidR="00AA5066" w:rsidRDefault="00AA5066" w:rsidP="00A76F4A">
            <w:pPr>
              <w:spacing w:line="211" w:lineRule="exact"/>
              <w:ind w:left="80" w:right="12"/>
              <w:rPr>
                <w:sz w:val="20"/>
                <w:szCs w:val="20"/>
              </w:rPr>
            </w:pPr>
            <w:r>
              <w:rPr>
                <w:rFonts w:eastAsia="Times New Roman"/>
                <w:sz w:val="20"/>
                <w:szCs w:val="20"/>
              </w:rPr>
              <w:lastRenderedPageBreak/>
              <w:t>Produits</w:t>
            </w:r>
          </w:p>
        </w:tc>
        <w:tc>
          <w:tcPr>
            <w:tcW w:w="2698" w:type="dxa"/>
            <w:vMerge w:val="restart"/>
            <w:tcBorders>
              <w:right w:val="single" w:sz="8" w:space="0" w:color="auto"/>
            </w:tcBorders>
            <w:vAlign w:val="bottom"/>
          </w:tcPr>
          <w:p w:rsidR="00AA5066" w:rsidRDefault="00AA5066" w:rsidP="00A76F4A">
            <w:pPr>
              <w:ind w:right="12"/>
              <w:rPr>
                <w:sz w:val="18"/>
                <w:szCs w:val="18"/>
              </w:rPr>
            </w:pPr>
          </w:p>
        </w:tc>
        <w:tc>
          <w:tcPr>
            <w:tcW w:w="1042" w:type="dxa"/>
            <w:vMerge w:val="restart"/>
            <w:tcBorders>
              <w:right w:val="single" w:sz="8" w:space="0" w:color="auto"/>
            </w:tcBorders>
            <w:vAlign w:val="bottom"/>
          </w:tcPr>
          <w:p w:rsidR="00AA5066" w:rsidRDefault="00AA5066" w:rsidP="00A76F4A">
            <w:pPr>
              <w:ind w:right="12"/>
              <w:rPr>
                <w:sz w:val="18"/>
                <w:szCs w:val="18"/>
              </w:rPr>
            </w:pPr>
          </w:p>
        </w:tc>
        <w:tc>
          <w:tcPr>
            <w:tcW w:w="1120" w:type="dxa"/>
            <w:vMerge w:val="restart"/>
            <w:tcBorders>
              <w:right w:val="single" w:sz="8" w:space="0" w:color="auto"/>
            </w:tcBorders>
            <w:vAlign w:val="bottom"/>
          </w:tcPr>
          <w:p w:rsidR="00AA5066" w:rsidRDefault="00AA5066" w:rsidP="00A76F4A">
            <w:pPr>
              <w:ind w:right="12"/>
              <w:rPr>
                <w:sz w:val="18"/>
                <w:szCs w:val="18"/>
              </w:rPr>
            </w:pPr>
          </w:p>
        </w:tc>
        <w:tc>
          <w:tcPr>
            <w:tcW w:w="720" w:type="dxa"/>
            <w:vMerge w:val="restart"/>
            <w:tcBorders>
              <w:right w:val="single" w:sz="8" w:space="0" w:color="auto"/>
            </w:tcBorders>
            <w:vAlign w:val="bottom"/>
          </w:tcPr>
          <w:p w:rsidR="00AA5066" w:rsidRDefault="00AA5066" w:rsidP="00A76F4A">
            <w:pPr>
              <w:ind w:right="12"/>
              <w:rPr>
                <w:sz w:val="18"/>
                <w:szCs w:val="18"/>
              </w:rPr>
            </w:pPr>
          </w:p>
        </w:tc>
        <w:tc>
          <w:tcPr>
            <w:tcW w:w="1280" w:type="dxa"/>
            <w:vMerge w:val="restart"/>
            <w:tcBorders>
              <w:right w:val="single" w:sz="8" w:space="0" w:color="auto"/>
            </w:tcBorders>
            <w:vAlign w:val="bottom"/>
          </w:tcPr>
          <w:p w:rsidR="00AA5066" w:rsidRDefault="00AA5066" w:rsidP="00A76F4A">
            <w:pPr>
              <w:spacing w:line="211" w:lineRule="exact"/>
              <w:ind w:right="12"/>
              <w:jc w:val="center"/>
              <w:rPr>
                <w:sz w:val="20"/>
                <w:szCs w:val="20"/>
              </w:rPr>
            </w:pPr>
            <w:r>
              <w:rPr>
                <w:rFonts w:eastAsia="Times New Roman"/>
                <w:w w:val="96"/>
                <w:sz w:val="20"/>
                <w:szCs w:val="20"/>
              </w:rPr>
              <w:t>PM</w:t>
            </w:r>
          </w:p>
        </w:tc>
        <w:tc>
          <w:tcPr>
            <w:tcW w:w="2642" w:type="dxa"/>
            <w:vMerge w:val="restart"/>
            <w:tcBorders>
              <w:right w:val="single" w:sz="8" w:space="0" w:color="auto"/>
            </w:tcBorders>
            <w:vAlign w:val="bottom"/>
          </w:tcPr>
          <w:p w:rsidR="00AA5066" w:rsidRDefault="00AA5066" w:rsidP="00A76F4A">
            <w:pPr>
              <w:spacing w:line="211" w:lineRule="exact"/>
              <w:ind w:left="40" w:right="12"/>
              <w:rPr>
                <w:sz w:val="20"/>
                <w:szCs w:val="20"/>
              </w:rPr>
            </w:pPr>
            <w:r>
              <w:rPr>
                <w:rFonts w:eastAsia="Times New Roman"/>
                <w:sz w:val="20"/>
                <w:szCs w:val="20"/>
              </w:rPr>
              <w:t>Inclus dans le projet PUSA</w:t>
            </w:r>
          </w:p>
        </w:tc>
      </w:tr>
      <w:tr w:rsidR="00AA5066" w:rsidTr="00252B4C">
        <w:trPr>
          <w:trHeight w:val="77"/>
          <w:jc w:val="center"/>
        </w:trPr>
        <w:tc>
          <w:tcPr>
            <w:tcW w:w="1120" w:type="dxa"/>
            <w:tcBorders>
              <w:left w:val="single" w:sz="8" w:space="0" w:color="auto"/>
              <w:bottom w:val="single" w:sz="8" w:space="0" w:color="auto"/>
            </w:tcBorders>
            <w:vAlign w:val="bottom"/>
          </w:tcPr>
          <w:p w:rsidR="00AA5066" w:rsidRDefault="00AA5066" w:rsidP="00A76F4A">
            <w:pPr>
              <w:ind w:right="12"/>
              <w:rPr>
                <w:sz w:val="20"/>
                <w:szCs w:val="20"/>
              </w:rPr>
            </w:pPr>
          </w:p>
        </w:tc>
        <w:tc>
          <w:tcPr>
            <w:tcW w:w="2698" w:type="dxa"/>
            <w:vMerge/>
            <w:tcBorders>
              <w:bottom w:val="single" w:sz="8" w:space="0" w:color="auto"/>
              <w:right w:val="single" w:sz="8" w:space="0" w:color="auto"/>
            </w:tcBorders>
            <w:vAlign w:val="bottom"/>
          </w:tcPr>
          <w:p w:rsidR="00AA5066" w:rsidRDefault="00AA5066" w:rsidP="00A76F4A">
            <w:pPr>
              <w:ind w:right="12"/>
              <w:rPr>
                <w:sz w:val="20"/>
                <w:szCs w:val="20"/>
              </w:rPr>
            </w:pPr>
          </w:p>
        </w:tc>
        <w:tc>
          <w:tcPr>
            <w:tcW w:w="1042" w:type="dxa"/>
            <w:vMerge/>
            <w:tcBorders>
              <w:bottom w:val="single" w:sz="8" w:space="0" w:color="auto"/>
              <w:right w:val="single" w:sz="8" w:space="0" w:color="auto"/>
            </w:tcBorders>
            <w:vAlign w:val="bottom"/>
          </w:tcPr>
          <w:p w:rsidR="00AA5066" w:rsidRDefault="00AA5066" w:rsidP="00A76F4A">
            <w:pPr>
              <w:ind w:right="12"/>
              <w:rPr>
                <w:sz w:val="20"/>
                <w:szCs w:val="20"/>
              </w:rPr>
            </w:pPr>
          </w:p>
        </w:tc>
        <w:tc>
          <w:tcPr>
            <w:tcW w:w="1120" w:type="dxa"/>
            <w:vMerge/>
            <w:tcBorders>
              <w:bottom w:val="single" w:sz="8" w:space="0" w:color="auto"/>
              <w:right w:val="single" w:sz="8" w:space="0" w:color="auto"/>
            </w:tcBorders>
            <w:vAlign w:val="bottom"/>
          </w:tcPr>
          <w:p w:rsidR="00AA5066" w:rsidRDefault="00AA5066" w:rsidP="00A76F4A">
            <w:pPr>
              <w:ind w:right="12"/>
              <w:rPr>
                <w:sz w:val="20"/>
                <w:szCs w:val="20"/>
              </w:rPr>
            </w:pPr>
          </w:p>
        </w:tc>
        <w:tc>
          <w:tcPr>
            <w:tcW w:w="720" w:type="dxa"/>
            <w:vMerge/>
            <w:tcBorders>
              <w:bottom w:val="single" w:sz="8" w:space="0" w:color="auto"/>
              <w:right w:val="single" w:sz="8" w:space="0" w:color="auto"/>
            </w:tcBorders>
            <w:vAlign w:val="bottom"/>
          </w:tcPr>
          <w:p w:rsidR="00AA5066" w:rsidRDefault="00AA5066" w:rsidP="00A76F4A">
            <w:pPr>
              <w:ind w:right="12"/>
              <w:rPr>
                <w:sz w:val="20"/>
                <w:szCs w:val="20"/>
              </w:rPr>
            </w:pPr>
          </w:p>
        </w:tc>
        <w:tc>
          <w:tcPr>
            <w:tcW w:w="1280" w:type="dxa"/>
            <w:vMerge/>
            <w:tcBorders>
              <w:bottom w:val="single" w:sz="8" w:space="0" w:color="auto"/>
              <w:right w:val="single" w:sz="8" w:space="0" w:color="auto"/>
            </w:tcBorders>
            <w:vAlign w:val="bottom"/>
          </w:tcPr>
          <w:p w:rsidR="00AA5066" w:rsidRDefault="00AA5066" w:rsidP="00A76F4A">
            <w:pPr>
              <w:ind w:right="12"/>
              <w:rPr>
                <w:sz w:val="20"/>
                <w:szCs w:val="20"/>
              </w:rPr>
            </w:pPr>
          </w:p>
        </w:tc>
        <w:tc>
          <w:tcPr>
            <w:tcW w:w="2642" w:type="dxa"/>
            <w:vMerge/>
            <w:tcBorders>
              <w:bottom w:val="single" w:sz="8" w:space="0" w:color="auto"/>
              <w:right w:val="single" w:sz="8" w:space="0" w:color="auto"/>
            </w:tcBorders>
            <w:vAlign w:val="bottom"/>
          </w:tcPr>
          <w:p w:rsidR="00AA5066" w:rsidRDefault="00AA5066" w:rsidP="00A76F4A">
            <w:pPr>
              <w:ind w:right="12"/>
              <w:rPr>
                <w:sz w:val="20"/>
                <w:szCs w:val="20"/>
              </w:rPr>
            </w:pPr>
          </w:p>
        </w:tc>
      </w:tr>
      <w:tr w:rsidR="00AD7BEE" w:rsidTr="00252B4C">
        <w:trPr>
          <w:trHeight w:val="216"/>
          <w:jc w:val="center"/>
        </w:trPr>
        <w:tc>
          <w:tcPr>
            <w:tcW w:w="3818" w:type="dxa"/>
            <w:gridSpan w:val="2"/>
            <w:tcBorders>
              <w:left w:val="single" w:sz="8" w:space="0" w:color="auto"/>
              <w:right w:val="single" w:sz="8" w:space="0" w:color="auto"/>
            </w:tcBorders>
            <w:vAlign w:val="bottom"/>
          </w:tcPr>
          <w:p w:rsidR="00AD7BEE" w:rsidRDefault="00AD7BEE" w:rsidP="00A76F4A">
            <w:pPr>
              <w:spacing w:line="216" w:lineRule="exact"/>
              <w:ind w:left="80" w:right="12"/>
              <w:rPr>
                <w:sz w:val="20"/>
                <w:szCs w:val="20"/>
              </w:rPr>
            </w:pPr>
            <w:r>
              <w:rPr>
                <w:rFonts w:eastAsia="Times New Roman"/>
                <w:sz w:val="20"/>
                <w:szCs w:val="20"/>
              </w:rPr>
              <w:t>Formation organisations de producteurs</w:t>
            </w:r>
          </w:p>
        </w:tc>
        <w:tc>
          <w:tcPr>
            <w:tcW w:w="1042" w:type="dxa"/>
            <w:tcBorders>
              <w:right w:val="single" w:sz="8" w:space="0" w:color="auto"/>
            </w:tcBorders>
            <w:vAlign w:val="bottom"/>
          </w:tcPr>
          <w:p w:rsidR="00AD7BEE" w:rsidRDefault="008371D1" w:rsidP="00A76F4A">
            <w:pPr>
              <w:spacing w:line="216" w:lineRule="exact"/>
              <w:ind w:left="60" w:right="12"/>
              <w:rPr>
                <w:sz w:val="20"/>
                <w:szCs w:val="20"/>
              </w:rPr>
            </w:pPr>
            <w:r>
              <w:rPr>
                <w:rFonts w:eastAsia="Times New Roman"/>
                <w:sz w:val="20"/>
                <w:szCs w:val="20"/>
              </w:rPr>
              <w:t>Atelier</w:t>
            </w:r>
          </w:p>
        </w:tc>
        <w:tc>
          <w:tcPr>
            <w:tcW w:w="1120" w:type="dxa"/>
            <w:vMerge w:val="restart"/>
            <w:tcBorders>
              <w:right w:val="single" w:sz="8" w:space="0" w:color="auto"/>
            </w:tcBorders>
          </w:tcPr>
          <w:p w:rsidR="00AD7BEE" w:rsidRDefault="00AD7BEE" w:rsidP="00A76F4A">
            <w:pPr>
              <w:spacing w:line="216" w:lineRule="exact"/>
              <w:ind w:left="40" w:right="12"/>
              <w:rPr>
                <w:sz w:val="20"/>
                <w:szCs w:val="20"/>
              </w:rPr>
            </w:pPr>
            <w:r w:rsidRPr="008346CD">
              <w:rPr>
                <w:sz w:val="22"/>
                <w:szCs w:val="22"/>
              </w:rPr>
              <w:t>12</w:t>
            </w:r>
          </w:p>
        </w:tc>
        <w:tc>
          <w:tcPr>
            <w:tcW w:w="720" w:type="dxa"/>
            <w:tcBorders>
              <w:right w:val="single" w:sz="8" w:space="0" w:color="auto"/>
            </w:tcBorders>
            <w:vAlign w:val="bottom"/>
          </w:tcPr>
          <w:p w:rsidR="00AD7BEE" w:rsidRDefault="00AD7BEE" w:rsidP="00A76F4A">
            <w:pPr>
              <w:spacing w:line="216" w:lineRule="exact"/>
              <w:ind w:left="60" w:right="12"/>
              <w:rPr>
                <w:sz w:val="20"/>
                <w:szCs w:val="20"/>
              </w:rPr>
            </w:pPr>
            <w:r>
              <w:rPr>
                <w:rFonts w:eastAsia="Times New Roman"/>
                <w:sz w:val="20"/>
                <w:szCs w:val="20"/>
              </w:rPr>
              <w:t>Forfait</w:t>
            </w:r>
          </w:p>
        </w:tc>
        <w:tc>
          <w:tcPr>
            <w:tcW w:w="1280" w:type="dxa"/>
            <w:tcBorders>
              <w:right w:val="single" w:sz="8" w:space="0" w:color="auto"/>
            </w:tcBorders>
            <w:vAlign w:val="bottom"/>
          </w:tcPr>
          <w:p w:rsidR="00AD7BEE" w:rsidRDefault="00AD7BEE" w:rsidP="00A76F4A">
            <w:pPr>
              <w:spacing w:line="216" w:lineRule="exact"/>
              <w:ind w:right="12"/>
              <w:jc w:val="center"/>
              <w:rPr>
                <w:sz w:val="20"/>
                <w:szCs w:val="20"/>
              </w:rPr>
            </w:pPr>
            <w:r>
              <w:rPr>
                <w:sz w:val="20"/>
                <w:szCs w:val="20"/>
              </w:rPr>
              <w:t>5 000 000</w:t>
            </w:r>
          </w:p>
        </w:tc>
        <w:tc>
          <w:tcPr>
            <w:tcW w:w="2642" w:type="dxa"/>
            <w:tcBorders>
              <w:right w:val="single" w:sz="8" w:space="0" w:color="auto"/>
            </w:tcBorders>
            <w:vAlign w:val="bottom"/>
          </w:tcPr>
          <w:p w:rsidR="00AD7BEE" w:rsidRDefault="00AD7BEE" w:rsidP="00A76F4A">
            <w:pPr>
              <w:spacing w:line="216" w:lineRule="exact"/>
              <w:ind w:left="40" w:right="12"/>
              <w:rPr>
                <w:sz w:val="20"/>
                <w:szCs w:val="20"/>
              </w:rPr>
            </w:pPr>
            <w:r>
              <w:rPr>
                <w:rFonts w:eastAsia="Times New Roman"/>
                <w:sz w:val="20"/>
                <w:szCs w:val="20"/>
              </w:rPr>
              <w:t>Inclus dans le CGES</w:t>
            </w:r>
          </w:p>
        </w:tc>
      </w:tr>
      <w:tr w:rsidR="00AD7BEE" w:rsidTr="00252B4C">
        <w:trPr>
          <w:trHeight w:val="235"/>
          <w:jc w:val="center"/>
        </w:trPr>
        <w:tc>
          <w:tcPr>
            <w:tcW w:w="1120" w:type="dxa"/>
            <w:tcBorders>
              <w:left w:val="single" w:sz="8" w:space="0" w:color="auto"/>
              <w:bottom w:val="single" w:sz="8" w:space="0" w:color="auto"/>
            </w:tcBorders>
            <w:vAlign w:val="bottom"/>
          </w:tcPr>
          <w:p w:rsidR="00AD7BEE" w:rsidRDefault="00AD7BEE" w:rsidP="00A76F4A">
            <w:pPr>
              <w:ind w:right="12"/>
              <w:rPr>
                <w:sz w:val="20"/>
                <w:szCs w:val="20"/>
              </w:rPr>
            </w:pPr>
          </w:p>
        </w:tc>
        <w:tc>
          <w:tcPr>
            <w:tcW w:w="2698" w:type="dxa"/>
            <w:tcBorders>
              <w:bottom w:val="single" w:sz="8" w:space="0" w:color="auto"/>
              <w:right w:val="single" w:sz="8" w:space="0" w:color="auto"/>
            </w:tcBorders>
            <w:vAlign w:val="bottom"/>
          </w:tcPr>
          <w:p w:rsidR="00AD7BEE" w:rsidRDefault="00AD7BEE" w:rsidP="00A76F4A">
            <w:pPr>
              <w:ind w:right="12"/>
              <w:rPr>
                <w:sz w:val="20"/>
                <w:szCs w:val="20"/>
              </w:rPr>
            </w:pPr>
          </w:p>
        </w:tc>
        <w:tc>
          <w:tcPr>
            <w:tcW w:w="1042" w:type="dxa"/>
            <w:tcBorders>
              <w:bottom w:val="single" w:sz="8" w:space="0" w:color="auto"/>
              <w:right w:val="single" w:sz="8" w:space="0" w:color="auto"/>
            </w:tcBorders>
          </w:tcPr>
          <w:p w:rsidR="00AD7BEE" w:rsidRDefault="00AD7BEE" w:rsidP="00A76F4A">
            <w:pPr>
              <w:ind w:right="12"/>
              <w:rPr>
                <w:sz w:val="20"/>
                <w:szCs w:val="20"/>
              </w:rPr>
            </w:pPr>
          </w:p>
        </w:tc>
        <w:tc>
          <w:tcPr>
            <w:tcW w:w="1120" w:type="dxa"/>
            <w:vMerge/>
            <w:tcBorders>
              <w:bottom w:val="single" w:sz="8" w:space="0" w:color="auto"/>
              <w:right w:val="single" w:sz="8" w:space="0" w:color="auto"/>
            </w:tcBorders>
            <w:vAlign w:val="bottom"/>
          </w:tcPr>
          <w:p w:rsidR="00AD7BEE" w:rsidRDefault="00AD7BEE" w:rsidP="00A76F4A">
            <w:pPr>
              <w:ind w:left="40" w:right="12"/>
              <w:rPr>
                <w:sz w:val="20"/>
                <w:szCs w:val="20"/>
              </w:rPr>
            </w:pPr>
          </w:p>
        </w:tc>
        <w:tc>
          <w:tcPr>
            <w:tcW w:w="720" w:type="dxa"/>
            <w:tcBorders>
              <w:bottom w:val="single" w:sz="8" w:space="0" w:color="auto"/>
              <w:right w:val="single" w:sz="8" w:space="0" w:color="auto"/>
            </w:tcBorders>
            <w:vAlign w:val="bottom"/>
          </w:tcPr>
          <w:p w:rsidR="00AD7BEE" w:rsidRDefault="00AD7BEE" w:rsidP="00A76F4A">
            <w:pPr>
              <w:ind w:right="12"/>
              <w:rPr>
                <w:sz w:val="20"/>
                <w:szCs w:val="20"/>
              </w:rPr>
            </w:pPr>
          </w:p>
        </w:tc>
        <w:tc>
          <w:tcPr>
            <w:tcW w:w="1280" w:type="dxa"/>
            <w:tcBorders>
              <w:bottom w:val="single" w:sz="8" w:space="0" w:color="auto"/>
              <w:right w:val="single" w:sz="8" w:space="0" w:color="auto"/>
            </w:tcBorders>
            <w:vAlign w:val="bottom"/>
          </w:tcPr>
          <w:p w:rsidR="00AD7BEE" w:rsidRDefault="00AD7BEE" w:rsidP="00A76F4A">
            <w:pPr>
              <w:ind w:right="12"/>
              <w:rPr>
                <w:sz w:val="20"/>
                <w:szCs w:val="20"/>
              </w:rPr>
            </w:pPr>
          </w:p>
        </w:tc>
        <w:tc>
          <w:tcPr>
            <w:tcW w:w="2642" w:type="dxa"/>
            <w:tcBorders>
              <w:bottom w:val="single" w:sz="8" w:space="0" w:color="auto"/>
              <w:right w:val="single" w:sz="8" w:space="0" w:color="auto"/>
            </w:tcBorders>
            <w:vAlign w:val="bottom"/>
          </w:tcPr>
          <w:p w:rsidR="00AD7BEE" w:rsidRDefault="00AD7BEE" w:rsidP="00A76F4A">
            <w:pPr>
              <w:ind w:right="12"/>
              <w:rPr>
                <w:sz w:val="20"/>
                <w:szCs w:val="20"/>
              </w:rPr>
            </w:pPr>
          </w:p>
        </w:tc>
      </w:tr>
      <w:tr w:rsidR="00AD7BEE" w:rsidTr="00252B4C">
        <w:trPr>
          <w:trHeight w:val="240"/>
          <w:jc w:val="center"/>
        </w:trPr>
        <w:tc>
          <w:tcPr>
            <w:tcW w:w="3818" w:type="dxa"/>
            <w:gridSpan w:val="2"/>
            <w:tcBorders>
              <w:left w:val="single" w:sz="8" w:space="0" w:color="auto"/>
              <w:right w:val="single" w:sz="8" w:space="0" w:color="auto"/>
            </w:tcBorders>
            <w:vAlign w:val="bottom"/>
          </w:tcPr>
          <w:p w:rsidR="00AD7BEE" w:rsidRDefault="00A03248" w:rsidP="00A76F4A">
            <w:pPr>
              <w:spacing w:line="216" w:lineRule="exact"/>
              <w:ind w:left="80" w:right="12"/>
              <w:rPr>
                <w:sz w:val="20"/>
                <w:szCs w:val="20"/>
              </w:rPr>
            </w:pPr>
            <w:r>
              <w:rPr>
                <w:rFonts w:eastAsia="Times New Roman"/>
                <w:sz w:val="20"/>
                <w:szCs w:val="20"/>
              </w:rPr>
              <w:t xml:space="preserve">Formation </w:t>
            </w:r>
            <w:r w:rsidR="008371D1">
              <w:rPr>
                <w:rFonts w:eastAsia="Times New Roman"/>
                <w:sz w:val="20"/>
                <w:szCs w:val="20"/>
              </w:rPr>
              <w:t>agents protection</w:t>
            </w:r>
            <w:r w:rsidR="00AD7BEE">
              <w:rPr>
                <w:rFonts w:eastAsia="Times New Roman"/>
                <w:sz w:val="20"/>
                <w:szCs w:val="20"/>
              </w:rPr>
              <w:t xml:space="preserve">  des  végétaux  et</w:t>
            </w:r>
          </w:p>
        </w:tc>
        <w:tc>
          <w:tcPr>
            <w:tcW w:w="1042" w:type="dxa"/>
            <w:tcBorders>
              <w:right w:val="single" w:sz="8" w:space="0" w:color="auto"/>
            </w:tcBorders>
            <w:vAlign w:val="bottom"/>
          </w:tcPr>
          <w:p w:rsidR="00AD7BEE" w:rsidRDefault="008371D1" w:rsidP="00A76F4A">
            <w:pPr>
              <w:spacing w:line="216" w:lineRule="exact"/>
              <w:ind w:left="60" w:right="12"/>
              <w:rPr>
                <w:sz w:val="20"/>
                <w:szCs w:val="20"/>
              </w:rPr>
            </w:pPr>
            <w:r>
              <w:rPr>
                <w:rFonts w:eastAsia="Times New Roman"/>
                <w:sz w:val="20"/>
                <w:szCs w:val="20"/>
              </w:rPr>
              <w:t>Atelier</w:t>
            </w:r>
          </w:p>
        </w:tc>
        <w:tc>
          <w:tcPr>
            <w:tcW w:w="1120" w:type="dxa"/>
            <w:tcBorders>
              <w:right w:val="single" w:sz="8" w:space="0" w:color="auto"/>
            </w:tcBorders>
            <w:vAlign w:val="bottom"/>
          </w:tcPr>
          <w:p w:rsidR="00AD7BEE" w:rsidRDefault="00AD7BEE" w:rsidP="00A76F4A">
            <w:pPr>
              <w:spacing w:line="216" w:lineRule="exact"/>
              <w:ind w:left="40" w:right="12"/>
              <w:rPr>
                <w:sz w:val="20"/>
                <w:szCs w:val="20"/>
              </w:rPr>
            </w:pPr>
            <w:r>
              <w:rPr>
                <w:rFonts w:eastAsia="Times New Roman"/>
                <w:sz w:val="20"/>
                <w:szCs w:val="20"/>
              </w:rPr>
              <w:t xml:space="preserve"> 12</w:t>
            </w:r>
          </w:p>
        </w:tc>
        <w:tc>
          <w:tcPr>
            <w:tcW w:w="720" w:type="dxa"/>
            <w:tcBorders>
              <w:right w:val="single" w:sz="8" w:space="0" w:color="auto"/>
            </w:tcBorders>
            <w:vAlign w:val="bottom"/>
          </w:tcPr>
          <w:p w:rsidR="00AD7BEE" w:rsidRDefault="00AD7BEE" w:rsidP="00A76F4A">
            <w:pPr>
              <w:spacing w:line="216" w:lineRule="exact"/>
              <w:ind w:left="60" w:right="12"/>
              <w:rPr>
                <w:sz w:val="20"/>
                <w:szCs w:val="20"/>
              </w:rPr>
            </w:pPr>
            <w:r>
              <w:rPr>
                <w:rFonts w:eastAsia="Times New Roman"/>
                <w:sz w:val="20"/>
                <w:szCs w:val="20"/>
              </w:rPr>
              <w:t>Forfait</w:t>
            </w:r>
          </w:p>
        </w:tc>
        <w:tc>
          <w:tcPr>
            <w:tcW w:w="1280" w:type="dxa"/>
            <w:tcBorders>
              <w:right w:val="single" w:sz="8" w:space="0" w:color="auto"/>
            </w:tcBorders>
            <w:vAlign w:val="bottom"/>
          </w:tcPr>
          <w:p w:rsidR="00AD7BEE" w:rsidRDefault="001671A6" w:rsidP="00A76F4A">
            <w:pPr>
              <w:spacing w:line="216" w:lineRule="exact"/>
              <w:ind w:right="12"/>
              <w:jc w:val="center"/>
              <w:rPr>
                <w:sz w:val="20"/>
                <w:szCs w:val="20"/>
              </w:rPr>
            </w:pPr>
            <w:r>
              <w:rPr>
                <w:rFonts w:eastAsia="Times New Roman"/>
                <w:sz w:val="20"/>
                <w:szCs w:val="20"/>
              </w:rPr>
              <w:t xml:space="preserve"> 5 000 000</w:t>
            </w:r>
          </w:p>
        </w:tc>
        <w:tc>
          <w:tcPr>
            <w:tcW w:w="2642" w:type="dxa"/>
            <w:tcBorders>
              <w:right w:val="single" w:sz="8" w:space="0" w:color="auto"/>
            </w:tcBorders>
            <w:vAlign w:val="bottom"/>
          </w:tcPr>
          <w:p w:rsidR="00AD7BEE" w:rsidRDefault="00AD7BEE" w:rsidP="00A76F4A">
            <w:pPr>
              <w:spacing w:line="216" w:lineRule="exact"/>
              <w:ind w:left="40" w:right="12"/>
              <w:rPr>
                <w:sz w:val="20"/>
                <w:szCs w:val="20"/>
              </w:rPr>
            </w:pPr>
            <w:r>
              <w:rPr>
                <w:rFonts w:eastAsia="Times New Roman"/>
                <w:sz w:val="20"/>
                <w:szCs w:val="20"/>
              </w:rPr>
              <w:t>Inclus dans le CGES</w:t>
            </w:r>
          </w:p>
        </w:tc>
      </w:tr>
      <w:tr w:rsidR="00AD7BEE" w:rsidTr="00252B4C">
        <w:trPr>
          <w:trHeight w:val="235"/>
          <w:jc w:val="center"/>
        </w:trPr>
        <w:tc>
          <w:tcPr>
            <w:tcW w:w="3818" w:type="dxa"/>
            <w:gridSpan w:val="2"/>
            <w:tcBorders>
              <w:left w:val="single" w:sz="8" w:space="0" w:color="auto"/>
              <w:bottom w:val="single" w:sz="8" w:space="0" w:color="auto"/>
              <w:right w:val="single" w:sz="8" w:space="0" w:color="auto"/>
            </w:tcBorders>
            <w:vAlign w:val="bottom"/>
          </w:tcPr>
          <w:p w:rsidR="00AD7BEE" w:rsidRDefault="00AD7BEE" w:rsidP="00A76F4A">
            <w:pPr>
              <w:ind w:left="80" w:right="12"/>
              <w:rPr>
                <w:sz w:val="20"/>
                <w:szCs w:val="20"/>
              </w:rPr>
            </w:pPr>
            <w:r>
              <w:rPr>
                <w:rFonts w:eastAsia="Times New Roman"/>
                <w:sz w:val="20"/>
                <w:szCs w:val="20"/>
              </w:rPr>
              <w:t>services de vulgarisation (séminaire atelier)</w:t>
            </w:r>
          </w:p>
        </w:tc>
        <w:tc>
          <w:tcPr>
            <w:tcW w:w="1042" w:type="dxa"/>
            <w:tcBorders>
              <w:bottom w:val="single" w:sz="8" w:space="0" w:color="auto"/>
              <w:right w:val="single" w:sz="8" w:space="0" w:color="auto"/>
            </w:tcBorders>
            <w:vAlign w:val="bottom"/>
          </w:tcPr>
          <w:p w:rsidR="00AD7BEE" w:rsidRDefault="00AD7BEE" w:rsidP="00A76F4A">
            <w:pPr>
              <w:ind w:right="12"/>
              <w:rPr>
                <w:sz w:val="20"/>
                <w:szCs w:val="20"/>
              </w:rPr>
            </w:pPr>
          </w:p>
        </w:tc>
        <w:tc>
          <w:tcPr>
            <w:tcW w:w="1120" w:type="dxa"/>
            <w:tcBorders>
              <w:bottom w:val="single" w:sz="8" w:space="0" w:color="auto"/>
              <w:right w:val="single" w:sz="8" w:space="0" w:color="auto"/>
            </w:tcBorders>
            <w:vAlign w:val="bottom"/>
          </w:tcPr>
          <w:p w:rsidR="00AD7BEE" w:rsidRDefault="00AD7BEE" w:rsidP="00A76F4A">
            <w:pPr>
              <w:ind w:right="12"/>
              <w:rPr>
                <w:sz w:val="20"/>
                <w:szCs w:val="20"/>
              </w:rPr>
            </w:pPr>
          </w:p>
        </w:tc>
        <w:tc>
          <w:tcPr>
            <w:tcW w:w="720" w:type="dxa"/>
            <w:tcBorders>
              <w:bottom w:val="single" w:sz="8" w:space="0" w:color="auto"/>
              <w:right w:val="single" w:sz="8" w:space="0" w:color="auto"/>
            </w:tcBorders>
            <w:vAlign w:val="bottom"/>
          </w:tcPr>
          <w:p w:rsidR="00AD7BEE" w:rsidRDefault="00AD7BEE" w:rsidP="00A76F4A">
            <w:pPr>
              <w:ind w:right="12"/>
              <w:rPr>
                <w:sz w:val="20"/>
                <w:szCs w:val="20"/>
              </w:rPr>
            </w:pPr>
          </w:p>
        </w:tc>
        <w:tc>
          <w:tcPr>
            <w:tcW w:w="1280" w:type="dxa"/>
            <w:tcBorders>
              <w:bottom w:val="single" w:sz="8" w:space="0" w:color="auto"/>
              <w:right w:val="single" w:sz="8" w:space="0" w:color="auto"/>
            </w:tcBorders>
            <w:vAlign w:val="bottom"/>
          </w:tcPr>
          <w:p w:rsidR="00AD7BEE" w:rsidRDefault="00AD7BEE" w:rsidP="00A76F4A">
            <w:pPr>
              <w:ind w:right="12"/>
              <w:rPr>
                <w:sz w:val="20"/>
                <w:szCs w:val="20"/>
              </w:rPr>
            </w:pPr>
          </w:p>
        </w:tc>
        <w:tc>
          <w:tcPr>
            <w:tcW w:w="2642" w:type="dxa"/>
            <w:tcBorders>
              <w:bottom w:val="single" w:sz="8" w:space="0" w:color="auto"/>
              <w:right w:val="single" w:sz="8" w:space="0" w:color="auto"/>
            </w:tcBorders>
            <w:vAlign w:val="bottom"/>
          </w:tcPr>
          <w:p w:rsidR="00AD7BEE" w:rsidRDefault="00AD7BEE" w:rsidP="00A76F4A">
            <w:pPr>
              <w:ind w:right="12"/>
              <w:rPr>
                <w:sz w:val="20"/>
                <w:szCs w:val="20"/>
              </w:rPr>
            </w:pPr>
          </w:p>
        </w:tc>
      </w:tr>
      <w:tr w:rsidR="00AD7BEE" w:rsidTr="00252B4C">
        <w:trPr>
          <w:trHeight w:val="216"/>
          <w:jc w:val="center"/>
        </w:trPr>
        <w:tc>
          <w:tcPr>
            <w:tcW w:w="3818" w:type="dxa"/>
            <w:gridSpan w:val="2"/>
            <w:tcBorders>
              <w:left w:val="single" w:sz="8" w:space="0" w:color="auto"/>
              <w:right w:val="single" w:sz="8" w:space="0" w:color="auto"/>
            </w:tcBorders>
            <w:vAlign w:val="bottom"/>
          </w:tcPr>
          <w:p w:rsidR="00AD7BEE" w:rsidRDefault="00AD7BEE" w:rsidP="00A76F4A">
            <w:pPr>
              <w:spacing w:line="216" w:lineRule="exact"/>
              <w:ind w:left="80" w:right="12"/>
              <w:rPr>
                <w:sz w:val="20"/>
                <w:szCs w:val="20"/>
              </w:rPr>
            </w:pPr>
            <w:r>
              <w:rPr>
                <w:rFonts w:eastAsia="Times New Roman"/>
                <w:sz w:val="20"/>
                <w:szCs w:val="20"/>
              </w:rPr>
              <w:t>Activités de sensibilisation, information</w:t>
            </w:r>
          </w:p>
        </w:tc>
        <w:tc>
          <w:tcPr>
            <w:tcW w:w="1042" w:type="dxa"/>
            <w:tcBorders>
              <w:right w:val="single" w:sz="8" w:space="0" w:color="auto"/>
            </w:tcBorders>
            <w:vAlign w:val="bottom"/>
          </w:tcPr>
          <w:p w:rsidR="00AD7BEE" w:rsidRDefault="001671A6" w:rsidP="00A76F4A">
            <w:pPr>
              <w:spacing w:line="216" w:lineRule="exact"/>
              <w:ind w:left="60" w:right="12"/>
              <w:rPr>
                <w:sz w:val="20"/>
                <w:szCs w:val="20"/>
              </w:rPr>
            </w:pPr>
            <w:r>
              <w:rPr>
                <w:rFonts w:eastAsia="Times New Roman"/>
                <w:sz w:val="20"/>
                <w:szCs w:val="20"/>
              </w:rPr>
              <w:t>Campagne</w:t>
            </w:r>
          </w:p>
        </w:tc>
        <w:tc>
          <w:tcPr>
            <w:tcW w:w="1120" w:type="dxa"/>
            <w:tcBorders>
              <w:right w:val="single" w:sz="8" w:space="0" w:color="auto"/>
            </w:tcBorders>
            <w:vAlign w:val="bottom"/>
          </w:tcPr>
          <w:p w:rsidR="00AD7BEE" w:rsidRDefault="001671A6" w:rsidP="00A76F4A">
            <w:pPr>
              <w:ind w:right="12"/>
              <w:rPr>
                <w:sz w:val="18"/>
                <w:szCs w:val="18"/>
              </w:rPr>
            </w:pPr>
            <w:r>
              <w:rPr>
                <w:sz w:val="18"/>
                <w:szCs w:val="18"/>
              </w:rPr>
              <w:t>10</w:t>
            </w:r>
          </w:p>
        </w:tc>
        <w:tc>
          <w:tcPr>
            <w:tcW w:w="720" w:type="dxa"/>
            <w:tcBorders>
              <w:right w:val="single" w:sz="8" w:space="0" w:color="auto"/>
            </w:tcBorders>
            <w:vAlign w:val="bottom"/>
          </w:tcPr>
          <w:p w:rsidR="00AD7BEE" w:rsidRDefault="001671A6" w:rsidP="00A76F4A">
            <w:pPr>
              <w:ind w:right="12"/>
              <w:rPr>
                <w:sz w:val="18"/>
                <w:szCs w:val="18"/>
              </w:rPr>
            </w:pPr>
            <w:r>
              <w:rPr>
                <w:sz w:val="18"/>
                <w:szCs w:val="18"/>
              </w:rPr>
              <w:t>1000 000</w:t>
            </w:r>
          </w:p>
        </w:tc>
        <w:tc>
          <w:tcPr>
            <w:tcW w:w="1280" w:type="dxa"/>
            <w:tcBorders>
              <w:right w:val="single" w:sz="8" w:space="0" w:color="auto"/>
            </w:tcBorders>
            <w:vAlign w:val="bottom"/>
          </w:tcPr>
          <w:p w:rsidR="00AD7BEE" w:rsidRDefault="001671A6" w:rsidP="00A76F4A">
            <w:pPr>
              <w:spacing w:line="216" w:lineRule="exact"/>
              <w:ind w:right="12"/>
              <w:jc w:val="center"/>
              <w:rPr>
                <w:sz w:val="20"/>
                <w:szCs w:val="20"/>
              </w:rPr>
            </w:pPr>
            <w:r>
              <w:rPr>
                <w:rFonts w:eastAsia="Times New Roman"/>
                <w:sz w:val="20"/>
                <w:szCs w:val="20"/>
              </w:rPr>
              <w:t>10 000 000</w:t>
            </w:r>
          </w:p>
        </w:tc>
        <w:tc>
          <w:tcPr>
            <w:tcW w:w="2642" w:type="dxa"/>
            <w:tcBorders>
              <w:right w:val="single" w:sz="8" w:space="0" w:color="auto"/>
            </w:tcBorders>
            <w:vAlign w:val="bottom"/>
          </w:tcPr>
          <w:p w:rsidR="00AD7BEE" w:rsidRDefault="001671A6" w:rsidP="00A76F4A">
            <w:pPr>
              <w:spacing w:line="216" w:lineRule="exact"/>
              <w:ind w:left="40" w:right="12"/>
              <w:rPr>
                <w:sz w:val="20"/>
                <w:szCs w:val="20"/>
              </w:rPr>
            </w:pPr>
            <w:r>
              <w:rPr>
                <w:rFonts w:eastAsia="Times New Roman"/>
                <w:sz w:val="20"/>
                <w:szCs w:val="20"/>
              </w:rPr>
              <w:t xml:space="preserve">Inclus dans le </w:t>
            </w:r>
            <w:r w:rsidR="00AD7BEE">
              <w:rPr>
                <w:rFonts w:eastAsia="Times New Roman"/>
                <w:sz w:val="20"/>
                <w:szCs w:val="20"/>
              </w:rPr>
              <w:t>CGES</w:t>
            </w:r>
          </w:p>
        </w:tc>
      </w:tr>
      <w:tr w:rsidR="00AD7BEE" w:rsidTr="00252B4C">
        <w:trPr>
          <w:trHeight w:val="78"/>
          <w:jc w:val="center"/>
        </w:trPr>
        <w:tc>
          <w:tcPr>
            <w:tcW w:w="3818" w:type="dxa"/>
            <w:gridSpan w:val="2"/>
            <w:tcBorders>
              <w:left w:val="single" w:sz="8" w:space="0" w:color="auto"/>
              <w:bottom w:val="single" w:sz="8" w:space="0" w:color="auto"/>
              <w:right w:val="single" w:sz="8" w:space="0" w:color="auto"/>
            </w:tcBorders>
            <w:vAlign w:val="bottom"/>
          </w:tcPr>
          <w:p w:rsidR="00AD7BEE" w:rsidRDefault="00AD7BEE" w:rsidP="00A76F4A">
            <w:pPr>
              <w:ind w:right="12"/>
              <w:rPr>
                <w:sz w:val="6"/>
                <w:szCs w:val="6"/>
              </w:rPr>
            </w:pPr>
          </w:p>
        </w:tc>
        <w:tc>
          <w:tcPr>
            <w:tcW w:w="1042" w:type="dxa"/>
            <w:tcBorders>
              <w:bottom w:val="single" w:sz="8" w:space="0" w:color="auto"/>
              <w:right w:val="single" w:sz="8" w:space="0" w:color="auto"/>
            </w:tcBorders>
            <w:vAlign w:val="bottom"/>
          </w:tcPr>
          <w:p w:rsidR="00AD7BEE" w:rsidRDefault="00AD7BEE" w:rsidP="00A76F4A">
            <w:pPr>
              <w:ind w:right="12"/>
              <w:rPr>
                <w:sz w:val="6"/>
                <w:szCs w:val="6"/>
              </w:rPr>
            </w:pPr>
          </w:p>
        </w:tc>
        <w:tc>
          <w:tcPr>
            <w:tcW w:w="1120" w:type="dxa"/>
            <w:tcBorders>
              <w:bottom w:val="single" w:sz="8" w:space="0" w:color="auto"/>
              <w:right w:val="single" w:sz="8" w:space="0" w:color="auto"/>
            </w:tcBorders>
            <w:vAlign w:val="bottom"/>
          </w:tcPr>
          <w:p w:rsidR="00AD7BEE" w:rsidRDefault="00AD7BEE" w:rsidP="00A76F4A">
            <w:pPr>
              <w:ind w:right="12"/>
              <w:rPr>
                <w:sz w:val="6"/>
                <w:szCs w:val="6"/>
              </w:rPr>
            </w:pPr>
          </w:p>
        </w:tc>
        <w:tc>
          <w:tcPr>
            <w:tcW w:w="720" w:type="dxa"/>
            <w:tcBorders>
              <w:bottom w:val="single" w:sz="8" w:space="0" w:color="auto"/>
              <w:right w:val="single" w:sz="8" w:space="0" w:color="auto"/>
            </w:tcBorders>
            <w:vAlign w:val="bottom"/>
          </w:tcPr>
          <w:p w:rsidR="00AD7BEE" w:rsidRDefault="00AD7BEE" w:rsidP="00A76F4A">
            <w:pPr>
              <w:ind w:right="12"/>
              <w:rPr>
                <w:sz w:val="6"/>
                <w:szCs w:val="6"/>
              </w:rPr>
            </w:pPr>
          </w:p>
        </w:tc>
        <w:tc>
          <w:tcPr>
            <w:tcW w:w="1280" w:type="dxa"/>
            <w:tcBorders>
              <w:bottom w:val="single" w:sz="8" w:space="0" w:color="auto"/>
              <w:right w:val="single" w:sz="8" w:space="0" w:color="auto"/>
            </w:tcBorders>
            <w:vAlign w:val="bottom"/>
          </w:tcPr>
          <w:p w:rsidR="00AD7BEE" w:rsidRDefault="00AD7BEE" w:rsidP="00A76F4A">
            <w:pPr>
              <w:ind w:right="12"/>
              <w:rPr>
                <w:sz w:val="6"/>
                <w:szCs w:val="6"/>
              </w:rPr>
            </w:pPr>
          </w:p>
        </w:tc>
        <w:tc>
          <w:tcPr>
            <w:tcW w:w="2642" w:type="dxa"/>
            <w:tcBorders>
              <w:bottom w:val="single" w:sz="8" w:space="0" w:color="auto"/>
              <w:right w:val="single" w:sz="8" w:space="0" w:color="auto"/>
            </w:tcBorders>
            <w:vAlign w:val="bottom"/>
          </w:tcPr>
          <w:p w:rsidR="00AD7BEE" w:rsidRDefault="00AD7BEE" w:rsidP="00A76F4A">
            <w:pPr>
              <w:ind w:right="12"/>
              <w:rPr>
                <w:sz w:val="6"/>
                <w:szCs w:val="6"/>
              </w:rPr>
            </w:pPr>
          </w:p>
        </w:tc>
      </w:tr>
      <w:tr w:rsidR="00AD7BEE" w:rsidTr="00252B4C">
        <w:trPr>
          <w:trHeight w:val="212"/>
          <w:jc w:val="center"/>
        </w:trPr>
        <w:tc>
          <w:tcPr>
            <w:tcW w:w="3818" w:type="dxa"/>
            <w:gridSpan w:val="2"/>
            <w:tcBorders>
              <w:left w:val="single" w:sz="8" w:space="0" w:color="auto"/>
              <w:bottom w:val="single" w:sz="4" w:space="0" w:color="auto"/>
              <w:right w:val="single" w:sz="8" w:space="0" w:color="auto"/>
            </w:tcBorders>
            <w:vAlign w:val="bottom"/>
          </w:tcPr>
          <w:p w:rsidR="00AD7BEE" w:rsidRDefault="00AD7BEE" w:rsidP="00A76F4A">
            <w:pPr>
              <w:spacing w:line="211" w:lineRule="exact"/>
              <w:ind w:left="80" w:right="12"/>
              <w:rPr>
                <w:sz w:val="20"/>
                <w:szCs w:val="20"/>
              </w:rPr>
            </w:pPr>
            <w:r>
              <w:rPr>
                <w:rFonts w:eastAsia="Times New Roman"/>
                <w:sz w:val="20"/>
                <w:szCs w:val="20"/>
              </w:rPr>
              <w:t>Guide de bonnes pratiques d’utilisation</w:t>
            </w:r>
          </w:p>
        </w:tc>
        <w:tc>
          <w:tcPr>
            <w:tcW w:w="1042" w:type="dxa"/>
            <w:tcBorders>
              <w:bottom w:val="single" w:sz="4" w:space="0" w:color="auto"/>
              <w:right w:val="single" w:sz="8" w:space="0" w:color="auto"/>
            </w:tcBorders>
            <w:vAlign w:val="bottom"/>
          </w:tcPr>
          <w:p w:rsidR="00AD7BEE" w:rsidRDefault="00AD7BEE" w:rsidP="00A76F4A">
            <w:pPr>
              <w:ind w:right="12"/>
              <w:rPr>
                <w:sz w:val="18"/>
                <w:szCs w:val="18"/>
              </w:rPr>
            </w:pPr>
          </w:p>
        </w:tc>
        <w:tc>
          <w:tcPr>
            <w:tcW w:w="1120" w:type="dxa"/>
            <w:tcBorders>
              <w:bottom w:val="single" w:sz="4" w:space="0" w:color="auto"/>
              <w:right w:val="single" w:sz="8" w:space="0" w:color="auto"/>
            </w:tcBorders>
            <w:vAlign w:val="bottom"/>
          </w:tcPr>
          <w:p w:rsidR="00AD7BEE" w:rsidRDefault="001671A6" w:rsidP="00A76F4A">
            <w:pPr>
              <w:spacing w:line="211" w:lineRule="exact"/>
              <w:ind w:left="40" w:right="12"/>
              <w:rPr>
                <w:sz w:val="20"/>
                <w:szCs w:val="20"/>
              </w:rPr>
            </w:pPr>
            <w:r>
              <w:rPr>
                <w:rFonts w:eastAsia="Times New Roman"/>
                <w:sz w:val="20"/>
                <w:szCs w:val="20"/>
              </w:rPr>
              <w:t>Forfait</w:t>
            </w:r>
          </w:p>
        </w:tc>
        <w:tc>
          <w:tcPr>
            <w:tcW w:w="720" w:type="dxa"/>
            <w:tcBorders>
              <w:bottom w:val="single" w:sz="4" w:space="0" w:color="auto"/>
              <w:right w:val="single" w:sz="8" w:space="0" w:color="auto"/>
            </w:tcBorders>
            <w:vAlign w:val="bottom"/>
          </w:tcPr>
          <w:p w:rsidR="00AD7BEE" w:rsidRDefault="00AD7BEE" w:rsidP="00A76F4A">
            <w:pPr>
              <w:ind w:right="12"/>
              <w:rPr>
                <w:sz w:val="18"/>
                <w:szCs w:val="18"/>
              </w:rPr>
            </w:pPr>
          </w:p>
        </w:tc>
        <w:tc>
          <w:tcPr>
            <w:tcW w:w="1280" w:type="dxa"/>
            <w:tcBorders>
              <w:bottom w:val="single" w:sz="4" w:space="0" w:color="auto"/>
              <w:right w:val="single" w:sz="8" w:space="0" w:color="auto"/>
            </w:tcBorders>
            <w:vAlign w:val="bottom"/>
          </w:tcPr>
          <w:p w:rsidR="00AD7BEE" w:rsidRDefault="00AD7BEE" w:rsidP="00A76F4A">
            <w:pPr>
              <w:spacing w:line="211" w:lineRule="exact"/>
              <w:ind w:right="12"/>
              <w:jc w:val="center"/>
              <w:rPr>
                <w:sz w:val="20"/>
                <w:szCs w:val="20"/>
              </w:rPr>
            </w:pPr>
            <w:r>
              <w:rPr>
                <w:rFonts w:eastAsia="Times New Roman"/>
                <w:w w:val="96"/>
                <w:sz w:val="20"/>
                <w:szCs w:val="20"/>
              </w:rPr>
              <w:t>PM</w:t>
            </w:r>
          </w:p>
        </w:tc>
        <w:tc>
          <w:tcPr>
            <w:tcW w:w="2642" w:type="dxa"/>
            <w:tcBorders>
              <w:bottom w:val="single" w:sz="4" w:space="0" w:color="auto"/>
              <w:right w:val="single" w:sz="8" w:space="0" w:color="auto"/>
            </w:tcBorders>
            <w:vAlign w:val="bottom"/>
          </w:tcPr>
          <w:p w:rsidR="00AD7BEE" w:rsidRDefault="001671A6" w:rsidP="00A76F4A">
            <w:pPr>
              <w:spacing w:line="211" w:lineRule="exact"/>
              <w:ind w:left="40" w:right="12"/>
              <w:rPr>
                <w:sz w:val="20"/>
                <w:szCs w:val="20"/>
              </w:rPr>
            </w:pPr>
            <w:r>
              <w:rPr>
                <w:rFonts w:eastAsia="Times New Roman"/>
                <w:sz w:val="20"/>
                <w:szCs w:val="20"/>
              </w:rPr>
              <w:t>Inclus dans le projet PUSA</w:t>
            </w:r>
          </w:p>
        </w:tc>
      </w:tr>
      <w:tr w:rsidR="007C308F" w:rsidTr="00252B4C">
        <w:trPr>
          <w:trHeight w:val="212"/>
          <w:jc w:val="center"/>
        </w:trPr>
        <w:tc>
          <w:tcPr>
            <w:tcW w:w="3818" w:type="dxa"/>
            <w:gridSpan w:val="2"/>
            <w:tcBorders>
              <w:top w:val="single" w:sz="4" w:space="0" w:color="auto"/>
              <w:left w:val="single" w:sz="4" w:space="0" w:color="auto"/>
              <w:bottom w:val="single" w:sz="4" w:space="0" w:color="auto"/>
              <w:right w:val="single" w:sz="4" w:space="0" w:color="auto"/>
            </w:tcBorders>
            <w:vAlign w:val="bottom"/>
          </w:tcPr>
          <w:p w:rsidR="007C308F" w:rsidRDefault="007C308F" w:rsidP="00A76F4A">
            <w:pPr>
              <w:spacing w:line="211" w:lineRule="exact"/>
              <w:ind w:left="80" w:right="12"/>
              <w:rPr>
                <w:rFonts w:eastAsia="Times New Roman"/>
                <w:sz w:val="20"/>
                <w:szCs w:val="20"/>
              </w:rPr>
            </w:pPr>
            <w:r w:rsidRPr="00260B47">
              <w:rPr>
                <w:rFonts w:eastAsia="Times New Roman"/>
                <w:sz w:val="21"/>
                <w:szCs w:val="21"/>
              </w:rPr>
              <w:t>Promotion  de  l’usage  des  stratégies  alternatives  de lutte</w:t>
            </w:r>
          </w:p>
        </w:tc>
        <w:tc>
          <w:tcPr>
            <w:tcW w:w="1042" w:type="dxa"/>
            <w:tcBorders>
              <w:top w:val="single" w:sz="4" w:space="0" w:color="auto"/>
              <w:left w:val="single" w:sz="4" w:space="0" w:color="auto"/>
              <w:bottom w:val="single" w:sz="4" w:space="0" w:color="auto"/>
              <w:right w:val="single" w:sz="4" w:space="0" w:color="auto"/>
            </w:tcBorders>
            <w:vAlign w:val="bottom"/>
          </w:tcPr>
          <w:p w:rsidR="007C308F" w:rsidRDefault="007C308F" w:rsidP="00A76F4A">
            <w:pPr>
              <w:ind w:right="12"/>
              <w:rPr>
                <w:sz w:val="18"/>
                <w:szCs w:val="18"/>
              </w:rPr>
            </w:pPr>
            <w:r>
              <w:rPr>
                <w:rFonts w:eastAsia="Times New Roman"/>
                <w:sz w:val="20"/>
                <w:szCs w:val="20"/>
              </w:rPr>
              <w:t>Campagne</w:t>
            </w:r>
          </w:p>
        </w:tc>
        <w:tc>
          <w:tcPr>
            <w:tcW w:w="1120" w:type="dxa"/>
            <w:tcBorders>
              <w:top w:val="single" w:sz="4" w:space="0" w:color="auto"/>
              <w:left w:val="single" w:sz="4" w:space="0" w:color="auto"/>
              <w:bottom w:val="single" w:sz="4" w:space="0" w:color="auto"/>
              <w:right w:val="single" w:sz="4" w:space="0" w:color="auto"/>
            </w:tcBorders>
            <w:vAlign w:val="bottom"/>
          </w:tcPr>
          <w:p w:rsidR="007C308F" w:rsidRDefault="007C308F" w:rsidP="00A76F4A">
            <w:pPr>
              <w:spacing w:line="211" w:lineRule="exact"/>
              <w:ind w:left="40" w:right="12"/>
              <w:rPr>
                <w:rFonts w:eastAsia="Times New Roman"/>
                <w:sz w:val="20"/>
                <w:szCs w:val="20"/>
              </w:rPr>
            </w:pPr>
            <w:r>
              <w:rPr>
                <w:sz w:val="18"/>
                <w:szCs w:val="18"/>
              </w:rPr>
              <w:t>10</w:t>
            </w:r>
          </w:p>
        </w:tc>
        <w:tc>
          <w:tcPr>
            <w:tcW w:w="720" w:type="dxa"/>
            <w:tcBorders>
              <w:top w:val="single" w:sz="4" w:space="0" w:color="auto"/>
              <w:left w:val="single" w:sz="4" w:space="0" w:color="auto"/>
              <w:bottom w:val="single" w:sz="4" w:space="0" w:color="auto"/>
              <w:right w:val="single" w:sz="4" w:space="0" w:color="auto"/>
            </w:tcBorders>
            <w:vAlign w:val="bottom"/>
          </w:tcPr>
          <w:p w:rsidR="007C308F" w:rsidRDefault="007C308F" w:rsidP="00A76F4A">
            <w:pPr>
              <w:ind w:right="12"/>
              <w:rPr>
                <w:sz w:val="18"/>
                <w:szCs w:val="18"/>
              </w:rPr>
            </w:pPr>
            <w:r>
              <w:rPr>
                <w:sz w:val="18"/>
                <w:szCs w:val="18"/>
              </w:rPr>
              <w:t>1000 000</w:t>
            </w:r>
          </w:p>
        </w:tc>
        <w:tc>
          <w:tcPr>
            <w:tcW w:w="1280" w:type="dxa"/>
            <w:tcBorders>
              <w:top w:val="single" w:sz="4" w:space="0" w:color="auto"/>
              <w:left w:val="single" w:sz="4" w:space="0" w:color="auto"/>
              <w:bottom w:val="single" w:sz="4" w:space="0" w:color="auto"/>
              <w:right w:val="single" w:sz="4" w:space="0" w:color="auto"/>
            </w:tcBorders>
            <w:vAlign w:val="bottom"/>
          </w:tcPr>
          <w:p w:rsidR="007C308F" w:rsidRDefault="007C308F" w:rsidP="00A76F4A">
            <w:pPr>
              <w:spacing w:line="211" w:lineRule="exact"/>
              <w:ind w:right="12"/>
              <w:jc w:val="center"/>
              <w:rPr>
                <w:rFonts w:eastAsia="Times New Roman"/>
                <w:w w:val="96"/>
                <w:sz w:val="20"/>
                <w:szCs w:val="20"/>
              </w:rPr>
            </w:pPr>
            <w:r>
              <w:rPr>
                <w:rFonts w:eastAsia="Times New Roman"/>
                <w:sz w:val="20"/>
                <w:szCs w:val="20"/>
              </w:rPr>
              <w:t>10 000 000</w:t>
            </w:r>
          </w:p>
        </w:tc>
        <w:tc>
          <w:tcPr>
            <w:tcW w:w="2642" w:type="dxa"/>
            <w:tcBorders>
              <w:top w:val="single" w:sz="4" w:space="0" w:color="auto"/>
              <w:left w:val="single" w:sz="4" w:space="0" w:color="auto"/>
              <w:bottom w:val="single" w:sz="4" w:space="0" w:color="auto"/>
              <w:right w:val="single" w:sz="4" w:space="0" w:color="auto"/>
            </w:tcBorders>
            <w:vAlign w:val="bottom"/>
          </w:tcPr>
          <w:p w:rsidR="007C308F" w:rsidRDefault="007C308F" w:rsidP="00A76F4A">
            <w:pPr>
              <w:spacing w:line="211" w:lineRule="exact"/>
              <w:ind w:left="40" w:right="12"/>
              <w:rPr>
                <w:rFonts w:eastAsia="Times New Roman"/>
                <w:sz w:val="20"/>
                <w:szCs w:val="20"/>
              </w:rPr>
            </w:pPr>
            <w:r>
              <w:rPr>
                <w:rFonts w:eastAsia="Times New Roman"/>
                <w:sz w:val="20"/>
                <w:szCs w:val="20"/>
              </w:rPr>
              <w:t>Inclus dans le projet PUSA</w:t>
            </w:r>
          </w:p>
        </w:tc>
      </w:tr>
      <w:tr w:rsidR="007C308F" w:rsidTr="00252B4C">
        <w:trPr>
          <w:trHeight w:val="216"/>
          <w:jc w:val="center"/>
        </w:trPr>
        <w:tc>
          <w:tcPr>
            <w:tcW w:w="1120" w:type="dxa"/>
            <w:tcBorders>
              <w:left w:val="single" w:sz="8" w:space="0" w:color="auto"/>
            </w:tcBorders>
            <w:vAlign w:val="bottom"/>
          </w:tcPr>
          <w:p w:rsidR="007C308F" w:rsidRDefault="007C308F" w:rsidP="00A76F4A">
            <w:pPr>
              <w:spacing w:line="216" w:lineRule="exact"/>
              <w:ind w:left="80" w:right="12"/>
              <w:rPr>
                <w:sz w:val="20"/>
                <w:szCs w:val="20"/>
              </w:rPr>
            </w:pPr>
            <w:r>
              <w:rPr>
                <w:rFonts w:eastAsia="Times New Roman"/>
                <w:sz w:val="20"/>
                <w:szCs w:val="20"/>
              </w:rPr>
              <w:t>Promotion</w:t>
            </w:r>
          </w:p>
        </w:tc>
        <w:tc>
          <w:tcPr>
            <w:tcW w:w="2698" w:type="dxa"/>
            <w:tcBorders>
              <w:right w:val="single" w:sz="8" w:space="0" w:color="auto"/>
            </w:tcBorders>
            <w:vAlign w:val="bottom"/>
          </w:tcPr>
          <w:p w:rsidR="007C308F" w:rsidRDefault="007C308F" w:rsidP="00A76F4A">
            <w:pPr>
              <w:spacing w:line="216" w:lineRule="exact"/>
              <w:ind w:left="180" w:right="12"/>
              <w:rPr>
                <w:sz w:val="20"/>
                <w:szCs w:val="20"/>
              </w:rPr>
            </w:pPr>
            <w:r>
              <w:rPr>
                <w:rFonts w:eastAsia="Times New Roman"/>
                <w:sz w:val="20"/>
                <w:szCs w:val="20"/>
              </w:rPr>
              <w:t>de   supports   scientifiques   et</w:t>
            </w:r>
          </w:p>
        </w:tc>
        <w:tc>
          <w:tcPr>
            <w:tcW w:w="1042" w:type="dxa"/>
            <w:tcBorders>
              <w:right w:val="single" w:sz="8" w:space="0" w:color="auto"/>
            </w:tcBorders>
            <w:vAlign w:val="bottom"/>
          </w:tcPr>
          <w:p w:rsidR="007C308F" w:rsidRDefault="007C308F" w:rsidP="00A76F4A">
            <w:pPr>
              <w:ind w:right="12"/>
              <w:rPr>
                <w:sz w:val="18"/>
                <w:szCs w:val="18"/>
              </w:rPr>
            </w:pPr>
          </w:p>
        </w:tc>
        <w:tc>
          <w:tcPr>
            <w:tcW w:w="1120" w:type="dxa"/>
            <w:tcBorders>
              <w:right w:val="single" w:sz="8" w:space="0" w:color="auto"/>
            </w:tcBorders>
            <w:vAlign w:val="bottom"/>
          </w:tcPr>
          <w:p w:rsidR="007C308F" w:rsidRDefault="007C308F" w:rsidP="00A76F4A">
            <w:pPr>
              <w:spacing w:line="216" w:lineRule="exact"/>
              <w:ind w:left="40" w:right="12"/>
              <w:rPr>
                <w:sz w:val="20"/>
                <w:szCs w:val="20"/>
              </w:rPr>
            </w:pPr>
            <w:r>
              <w:rPr>
                <w:rFonts w:eastAsia="Times New Roman"/>
                <w:sz w:val="20"/>
                <w:szCs w:val="20"/>
              </w:rPr>
              <w:t>Forfait</w:t>
            </w:r>
          </w:p>
        </w:tc>
        <w:tc>
          <w:tcPr>
            <w:tcW w:w="720" w:type="dxa"/>
            <w:tcBorders>
              <w:right w:val="single" w:sz="8" w:space="0" w:color="auto"/>
            </w:tcBorders>
            <w:vAlign w:val="bottom"/>
          </w:tcPr>
          <w:p w:rsidR="007C308F" w:rsidRDefault="007C308F" w:rsidP="00A76F4A">
            <w:pPr>
              <w:ind w:right="12"/>
              <w:rPr>
                <w:sz w:val="18"/>
                <w:szCs w:val="18"/>
              </w:rPr>
            </w:pPr>
          </w:p>
        </w:tc>
        <w:tc>
          <w:tcPr>
            <w:tcW w:w="1280" w:type="dxa"/>
            <w:tcBorders>
              <w:right w:val="single" w:sz="8" w:space="0" w:color="auto"/>
            </w:tcBorders>
            <w:vAlign w:val="bottom"/>
          </w:tcPr>
          <w:p w:rsidR="007C308F" w:rsidRDefault="007C308F" w:rsidP="00A76F4A">
            <w:pPr>
              <w:spacing w:line="216" w:lineRule="exact"/>
              <w:ind w:right="12"/>
              <w:jc w:val="center"/>
              <w:rPr>
                <w:sz w:val="20"/>
                <w:szCs w:val="20"/>
              </w:rPr>
            </w:pPr>
            <w:r>
              <w:rPr>
                <w:rFonts w:eastAsia="Times New Roman"/>
                <w:w w:val="96"/>
                <w:sz w:val="20"/>
                <w:szCs w:val="20"/>
              </w:rPr>
              <w:t>PM</w:t>
            </w:r>
          </w:p>
        </w:tc>
        <w:tc>
          <w:tcPr>
            <w:tcW w:w="2642" w:type="dxa"/>
            <w:tcBorders>
              <w:right w:val="single" w:sz="8" w:space="0" w:color="auto"/>
            </w:tcBorders>
            <w:vAlign w:val="bottom"/>
          </w:tcPr>
          <w:p w:rsidR="007C308F" w:rsidRDefault="007C308F" w:rsidP="00A76F4A">
            <w:pPr>
              <w:spacing w:line="216" w:lineRule="exact"/>
              <w:ind w:left="40" w:right="12"/>
              <w:rPr>
                <w:sz w:val="20"/>
                <w:szCs w:val="20"/>
              </w:rPr>
            </w:pPr>
            <w:r>
              <w:rPr>
                <w:rFonts w:eastAsia="Times New Roman"/>
                <w:sz w:val="20"/>
                <w:szCs w:val="20"/>
              </w:rPr>
              <w:t>Inclus dans le CGES</w:t>
            </w:r>
          </w:p>
        </w:tc>
      </w:tr>
      <w:tr w:rsidR="007C308F" w:rsidTr="00252B4C">
        <w:trPr>
          <w:trHeight w:val="230"/>
          <w:jc w:val="center"/>
        </w:trPr>
        <w:tc>
          <w:tcPr>
            <w:tcW w:w="3818" w:type="dxa"/>
            <w:gridSpan w:val="2"/>
            <w:tcBorders>
              <w:left w:val="single" w:sz="8" w:space="0" w:color="auto"/>
              <w:right w:val="single" w:sz="8" w:space="0" w:color="auto"/>
            </w:tcBorders>
            <w:vAlign w:val="bottom"/>
          </w:tcPr>
          <w:p w:rsidR="007C308F" w:rsidRDefault="007C308F" w:rsidP="00A76F4A">
            <w:pPr>
              <w:ind w:left="80" w:right="12"/>
              <w:rPr>
                <w:sz w:val="20"/>
                <w:szCs w:val="20"/>
              </w:rPr>
            </w:pPr>
            <w:r>
              <w:rPr>
                <w:rFonts w:eastAsia="Times New Roman"/>
                <w:sz w:val="20"/>
                <w:szCs w:val="20"/>
              </w:rPr>
              <w:t>techniques (expérimentation, fiches techniques)</w:t>
            </w:r>
          </w:p>
        </w:tc>
        <w:tc>
          <w:tcPr>
            <w:tcW w:w="1042" w:type="dxa"/>
            <w:tcBorders>
              <w:right w:val="single" w:sz="8" w:space="0" w:color="auto"/>
            </w:tcBorders>
            <w:vAlign w:val="bottom"/>
          </w:tcPr>
          <w:p w:rsidR="007C308F" w:rsidRDefault="007C308F" w:rsidP="00A76F4A">
            <w:pPr>
              <w:ind w:right="12"/>
              <w:rPr>
                <w:sz w:val="20"/>
                <w:szCs w:val="20"/>
              </w:rPr>
            </w:pPr>
          </w:p>
        </w:tc>
        <w:tc>
          <w:tcPr>
            <w:tcW w:w="1120" w:type="dxa"/>
            <w:tcBorders>
              <w:right w:val="single" w:sz="8" w:space="0" w:color="auto"/>
            </w:tcBorders>
            <w:vAlign w:val="bottom"/>
          </w:tcPr>
          <w:p w:rsidR="007C308F" w:rsidRDefault="007C308F" w:rsidP="00A76F4A">
            <w:pPr>
              <w:ind w:right="12"/>
              <w:rPr>
                <w:sz w:val="20"/>
                <w:szCs w:val="20"/>
              </w:rPr>
            </w:pPr>
          </w:p>
        </w:tc>
        <w:tc>
          <w:tcPr>
            <w:tcW w:w="720" w:type="dxa"/>
            <w:tcBorders>
              <w:right w:val="single" w:sz="8" w:space="0" w:color="auto"/>
            </w:tcBorders>
            <w:vAlign w:val="bottom"/>
          </w:tcPr>
          <w:p w:rsidR="007C308F" w:rsidRDefault="007C308F" w:rsidP="00A76F4A">
            <w:pPr>
              <w:ind w:right="12"/>
              <w:rPr>
                <w:sz w:val="20"/>
                <w:szCs w:val="20"/>
              </w:rPr>
            </w:pPr>
          </w:p>
        </w:tc>
        <w:tc>
          <w:tcPr>
            <w:tcW w:w="1280" w:type="dxa"/>
            <w:tcBorders>
              <w:right w:val="single" w:sz="8" w:space="0" w:color="auto"/>
            </w:tcBorders>
            <w:vAlign w:val="bottom"/>
          </w:tcPr>
          <w:p w:rsidR="007C308F" w:rsidRDefault="007C308F" w:rsidP="00A76F4A">
            <w:pPr>
              <w:ind w:right="12"/>
              <w:rPr>
                <w:sz w:val="20"/>
                <w:szCs w:val="20"/>
              </w:rPr>
            </w:pPr>
          </w:p>
        </w:tc>
        <w:tc>
          <w:tcPr>
            <w:tcW w:w="2642" w:type="dxa"/>
            <w:tcBorders>
              <w:right w:val="single" w:sz="8" w:space="0" w:color="auto"/>
            </w:tcBorders>
            <w:vAlign w:val="bottom"/>
          </w:tcPr>
          <w:p w:rsidR="007C308F" w:rsidRDefault="007C308F" w:rsidP="00A76F4A">
            <w:pPr>
              <w:ind w:right="12"/>
              <w:rPr>
                <w:sz w:val="20"/>
                <w:szCs w:val="20"/>
              </w:rPr>
            </w:pPr>
          </w:p>
        </w:tc>
      </w:tr>
      <w:tr w:rsidR="007C308F" w:rsidTr="00252B4C">
        <w:trPr>
          <w:trHeight w:val="256"/>
          <w:jc w:val="center"/>
        </w:trPr>
        <w:tc>
          <w:tcPr>
            <w:tcW w:w="3818" w:type="dxa"/>
            <w:gridSpan w:val="2"/>
            <w:tcBorders>
              <w:left w:val="single" w:sz="8" w:space="0" w:color="auto"/>
              <w:bottom w:val="single" w:sz="8" w:space="0" w:color="auto"/>
              <w:right w:val="single" w:sz="8" w:space="0" w:color="auto"/>
            </w:tcBorders>
            <w:vAlign w:val="bottom"/>
          </w:tcPr>
          <w:p w:rsidR="007C308F" w:rsidRDefault="007C308F" w:rsidP="00A76F4A">
            <w:pPr>
              <w:ind w:right="12"/>
            </w:pPr>
          </w:p>
        </w:tc>
        <w:tc>
          <w:tcPr>
            <w:tcW w:w="1042" w:type="dxa"/>
            <w:tcBorders>
              <w:bottom w:val="single" w:sz="8" w:space="0" w:color="auto"/>
              <w:right w:val="single" w:sz="8" w:space="0" w:color="auto"/>
            </w:tcBorders>
            <w:vAlign w:val="bottom"/>
          </w:tcPr>
          <w:p w:rsidR="007C308F" w:rsidRDefault="007C308F" w:rsidP="00A76F4A">
            <w:pPr>
              <w:ind w:right="12"/>
            </w:pPr>
          </w:p>
        </w:tc>
        <w:tc>
          <w:tcPr>
            <w:tcW w:w="1120" w:type="dxa"/>
            <w:tcBorders>
              <w:bottom w:val="single" w:sz="8" w:space="0" w:color="auto"/>
              <w:right w:val="single" w:sz="8" w:space="0" w:color="auto"/>
            </w:tcBorders>
            <w:vAlign w:val="bottom"/>
          </w:tcPr>
          <w:p w:rsidR="007C308F" w:rsidRDefault="007C308F" w:rsidP="00A76F4A">
            <w:pPr>
              <w:ind w:right="12"/>
            </w:pPr>
          </w:p>
        </w:tc>
        <w:tc>
          <w:tcPr>
            <w:tcW w:w="720" w:type="dxa"/>
            <w:tcBorders>
              <w:bottom w:val="single" w:sz="8" w:space="0" w:color="auto"/>
              <w:right w:val="single" w:sz="8" w:space="0" w:color="auto"/>
            </w:tcBorders>
            <w:vAlign w:val="bottom"/>
          </w:tcPr>
          <w:p w:rsidR="007C308F" w:rsidRDefault="007C308F" w:rsidP="00A76F4A">
            <w:pPr>
              <w:ind w:right="12"/>
            </w:pPr>
          </w:p>
        </w:tc>
        <w:tc>
          <w:tcPr>
            <w:tcW w:w="1280" w:type="dxa"/>
            <w:tcBorders>
              <w:bottom w:val="single" w:sz="8" w:space="0" w:color="auto"/>
              <w:right w:val="single" w:sz="8" w:space="0" w:color="auto"/>
            </w:tcBorders>
            <w:vAlign w:val="bottom"/>
          </w:tcPr>
          <w:p w:rsidR="007C308F" w:rsidRDefault="007C308F" w:rsidP="00A76F4A">
            <w:pPr>
              <w:ind w:right="12"/>
            </w:pPr>
          </w:p>
        </w:tc>
        <w:tc>
          <w:tcPr>
            <w:tcW w:w="2642" w:type="dxa"/>
            <w:tcBorders>
              <w:bottom w:val="single" w:sz="8" w:space="0" w:color="auto"/>
              <w:right w:val="single" w:sz="8" w:space="0" w:color="auto"/>
            </w:tcBorders>
            <w:vAlign w:val="bottom"/>
          </w:tcPr>
          <w:p w:rsidR="007C308F" w:rsidRDefault="007C308F" w:rsidP="00A76F4A">
            <w:pPr>
              <w:ind w:right="12"/>
            </w:pPr>
          </w:p>
        </w:tc>
      </w:tr>
      <w:tr w:rsidR="007C308F" w:rsidTr="00252B4C">
        <w:trPr>
          <w:trHeight w:val="212"/>
          <w:jc w:val="center"/>
        </w:trPr>
        <w:tc>
          <w:tcPr>
            <w:tcW w:w="3818" w:type="dxa"/>
            <w:gridSpan w:val="2"/>
            <w:tcBorders>
              <w:left w:val="single" w:sz="8" w:space="0" w:color="auto"/>
              <w:right w:val="single" w:sz="8" w:space="0" w:color="auto"/>
            </w:tcBorders>
            <w:vAlign w:val="bottom"/>
          </w:tcPr>
          <w:p w:rsidR="007C308F" w:rsidRDefault="007C308F" w:rsidP="00A76F4A">
            <w:pPr>
              <w:spacing w:line="211" w:lineRule="exact"/>
              <w:ind w:left="80" w:right="12"/>
              <w:rPr>
                <w:sz w:val="20"/>
                <w:szCs w:val="20"/>
              </w:rPr>
            </w:pPr>
            <w:r>
              <w:rPr>
                <w:rFonts w:eastAsia="Times New Roman"/>
                <w:sz w:val="20"/>
                <w:szCs w:val="20"/>
              </w:rPr>
              <w:t>Matériels de protection</w:t>
            </w:r>
          </w:p>
        </w:tc>
        <w:tc>
          <w:tcPr>
            <w:tcW w:w="1042" w:type="dxa"/>
            <w:tcBorders>
              <w:right w:val="single" w:sz="8" w:space="0" w:color="auto"/>
            </w:tcBorders>
            <w:vAlign w:val="bottom"/>
          </w:tcPr>
          <w:p w:rsidR="007C308F" w:rsidRDefault="007C308F" w:rsidP="00A76F4A">
            <w:pPr>
              <w:ind w:right="12"/>
              <w:rPr>
                <w:sz w:val="18"/>
                <w:szCs w:val="18"/>
              </w:rPr>
            </w:pPr>
          </w:p>
        </w:tc>
        <w:tc>
          <w:tcPr>
            <w:tcW w:w="1120" w:type="dxa"/>
            <w:tcBorders>
              <w:right w:val="single" w:sz="8" w:space="0" w:color="auto"/>
            </w:tcBorders>
            <w:vAlign w:val="bottom"/>
          </w:tcPr>
          <w:p w:rsidR="007C308F" w:rsidRDefault="007C308F" w:rsidP="00A76F4A">
            <w:pPr>
              <w:ind w:right="12"/>
              <w:rPr>
                <w:sz w:val="18"/>
                <w:szCs w:val="18"/>
              </w:rPr>
            </w:pPr>
          </w:p>
        </w:tc>
        <w:tc>
          <w:tcPr>
            <w:tcW w:w="720" w:type="dxa"/>
            <w:tcBorders>
              <w:right w:val="single" w:sz="8" w:space="0" w:color="auto"/>
            </w:tcBorders>
            <w:vAlign w:val="bottom"/>
          </w:tcPr>
          <w:p w:rsidR="007C308F" w:rsidRDefault="007C308F" w:rsidP="00A76F4A">
            <w:pPr>
              <w:ind w:right="12"/>
              <w:rPr>
                <w:sz w:val="18"/>
                <w:szCs w:val="18"/>
              </w:rPr>
            </w:pPr>
          </w:p>
        </w:tc>
        <w:tc>
          <w:tcPr>
            <w:tcW w:w="1280" w:type="dxa"/>
            <w:tcBorders>
              <w:right w:val="single" w:sz="8" w:space="0" w:color="auto"/>
            </w:tcBorders>
            <w:vAlign w:val="bottom"/>
          </w:tcPr>
          <w:p w:rsidR="007C308F" w:rsidRDefault="007C308F" w:rsidP="00A76F4A">
            <w:pPr>
              <w:spacing w:line="211" w:lineRule="exact"/>
              <w:ind w:right="12"/>
              <w:jc w:val="center"/>
              <w:rPr>
                <w:sz w:val="20"/>
                <w:szCs w:val="20"/>
              </w:rPr>
            </w:pPr>
            <w:r>
              <w:rPr>
                <w:rFonts w:eastAsia="Times New Roman"/>
                <w:w w:val="96"/>
                <w:sz w:val="20"/>
                <w:szCs w:val="20"/>
              </w:rPr>
              <w:t>PM</w:t>
            </w:r>
          </w:p>
        </w:tc>
        <w:tc>
          <w:tcPr>
            <w:tcW w:w="2642" w:type="dxa"/>
            <w:tcBorders>
              <w:right w:val="single" w:sz="8" w:space="0" w:color="auto"/>
            </w:tcBorders>
            <w:vAlign w:val="bottom"/>
          </w:tcPr>
          <w:p w:rsidR="007C308F" w:rsidRDefault="007C308F" w:rsidP="00A76F4A">
            <w:pPr>
              <w:spacing w:line="211" w:lineRule="exact"/>
              <w:ind w:left="40" w:right="12"/>
              <w:rPr>
                <w:sz w:val="20"/>
                <w:szCs w:val="20"/>
              </w:rPr>
            </w:pPr>
            <w:r>
              <w:rPr>
                <w:rFonts w:eastAsia="Times New Roman"/>
                <w:sz w:val="20"/>
                <w:szCs w:val="20"/>
              </w:rPr>
              <w:t>Inclus dans le projet PUSA</w:t>
            </w:r>
          </w:p>
        </w:tc>
      </w:tr>
      <w:tr w:rsidR="007C308F" w:rsidTr="00252B4C">
        <w:trPr>
          <w:trHeight w:val="80"/>
          <w:jc w:val="center"/>
        </w:trPr>
        <w:tc>
          <w:tcPr>
            <w:tcW w:w="1120" w:type="dxa"/>
            <w:tcBorders>
              <w:left w:val="single" w:sz="8" w:space="0" w:color="auto"/>
              <w:bottom w:val="single" w:sz="8" w:space="0" w:color="auto"/>
            </w:tcBorders>
            <w:vAlign w:val="bottom"/>
          </w:tcPr>
          <w:p w:rsidR="007C308F" w:rsidRDefault="007C308F" w:rsidP="00A76F4A">
            <w:pPr>
              <w:ind w:right="12"/>
              <w:rPr>
                <w:sz w:val="6"/>
                <w:szCs w:val="6"/>
              </w:rPr>
            </w:pPr>
          </w:p>
        </w:tc>
        <w:tc>
          <w:tcPr>
            <w:tcW w:w="2698" w:type="dxa"/>
            <w:tcBorders>
              <w:bottom w:val="single" w:sz="8" w:space="0" w:color="auto"/>
              <w:right w:val="single" w:sz="8" w:space="0" w:color="auto"/>
            </w:tcBorders>
            <w:vAlign w:val="bottom"/>
          </w:tcPr>
          <w:p w:rsidR="007C308F" w:rsidRDefault="007C308F" w:rsidP="00A76F4A">
            <w:pPr>
              <w:ind w:right="12"/>
              <w:rPr>
                <w:sz w:val="6"/>
                <w:szCs w:val="6"/>
              </w:rPr>
            </w:pPr>
          </w:p>
        </w:tc>
        <w:tc>
          <w:tcPr>
            <w:tcW w:w="1042" w:type="dxa"/>
            <w:tcBorders>
              <w:bottom w:val="single" w:sz="8" w:space="0" w:color="auto"/>
              <w:right w:val="single" w:sz="8" w:space="0" w:color="auto"/>
            </w:tcBorders>
            <w:vAlign w:val="bottom"/>
          </w:tcPr>
          <w:p w:rsidR="007C308F" w:rsidRDefault="007C308F" w:rsidP="00A76F4A">
            <w:pPr>
              <w:ind w:right="12"/>
              <w:rPr>
                <w:sz w:val="6"/>
                <w:szCs w:val="6"/>
              </w:rPr>
            </w:pPr>
          </w:p>
        </w:tc>
        <w:tc>
          <w:tcPr>
            <w:tcW w:w="1120" w:type="dxa"/>
            <w:tcBorders>
              <w:bottom w:val="single" w:sz="8" w:space="0" w:color="auto"/>
              <w:right w:val="single" w:sz="8" w:space="0" w:color="auto"/>
            </w:tcBorders>
            <w:vAlign w:val="bottom"/>
          </w:tcPr>
          <w:p w:rsidR="007C308F" w:rsidRDefault="007C308F" w:rsidP="00A76F4A">
            <w:pPr>
              <w:ind w:right="12"/>
              <w:rPr>
                <w:sz w:val="6"/>
                <w:szCs w:val="6"/>
              </w:rPr>
            </w:pPr>
          </w:p>
        </w:tc>
        <w:tc>
          <w:tcPr>
            <w:tcW w:w="720" w:type="dxa"/>
            <w:tcBorders>
              <w:bottom w:val="single" w:sz="8" w:space="0" w:color="auto"/>
              <w:right w:val="single" w:sz="8" w:space="0" w:color="auto"/>
            </w:tcBorders>
            <w:vAlign w:val="bottom"/>
          </w:tcPr>
          <w:p w:rsidR="007C308F" w:rsidRDefault="007C308F" w:rsidP="00A76F4A">
            <w:pPr>
              <w:ind w:right="12"/>
              <w:rPr>
                <w:sz w:val="6"/>
                <w:szCs w:val="6"/>
              </w:rPr>
            </w:pPr>
          </w:p>
        </w:tc>
        <w:tc>
          <w:tcPr>
            <w:tcW w:w="1280" w:type="dxa"/>
            <w:tcBorders>
              <w:bottom w:val="single" w:sz="8" w:space="0" w:color="auto"/>
              <w:right w:val="single" w:sz="8" w:space="0" w:color="auto"/>
            </w:tcBorders>
            <w:vAlign w:val="bottom"/>
          </w:tcPr>
          <w:p w:rsidR="007C308F" w:rsidRDefault="007C308F" w:rsidP="00A76F4A">
            <w:pPr>
              <w:ind w:right="12"/>
              <w:rPr>
                <w:sz w:val="6"/>
                <w:szCs w:val="6"/>
              </w:rPr>
            </w:pPr>
          </w:p>
        </w:tc>
        <w:tc>
          <w:tcPr>
            <w:tcW w:w="2642" w:type="dxa"/>
            <w:tcBorders>
              <w:bottom w:val="single" w:sz="8" w:space="0" w:color="auto"/>
              <w:right w:val="single" w:sz="8" w:space="0" w:color="auto"/>
            </w:tcBorders>
            <w:vAlign w:val="bottom"/>
          </w:tcPr>
          <w:p w:rsidR="007C308F" w:rsidRDefault="007C308F" w:rsidP="00A76F4A">
            <w:pPr>
              <w:ind w:right="12"/>
              <w:rPr>
                <w:sz w:val="6"/>
                <w:szCs w:val="6"/>
              </w:rPr>
            </w:pPr>
          </w:p>
        </w:tc>
      </w:tr>
      <w:tr w:rsidR="007C308F" w:rsidTr="00252B4C">
        <w:trPr>
          <w:trHeight w:val="216"/>
          <w:jc w:val="center"/>
        </w:trPr>
        <w:tc>
          <w:tcPr>
            <w:tcW w:w="1120" w:type="dxa"/>
            <w:tcBorders>
              <w:left w:val="single" w:sz="8" w:space="0" w:color="auto"/>
            </w:tcBorders>
            <w:vAlign w:val="bottom"/>
          </w:tcPr>
          <w:p w:rsidR="007C308F" w:rsidRPr="00A03248" w:rsidRDefault="007C308F" w:rsidP="00A76F4A">
            <w:pPr>
              <w:spacing w:line="216" w:lineRule="exact"/>
              <w:ind w:left="80" w:right="12"/>
              <w:rPr>
                <w:b/>
                <w:sz w:val="20"/>
                <w:szCs w:val="20"/>
              </w:rPr>
            </w:pPr>
            <w:r w:rsidRPr="00A03248">
              <w:rPr>
                <w:rFonts w:eastAsia="Times New Roman"/>
                <w:b/>
                <w:sz w:val="20"/>
                <w:szCs w:val="20"/>
              </w:rPr>
              <w:t>TOTAL</w:t>
            </w:r>
          </w:p>
        </w:tc>
        <w:tc>
          <w:tcPr>
            <w:tcW w:w="2698" w:type="dxa"/>
            <w:vAlign w:val="bottom"/>
          </w:tcPr>
          <w:p w:rsidR="007C308F" w:rsidRDefault="007C308F" w:rsidP="00A76F4A">
            <w:pPr>
              <w:ind w:right="12"/>
              <w:rPr>
                <w:sz w:val="18"/>
                <w:szCs w:val="18"/>
              </w:rPr>
            </w:pPr>
          </w:p>
        </w:tc>
        <w:tc>
          <w:tcPr>
            <w:tcW w:w="1042" w:type="dxa"/>
            <w:vAlign w:val="bottom"/>
          </w:tcPr>
          <w:p w:rsidR="007C308F" w:rsidRDefault="007C308F" w:rsidP="00A76F4A">
            <w:pPr>
              <w:ind w:right="12"/>
              <w:rPr>
                <w:sz w:val="18"/>
                <w:szCs w:val="18"/>
              </w:rPr>
            </w:pPr>
          </w:p>
        </w:tc>
        <w:tc>
          <w:tcPr>
            <w:tcW w:w="1120" w:type="dxa"/>
            <w:vAlign w:val="bottom"/>
          </w:tcPr>
          <w:p w:rsidR="007C308F" w:rsidRDefault="007C308F" w:rsidP="00A76F4A">
            <w:pPr>
              <w:ind w:right="12"/>
              <w:rPr>
                <w:sz w:val="18"/>
                <w:szCs w:val="18"/>
              </w:rPr>
            </w:pPr>
          </w:p>
        </w:tc>
        <w:tc>
          <w:tcPr>
            <w:tcW w:w="720" w:type="dxa"/>
            <w:tcBorders>
              <w:right w:val="single" w:sz="8" w:space="0" w:color="auto"/>
            </w:tcBorders>
            <w:vAlign w:val="bottom"/>
          </w:tcPr>
          <w:p w:rsidR="007C308F" w:rsidRDefault="007C308F" w:rsidP="00A76F4A">
            <w:pPr>
              <w:ind w:right="12"/>
              <w:rPr>
                <w:sz w:val="18"/>
                <w:szCs w:val="18"/>
              </w:rPr>
            </w:pPr>
          </w:p>
        </w:tc>
        <w:tc>
          <w:tcPr>
            <w:tcW w:w="1280" w:type="dxa"/>
            <w:tcBorders>
              <w:right w:val="single" w:sz="8" w:space="0" w:color="auto"/>
            </w:tcBorders>
            <w:vAlign w:val="bottom"/>
          </w:tcPr>
          <w:p w:rsidR="007C308F" w:rsidRDefault="007C308F" w:rsidP="00A76F4A">
            <w:pPr>
              <w:spacing w:line="216" w:lineRule="exact"/>
              <w:ind w:right="12"/>
              <w:jc w:val="center"/>
              <w:rPr>
                <w:sz w:val="20"/>
                <w:szCs w:val="20"/>
              </w:rPr>
            </w:pPr>
            <w:r>
              <w:rPr>
                <w:rFonts w:eastAsia="Times New Roman"/>
                <w:b/>
                <w:bCs/>
                <w:sz w:val="20"/>
                <w:szCs w:val="20"/>
              </w:rPr>
              <w:t>30 000 000</w:t>
            </w:r>
          </w:p>
        </w:tc>
        <w:tc>
          <w:tcPr>
            <w:tcW w:w="2642" w:type="dxa"/>
            <w:tcBorders>
              <w:right w:val="single" w:sz="8" w:space="0" w:color="auto"/>
            </w:tcBorders>
            <w:vAlign w:val="bottom"/>
          </w:tcPr>
          <w:p w:rsidR="007C308F" w:rsidRDefault="007C308F" w:rsidP="00A76F4A">
            <w:pPr>
              <w:ind w:right="12"/>
              <w:rPr>
                <w:sz w:val="18"/>
                <w:szCs w:val="18"/>
              </w:rPr>
            </w:pPr>
          </w:p>
        </w:tc>
      </w:tr>
      <w:tr w:rsidR="007C308F" w:rsidTr="00252B4C">
        <w:trPr>
          <w:trHeight w:val="76"/>
          <w:jc w:val="center"/>
        </w:trPr>
        <w:tc>
          <w:tcPr>
            <w:tcW w:w="1120" w:type="dxa"/>
            <w:tcBorders>
              <w:left w:val="single" w:sz="8" w:space="0" w:color="auto"/>
              <w:bottom w:val="single" w:sz="8" w:space="0" w:color="auto"/>
            </w:tcBorders>
            <w:vAlign w:val="bottom"/>
          </w:tcPr>
          <w:p w:rsidR="007C308F" w:rsidRDefault="007C308F" w:rsidP="00A76F4A">
            <w:pPr>
              <w:ind w:right="12"/>
              <w:rPr>
                <w:sz w:val="6"/>
                <w:szCs w:val="6"/>
              </w:rPr>
            </w:pPr>
          </w:p>
        </w:tc>
        <w:tc>
          <w:tcPr>
            <w:tcW w:w="2698" w:type="dxa"/>
            <w:tcBorders>
              <w:bottom w:val="single" w:sz="8" w:space="0" w:color="auto"/>
            </w:tcBorders>
            <w:vAlign w:val="bottom"/>
          </w:tcPr>
          <w:p w:rsidR="007C308F" w:rsidRDefault="007C308F" w:rsidP="00A76F4A">
            <w:pPr>
              <w:ind w:right="12"/>
              <w:rPr>
                <w:sz w:val="6"/>
                <w:szCs w:val="6"/>
              </w:rPr>
            </w:pPr>
          </w:p>
        </w:tc>
        <w:tc>
          <w:tcPr>
            <w:tcW w:w="1042" w:type="dxa"/>
            <w:tcBorders>
              <w:bottom w:val="single" w:sz="8" w:space="0" w:color="auto"/>
            </w:tcBorders>
            <w:vAlign w:val="bottom"/>
          </w:tcPr>
          <w:p w:rsidR="007C308F" w:rsidRDefault="007C308F" w:rsidP="00A76F4A">
            <w:pPr>
              <w:ind w:right="12"/>
              <w:rPr>
                <w:sz w:val="6"/>
                <w:szCs w:val="6"/>
              </w:rPr>
            </w:pPr>
          </w:p>
        </w:tc>
        <w:tc>
          <w:tcPr>
            <w:tcW w:w="1120" w:type="dxa"/>
            <w:tcBorders>
              <w:bottom w:val="single" w:sz="8" w:space="0" w:color="auto"/>
            </w:tcBorders>
            <w:vAlign w:val="bottom"/>
          </w:tcPr>
          <w:p w:rsidR="007C308F" w:rsidRDefault="007C308F" w:rsidP="00A76F4A">
            <w:pPr>
              <w:ind w:right="12"/>
              <w:rPr>
                <w:sz w:val="6"/>
                <w:szCs w:val="6"/>
              </w:rPr>
            </w:pPr>
          </w:p>
        </w:tc>
        <w:tc>
          <w:tcPr>
            <w:tcW w:w="720" w:type="dxa"/>
            <w:tcBorders>
              <w:bottom w:val="single" w:sz="8" w:space="0" w:color="auto"/>
              <w:right w:val="single" w:sz="8" w:space="0" w:color="auto"/>
            </w:tcBorders>
            <w:vAlign w:val="bottom"/>
          </w:tcPr>
          <w:p w:rsidR="007C308F" w:rsidRDefault="007C308F" w:rsidP="00A76F4A">
            <w:pPr>
              <w:ind w:right="12"/>
              <w:rPr>
                <w:sz w:val="6"/>
                <w:szCs w:val="6"/>
              </w:rPr>
            </w:pPr>
          </w:p>
        </w:tc>
        <w:tc>
          <w:tcPr>
            <w:tcW w:w="1280" w:type="dxa"/>
            <w:tcBorders>
              <w:bottom w:val="single" w:sz="8" w:space="0" w:color="auto"/>
              <w:right w:val="single" w:sz="8" w:space="0" w:color="auto"/>
            </w:tcBorders>
            <w:vAlign w:val="bottom"/>
          </w:tcPr>
          <w:p w:rsidR="007C308F" w:rsidRDefault="007C308F" w:rsidP="00A76F4A">
            <w:pPr>
              <w:ind w:right="12"/>
              <w:rPr>
                <w:sz w:val="6"/>
                <w:szCs w:val="6"/>
              </w:rPr>
            </w:pPr>
          </w:p>
        </w:tc>
        <w:tc>
          <w:tcPr>
            <w:tcW w:w="2642" w:type="dxa"/>
            <w:tcBorders>
              <w:bottom w:val="single" w:sz="8" w:space="0" w:color="auto"/>
              <w:right w:val="single" w:sz="8" w:space="0" w:color="auto"/>
            </w:tcBorders>
            <w:vAlign w:val="bottom"/>
          </w:tcPr>
          <w:p w:rsidR="007C308F" w:rsidRDefault="007C308F" w:rsidP="00A76F4A">
            <w:pPr>
              <w:ind w:right="12"/>
              <w:rPr>
                <w:sz w:val="6"/>
                <w:szCs w:val="6"/>
              </w:rPr>
            </w:pPr>
          </w:p>
        </w:tc>
      </w:tr>
    </w:tbl>
    <w:p w:rsidR="00AD7BEE" w:rsidRDefault="00AD7BEE" w:rsidP="00A76F4A">
      <w:pPr>
        <w:spacing w:line="20" w:lineRule="exact"/>
        <w:ind w:right="12"/>
        <w:rPr>
          <w:sz w:val="20"/>
          <w:szCs w:val="20"/>
        </w:rPr>
      </w:pPr>
    </w:p>
    <w:p w:rsidR="00AD7BEE" w:rsidRDefault="00AD7BEE" w:rsidP="00A76F4A">
      <w:pPr>
        <w:spacing w:line="200" w:lineRule="exact"/>
        <w:ind w:right="12"/>
        <w:rPr>
          <w:sz w:val="20"/>
          <w:szCs w:val="20"/>
        </w:rPr>
      </w:pPr>
    </w:p>
    <w:p w:rsidR="00720117" w:rsidRDefault="00720117" w:rsidP="00A76F4A">
      <w:pPr>
        <w:spacing w:line="200" w:lineRule="exact"/>
        <w:ind w:right="12"/>
        <w:rPr>
          <w:sz w:val="20"/>
          <w:szCs w:val="20"/>
        </w:rPr>
      </w:pPr>
    </w:p>
    <w:p w:rsidR="006F4E8C" w:rsidRDefault="006F4E8C" w:rsidP="00A76F4A">
      <w:pPr>
        <w:ind w:left="708" w:right="12"/>
        <w:rPr>
          <w:sz w:val="20"/>
          <w:szCs w:val="20"/>
        </w:rPr>
      </w:pPr>
      <w:r>
        <w:rPr>
          <w:rFonts w:eastAsia="Times New Roman"/>
          <w:b/>
          <w:bCs/>
        </w:rPr>
        <w:t>Bibliographie</w:t>
      </w:r>
    </w:p>
    <w:p w:rsidR="008A7978" w:rsidRPr="00766DE5" w:rsidRDefault="006F4E8C" w:rsidP="00A76F4A">
      <w:pPr>
        <w:numPr>
          <w:ilvl w:val="0"/>
          <w:numId w:val="152"/>
        </w:numPr>
        <w:spacing w:line="227" w:lineRule="auto"/>
        <w:ind w:left="142" w:right="12" w:hanging="364"/>
        <w:rPr>
          <w:rFonts w:ascii="Symbol" w:eastAsia="Symbol" w:hAnsi="Symbol" w:cs="Symbol"/>
          <w:sz w:val="20"/>
          <w:szCs w:val="20"/>
        </w:rPr>
      </w:pPr>
      <w:r w:rsidRPr="00A03248">
        <w:rPr>
          <w:rFonts w:eastAsia="Times New Roman"/>
          <w:sz w:val="20"/>
          <w:szCs w:val="20"/>
        </w:rPr>
        <w:t xml:space="preserve">Comité Permanent Inter Etats de Lutte Contre la Sécheresse au Sahel (CILSS) </w:t>
      </w:r>
    </w:p>
    <w:p w:rsidR="00C9604D" w:rsidRPr="00A03248" w:rsidRDefault="00C9604D" w:rsidP="00A76F4A">
      <w:pPr>
        <w:numPr>
          <w:ilvl w:val="0"/>
          <w:numId w:val="152"/>
        </w:numPr>
        <w:tabs>
          <w:tab w:val="left" w:pos="8647"/>
        </w:tabs>
        <w:spacing w:line="227" w:lineRule="auto"/>
        <w:ind w:left="142" w:right="12" w:hanging="364"/>
        <w:rPr>
          <w:rFonts w:ascii="Symbol" w:eastAsia="Symbol" w:hAnsi="Symbol" w:cs="Symbol"/>
          <w:sz w:val="20"/>
          <w:szCs w:val="20"/>
        </w:rPr>
      </w:pPr>
      <w:r>
        <w:rPr>
          <w:rFonts w:eastAsia="Times New Roman"/>
          <w:sz w:val="20"/>
          <w:szCs w:val="20"/>
        </w:rPr>
        <w:t>PGP du PAESAII, Avril 2014</w:t>
      </w:r>
    </w:p>
    <w:p w:rsidR="008A7978" w:rsidRPr="00A03248" w:rsidRDefault="008A7978" w:rsidP="00A76F4A">
      <w:pPr>
        <w:numPr>
          <w:ilvl w:val="0"/>
          <w:numId w:val="152"/>
        </w:numPr>
        <w:tabs>
          <w:tab w:val="left" w:pos="8647"/>
        </w:tabs>
        <w:spacing w:line="227" w:lineRule="auto"/>
        <w:ind w:left="142" w:right="12" w:hanging="364"/>
        <w:rPr>
          <w:rFonts w:ascii="Symbol" w:eastAsia="Symbol" w:hAnsi="Symbol" w:cs="Symbol"/>
          <w:sz w:val="20"/>
          <w:szCs w:val="20"/>
        </w:rPr>
      </w:pPr>
      <w:r w:rsidRPr="00A03248">
        <w:rPr>
          <w:rFonts w:eastAsia="Times New Roman"/>
          <w:sz w:val="20"/>
          <w:szCs w:val="20"/>
        </w:rPr>
        <w:t>Plan de Gestion des Pestes et des Pesticides (PGPP) PEASE II avril 2014</w:t>
      </w:r>
    </w:p>
    <w:p w:rsidR="006F4E8C" w:rsidRPr="00A03248" w:rsidRDefault="006F4E8C" w:rsidP="00A76F4A">
      <w:pPr>
        <w:numPr>
          <w:ilvl w:val="0"/>
          <w:numId w:val="152"/>
        </w:numPr>
        <w:tabs>
          <w:tab w:val="left" w:pos="8647"/>
        </w:tabs>
        <w:spacing w:line="227" w:lineRule="auto"/>
        <w:ind w:left="142" w:right="12" w:hanging="364"/>
        <w:rPr>
          <w:rFonts w:ascii="Symbol" w:eastAsia="Symbol" w:hAnsi="Symbol" w:cs="Symbol"/>
          <w:sz w:val="20"/>
          <w:szCs w:val="20"/>
        </w:rPr>
      </w:pPr>
      <w:r w:rsidRPr="00A03248">
        <w:rPr>
          <w:rFonts w:eastAsia="Times New Roman"/>
          <w:sz w:val="20"/>
          <w:szCs w:val="20"/>
        </w:rPr>
        <w:t xml:space="preserve">Réglementation Commune aux Etats membres du CILss sur l’Homologation des Pesticides, dec, </w:t>
      </w:r>
      <w:r w:rsidR="00C57DC6" w:rsidRPr="00A03248">
        <w:rPr>
          <w:rFonts w:eastAsia="Times New Roman"/>
          <w:sz w:val="20"/>
          <w:szCs w:val="20"/>
        </w:rPr>
        <w:t>1999 ;</w:t>
      </w:r>
    </w:p>
    <w:p w:rsidR="006F4E8C" w:rsidRPr="00A03248" w:rsidRDefault="006F4E8C" w:rsidP="00A76F4A">
      <w:pPr>
        <w:tabs>
          <w:tab w:val="left" w:pos="8647"/>
        </w:tabs>
        <w:spacing w:line="1" w:lineRule="exact"/>
        <w:ind w:left="142" w:right="12"/>
        <w:rPr>
          <w:rFonts w:ascii="Symbol" w:eastAsia="Symbol" w:hAnsi="Symbol" w:cs="Symbol"/>
          <w:sz w:val="20"/>
          <w:szCs w:val="20"/>
        </w:rPr>
      </w:pPr>
    </w:p>
    <w:p w:rsidR="006F4E8C" w:rsidRPr="00A03248" w:rsidRDefault="006F4E8C" w:rsidP="00A76F4A">
      <w:pPr>
        <w:numPr>
          <w:ilvl w:val="0"/>
          <w:numId w:val="152"/>
        </w:numPr>
        <w:tabs>
          <w:tab w:val="left" w:pos="8647"/>
        </w:tabs>
        <w:spacing w:line="237" w:lineRule="auto"/>
        <w:ind w:left="142" w:right="12" w:hanging="364"/>
        <w:rPr>
          <w:rFonts w:ascii="Symbol" w:eastAsia="Symbol" w:hAnsi="Symbol" w:cs="Symbol"/>
          <w:sz w:val="20"/>
          <w:szCs w:val="20"/>
        </w:rPr>
      </w:pPr>
      <w:r w:rsidRPr="00A03248">
        <w:rPr>
          <w:rFonts w:eastAsia="Times New Roman"/>
          <w:sz w:val="20"/>
          <w:szCs w:val="20"/>
        </w:rPr>
        <w:t xml:space="preserve">Signature de la convention de Rotterdam par le Guinée Bissau en </w:t>
      </w:r>
      <w:r w:rsidR="00C57DC6" w:rsidRPr="00A03248">
        <w:rPr>
          <w:rFonts w:eastAsia="Times New Roman"/>
          <w:sz w:val="20"/>
          <w:szCs w:val="20"/>
        </w:rPr>
        <w:t>1999 ;</w:t>
      </w:r>
    </w:p>
    <w:p w:rsidR="006F4E8C" w:rsidRPr="00A03248" w:rsidRDefault="006F4E8C" w:rsidP="00A76F4A">
      <w:pPr>
        <w:numPr>
          <w:ilvl w:val="0"/>
          <w:numId w:val="152"/>
        </w:numPr>
        <w:tabs>
          <w:tab w:val="left" w:pos="8647"/>
        </w:tabs>
        <w:ind w:left="142" w:right="12" w:hanging="364"/>
        <w:rPr>
          <w:rFonts w:ascii="Symbol" w:eastAsia="Symbol" w:hAnsi="Symbol" w:cs="Symbol"/>
          <w:sz w:val="20"/>
          <w:szCs w:val="20"/>
        </w:rPr>
      </w:pPr>
      <w:r w:rsidRPr="00A03248">
        <w:rPr>
          <w:rFonts w:eastAsia="Times New Roman"/>
          <w:sz w:val="20"/>
          <w:szCs w:val="20"/>
        </w:rPr>
        <w:t>PEASA, Manuel d'utilisation des pesticides (2011)</w:t>
      </w:r>
    </w:p>
    <w:p w:rsidR="006F4E8C" w:rsidRPr="00A03248" w:rsidRDefault="006F4E8C" w:rsidP="00A76F4A">
      <w:pPr>
        <w:numPr>
          <w:ilvl w:val="0"/>
          <w:numId w:val="152"/>
        </w:numPr>
        <w:tabs>
          <w:tab w:val="left" w:pos="8647"/>
        </w:tabs>
        <w:ind w:left="142" w:right="12" w:hanging="364"/>
        <w:rPr>
          <w:rFonts w:ascii="Symbol" w:eastAsia="Symbol" w:hAnsi="Symbol" w:cs="Symbol"/>
          <w:sz w:val="20"/>
          <w:szCs w:val="20"/>
        </w:rPr>
      </w:pPr>
      <w:r w:rsidRPr="00A03248">
        <w:rPr>
          <w:rFonts w:eastAsia="Times New Roman"/>
          <w:sz w:val="20"/>
          <w:szCs w:val="20"/>
        </w:rPr>
        <w:t>Liste Globale actualisé des pesticides autorisés par le CSP, janvier 1999,</w:t>
      </w:r>
    </w:p>
    <w:p w:rsidR="006F4E8C" w:rsidRPr="00A03248" w:rsidRDefault="006F4E8C" w:rsidP="00A76F4A">
      <w:pPr>
        <w:numPr>
          <w:ilvl w:val="0"/>
          <w:numId w:val="152"/>
        </w:numPr>
        <w:tabs>
          <w:tab w:val="left" w:pos="8647"/>
        </w:tabs>
        <w:ind w:left="142" w:right="12" w:hanging="364"/>
        <w:rPr>
          <w:rFonts w:ascii="Symbol" w:eastAsia="Symbol" w:hAnsi="Symbol" w:cs="Symbol"/>
          <w:sz w:val="20"/>
          <w:szCs w:val="20"/>
        </w:rPr>
      </w:pPr>
      <w:r w:rsidRPr="00A03248">
        <w:rPr>
          <w:rFonts w:eastAsia="Times New Roman"/>
          <w:sz w:val="20"/>
          <w:szCs w:val="20"/>
        </w:rPr>
        <w:t>Protocole de Carthagène sur la prévention des risques biotechnologiques signée en 2000 ;</w:t>
      </w:r>
    </w:p>
    <w:p w:rsidR="006F4E8C" w:rsidRPr="00A03248" w:rsidRDefault="006F4E8C" w:rsidP="00A76F4A">
      <w:pPr>
        <w:tabs>
          <w:tab w:val="left" w:pos="8647"/>
        </w:tabs>
        <w:spacing w:line="26" w:lineRule="exact"/>
        <w:ind w:left="142" w:right="12"/>
        <w:rPr>
          <w:rFonts w:ascii="Symbol" w:eastAsia="Symbol" w:hAnsi="Symbol" w:cs="Symbol"/>
          <w:sz w:val="20"/>
          <w:szCs w:val="20"/>
        </w:rPr>
      </w:pPr>
    </w:p>
    <w:p w:rsidR="006F4E8C" w:rsidRPr="00A03248" w:rsidRDefault="006F4E8C" w:rsidP="00A76F4A">
      <w:pPr>
        <w:numPr>
          <w:ilvl w:val="0"/>
          <w:numId w:val="152"/>
        </w:numPr>
        <w:tabs>
          <w:tab w:val="left" w:pos="8647"/>
        </w:tabs>
        <w:spacing w:line="227" w:lineRule="auto"/>
        <w:ind w:left="142" w:right="12" w:hanging="364"/>
        <w:rPr>
          <w:rFonts w:ascii="Symbol" w:eastAsia="Symbol" w:hAnsi="Symbol" w:cs="Symbol"/>
          <w:sz w:val="20"/>
          <w:szCs w:val="20"/>
        </w:rPr>
      </w:pPr>
      <w:r w:rsidRPr="00A03248">
        <w:rPr>
          <w:rFonts w:eastAsia="Times New Roman"/>
          <w:sz w:val="20"/>
          <w:szCs w:val="20"/>
        </w:rPr>
        <w:t>Protocole d’Accord créant l’Agence Internationale de Développement de l’Information environnementale (ADIE) en Juillet 1997 renouvelé en Mars 2003 ;</w:t>
      </w:r>
    </w:p>
    <w:p w:rsidR="006F4E8C" w:rsidRPr="00A03248" w:rsidRDefault="006F4E8C" w:rsidP="00A76F4A">
      <w:pPr>
        <w:tabs>
          <w:tab w:val="left" w:pos="8647"/>
        </w:tabs>
        <w:spacing w:line="29" w:lineRule="exact"/>
        <w:ind w:left="142" w:right="12"/>
        <w:rPr>
          <w:rFonts w:ascii="Symbol" w:eastAsia="Symbol" w:hAnsi="Symbol" w:cs="Symbol"/>
          <w:sz w:val="20"/>
          <w:szCs w:val="20"/>
        </w:rPr>
      </w:pPr>
    </w:p>
    <w:p w:rsidR="006F4E8C" w:rsidRPr="00A03248" w:rsidRDefault="006F4E8C" w:rsidP="00A76F4A">
      <w:pPr>
        <w:numPr>
          <w:ilvl w:val="0"/>
          <w:numId w:val="152"/>
        </w:numPr>
        <w:tabs>
          <w:tab w:val="left" w:pos="8647"/>
        </w:tabs>
        <w:spacing w:line="227" w:lineRule="auto"/>
        <w:ind w:left="142" w:right="12" w:hanging="364"/>
        <w:rPr>
          <w:rFonts w:ascii="Symbol" w:eastAsia="Symbol" w:hAnsi="Symbol" w:cs="Symbol"/>
          <w:sz w:val="20"/>
          <w:szCs w:val="20"/>
        </w:rPr>
      </w:pPr>
      <w:r w:rsidRPr="00A03248">
        <w:rPr>
          <w:rFonts w:eastAsia="Times New Roman"/>
          <w:sz w:val="20"/>
          <w:szCs w:val="20"/>
        </w:rPr>
        <w:t>Protocole de Montréal relatif à des substances qui appauvrissent la couche d’ozone, entrée en vigueur le 1er Janvier 1989 et ratifié par 183 pays ;</w:t>
      </w:r>
    </w:p>
    <w:p w:rsidR="006F4E8C" w:rsidRPr="00A03248" w:rsidRDefault="006F4E8C" w:rsidP="00A76F4A">
      <w:pPr>
        <w:tabs>
          <w:tab w:val="left" w:pos="8647"/>
        </w:tabs>
        <w:spacing w:line="1" w:lineRule="exact"/>
        <w:ind w:left="142" w:right="12"/>
        <w:rPr>
          <w:rFonts w:ascii="Symbol" w:eastAsia="Symbol" w:hAnsi="Symbol" w:cs="Symbol"/>
          <w:sz w:val="20"/>
          <w:szCs w:val="20"/>
        </w:rPr>
      </w:pPr>
    </w:p>
    <w:p w:rsidR="006F4E8C" w:rsidRPr="00A03248" w:rsidRDefault="006F4E8C" w:rsidP="00A76F4A">
      <w:pPr>
        <w:numPr>
          <w:ilvl w:val="0"/>
          <w:numId w:val="152"/>
        </w:numPr>
        <w:tabs>
          <w:tab w:val="left" w:pos="8647"/>
        </w:tabs>
        <w:spacing w:line="237" w:lineRule="auto"/>
        <w:ind w:left="142" w:right="12" w:hanging="364"/>
        <w:rPr>
          <w:rFonts w:ascii="Symbol" w:eastAsia="Symbol" w:hAnsi="Symbol" w:cs="Symbol"/>
          <w:sz w:val="20"/>
          <w:szCs w:val="20"/>
        </w:rPr>
      </w:pPr>
      <w:r w:rsidRPr="00A03248">
        <w:rPr>
          <w:rFonts w:eastAsia="Times New Roman"/>
          <w:sz w:val="20"/>
          <w:szCs w:val="20"/>
        </w:rPr>
        <w:t>Convention International pour la Protection des Végétaux ‘’CIPV’’ (nouveau texte révisé) ;</w:t>
      </w:r>
    </w:p>
    <w:p w:rsidR="006F4E8C" w:rsidRPr="00A03248" w:rsidRDefault="006F4E8C" w:rsidP="00A76F4A">
      <w:pPr>
        <w:numPr>
          <w:ilvl w:val="0"/>
          <w:numId w:val="152"/>
        </w:numPr>
        <w:tabs>
          <w:tab w:val="left" w:pos="8647"/>
        </w:tabs>
        <w:ind w:left="142" w:right="12" w:hanging="364"/>
        <w:rPr>
          <w:rFonts w:ascii="Symbol" w:eastAsia="Symbol" w:hAnsi="Symbol" w:cs="Symbol"/>
          <w:sz w:val="20"/>
          <w:szCs w:val="20"/>
        </w:rPr>
      </w:pPr>
      <w:r w:rsidRPr="00A03248">
        <w:rPr>
          <w:rFonts w:eastAsia="Times New Roman"/>
          <w:sz w:val="20"/>
          <w:szCs w:val="20"/>
        </w:rPr>
        <w:t>Convention de Stockholm sur les Polluants Organiques Persistants signée et ratifiée en 2002 ;</w:t>
      </w:r>
    </w:p>
    <w:p w:rsidR="006F4E8C" w:rsidRPr="00A03248" w:rsidRDefault="006F4E8C" w:rsidP="00A76F4A">
      <w:pPr>
        <w:tabs>
          <w:tab w:val="left" w:pos="8647"/>
        </w:tabs>
        <w:spacing w:line="26" w:lineRule="exact"/>
        <w:ind w:left="142" w:right="12"/>
        <w:rPr>
          <w:rFonts w:ascii="Symbol" w:eastAsia="Symbol" w:hAnsi="Symbol" w:cs="Symbol"/>
          <w:sz w:val="20"/>
          <w:szCs w:val="20"/>
        </w:rPr>
      </w:pPr>
    </w:p>
    <w:p w:rsidR="006F4E8C" w:rsidRPr="00A03248" w:rsidRDefault="006F4E8C" w:rsidP="00A76F4A">
      <w:pPr>
        <w:tabs>
          <w:tab w:val="left" w:pos="8647"/>
        </w:tabs>
        <w:spacing w:line="26" w:lineRule="exact"/>
        <w:ind w:left="142" w:right="12"/>
        <w:rPr>
          <w:rFonts w:ascii="Symbol" w:eastAsia="Symbol" w:hAnsi="Symbol" w:cs="Symbol"/>
          <w:sz w:val="20"/>
          <w:szCs w:val="20"/>
        </w:rPr>
      </w:pPr>
    </w:p>
    <w:p w:rsidR="006F4E8C" w:rsidRPr="00A03248" w:rsidRDefault="006F4E8C" w:rsidP="00A76F4A">
      <w:pPr>
        <w:numPr>
          <w:ilvl w:val="0"/>
          <w:numId w:val="152"/>
        </w:numPr>
        <w:tabs>
          <w:tab w:val="left" w:pos="8647"/>
        </w:tabs>
        <w:spacing w:line="227" w:lineRule="auto"/>
        <w:ind w:left="142" w:right="12" w:hanging="364"/>
        <w:rPr>
          <w:rFonts w:ascii="Symbol" w:eastAsia="Symbol" w:hAnsi="Symbol" w:cs="Symbol"/>
          <w:sz w:val="20"/>
          <w:szCs w:val="20"/>
        </w:rPr>
      </w:pPr>
      <w:r w:rsidRPr="00A03248">
        <w:rPr>
          <w:rFonts w:eastAsia="Times New Roman"/>
          <w:sz w:val="20"/>
          <w:szCs w:val="20"/>
        </w:rPr>
        <w:t xml:space="preserve">Convention de Berne sur la conservation de la faune et de la flore sauvage Européennes et de leurs Habitats naturels </w:t>
      </w:r>
    </w:p>
    <w:p w:rsidR="006F4E8C" w:rsidRPr="00A03248" w:rsidRDefault="006F4E8C" w:rsidP="00A76F4A">
      <w:pPr>
        <w:tabs>
          <w:tab w:val="left" w:pos="8647"/>
        </w:tabs>
        <w:spacing w:line="29" w:lineRule="exact"/>
        <w:ind w:left="142" w:right="12"/>
        <w:rPr>
          <w:rFonts w:ascii="Symbol" w:eastAsia="Symbol" w:hAnsi="Symbol" w:cs="Symbol"/>
          <w:sz w:val="20"/>
          <w:szCs w:val="20"/>
        </w:rPr>
      </w:pPr>
    </w:p>
    <w:p w:rsidR="006F4E8C" w:rsidRPr="00A03248" w:rsidRDefault="006F4E8C" w:rsidP="00A76F4A">
      <w:pPr>
        <w:numPr>
          <w:ilvl w:val="0"/>
          <w:numId w:val="152"/>
        </w:numPr>
        <w:tabs>
          <w:tab w:val="left" w:pos="8647"/>
        </w:tabs>
        <w:spacing w:line="231" w:lineRule="auto"/>
        <w:ind w:left="142" w:right="12" w:hanging="364"/>
        <w:jc w:val="both"/>
        <w:rPr>
          <w:rFonts w:ascii="Symbol" w:eastAsia="Symbol" w:hAnsi="Symbol" w:cs="Symbol"/>
          <w:sz w:val="20"/>
          <w:szCs w:val="20"/>
        </w:rPr>
      </w:pPr>
      <w:r w:rsidRPr="00A03248">
        <w:rPr>
          <w:rFonts w:eastAsia="Times New Roman"/>
          <w:sz w:val="20"/>
          <w:szCs w:val="20"/>
        </w:rPr>
        <w:t>Convention de Bâle sur le contrôle des mouvements transfrontaliers les déchets dangereux et de leur élimination, conclue à Bâle, Suisse, le 22 Mars 1989 et entrée en vigueur en Mai 1992 ;</w:t>
      </w:r>
    </w:p>
    <w:p w:rsidR="006F4E8C" w:rsidRPr="00A03248" w:rsidRDefault="006F4E8C" w:rsidP="00A76F4A">
      <w:pPr>
        <w:tabs>
          <w:tab w:val="left" w:pos="8647"/>
        </w:tabs>
        <w:spacing w:line="28" w:lineRule="exact"/>
        <w:ind w:left="142" w:right="12"/>
        <w:rPr>
          <w:rFonts w:ascii="Symbol" w:eastAsia="Symbol" w:hAnsi="Symbol" w:cs="Symbol"/>
          <w:sz w:val="20"/>
          <w:szCs w:val="20"/>
        </w:rPr>
      </w:pPr>
    </w:p>
    <w:p w:rsidR="006F4E8C" w:rsidRPr="00A03248" w:rsidRDefault="006F4E8C" w:rsidP="00A76F4A">
      <w:pPr>
        <w:numPr>
          <w:ilvl w:val="0"/>
          <w:numId w:val="152"/>
        </w:numPr>
        <w:tabs>
          <w:tab w:val="left" w:pos="8647"/>
        </w:tabs>
        <w:spacing w:line="231" w:lineRule="auto"/>
        <w:ind w:left="142" w:right="12" w:hanging="364"/>
        <w:jc w:val="both"/>
        <w:rPr>
          <w:rFonts w:ascii="Symbol" w:eastAsia="Symbol" w:hAnsi="Symbol" w:cs="Symbol"/>
          <w:sz w:val="20"/>
          <w:szCs w:val="20"/>
        </w:rPr>
      </w:pPr>
      <w:r w:rsidRPr="00A03248">
        <w:rPr>
          <w:rFonts w:eastAsia="Times New Roman"/>
          <w:sz w:val="20"/>
          <w:szCs w:val="20"/>
        </w:rPr>
        <w:t>Convention de Rotterdam sur la procédure de consentement préalable en connaissance de cause applicable à certains produits chimiques et pesticides dangereux qui fait l’objet d’un commerce International ;</w:t>
      </w:r>
    </w:p>
    <w:p w:rsidR="006F4E8C" w:rsidRPr="00A03248" w:rsidRDefault="006F4E8C" w:rsidP="00A76F4A">
      <w:pPr>
        <w:tabs>
          <w:tab w:val="left" w:pos="8647"/>
        </w:tabs>
        <w:spacing w:line="26" w:lineRule="exact"/>
        <w:ind w:left="142" w:right="12"/>
        <w:rPr>
          <w:rFonts w:ascii="Symbol" w:eastAsia="Symbol" w:hAnsi="Symbol" w:cs="Symbol"/>
          <w:sz w:val="20"/>
          <w:szCs w:val="20"/>
        </w:rPr>
      </w:pPr>
    </w:p>
    <w:p w:rsidR="006F4E8C" w:rsidRPr="00A03248" w:rsidRDefault="006F4E8C" w:rsidP="00A76F4A">
      <w:pPr>
        <w:numPr>
          <w:ilvl w:val="0"/>
          <w:numId w:val="152"/>
        </w:numPr>
        <w:tabs>
          <w:tab w:val="left" w:pos="8647"/>
        </w:tabs>
        <w:spacing w:line="227" w:lineRule="auto"/>
        <w:ind w:left="142" w:right="12" w:hanging="364"/>
        <w:rPr>
          <w:rFonts w:ascii="Symbol" w:eastAsia="Symbol" w:hAnsi="Symbol" w:cs="Symbol"/>
          <w:sz w:val="20"/>
          <w:szCs w:val="20"/>
        </w:rPr>
      </w:pPr>
      <w:r w:rsidRPr="00A03248">
        <w:rPr>
          <w:rFonts w:eastAsia="Times New Roman"/>
          <w:sz w:val="20"/>
          <w:szCs w:val="20"/>
        </w:rPr>
        <w:t>Convention sur la diversité biologique adoptée au Sommet de la Terre de 1992 à Rio de Janeiro, Brésil ;</w:t>
      </w:r>
    </w:p>
    <w:p w:rsidR="006F4E8C" w:rsidRPr="00A03248" w:rsidRDefault="006F4E8C" w:rsidP="00A76F4A">
      <w:pPr>
        <w:tabs>
          <w:tab w:val="left" w:pos="8647"/>
        </w:tabs>
        <w:spacing w:line="29" w:lineRule="exact"/>
        <w:ind w:left="142" w:right="12"/>
        <w:rPr>
          <w:rFonts w:ascii="Symbol" w:eastAsia="Symbol" w:hAnsi="Symbol" w:cs="Symbol"/>
          <w:sz w:val="20"/>
          <w:szCs w:val="20"/>
        </w:rPr>
      </w:pPr>
    </w:p>
    <w:p w:rsidR="004150BA" w:rsidRDefault="006F4E8C" w:rsidP="00A76F4A">
      <w:pPr>
        <w:numPr>
          <w:ilvl w:val="0"/>
          <w:numId w:val="152"/>
        </w:numPr>
        <w:tabs>
          <w:tab w:val="left" w:pos="8647"/>
        </w:tabs>
        <w:spacing w:line="227" w:lineRule="auto"/>
        <w:ind w:left="142" w:right="12" w:hanging="364"/>
        <w:rPr>
          <w:rFonts w:ascii="Symbol" w:eastAsia="Symbol" w:hAnsi="Symbol" w:cs="Symbol"/>
          <w:sz w:val="20"/>
          <w:szCs w:val="20"/>
        </w:rPr>
      </w:pPr>
      <w:r w:rsidRPr="00A03248">
        <w:rPr>
          <w:rFonts w:eastAsia="Times New Roman"/>
          <w:sz w:val="20"/>
          <w:szCs w:val="20"/>
        </w:rPr>
        <w:t>Convention de Bamako sur l’interdiction d’importer des déchets dangereux et le contrôle de leurs mouvements transfrontaliers en Afrique, adoptée le 30 Janvier 1991.</w:t>
      </w:r>
    </w:p>
    <w:p w:rsidR="00F20DD9" w:rsidRPr="004150BA" w:rsidRDefault="006F4E8C" w:rsidP="00A76F4A">
      <w:pPr>
        <w:numPr>
          <w:ilvl w:val="0"/>
          <w:numId w:val="152"/>
        </w:numPr>
        <w:tabs>
          <w:tab w:val="left" w:pos="8647"/>
        </w:tabs>
        <w:spacing w:line="227" w:lineRule="auto"/>
        <w:ind w:left="142" w:right="12" w:hanging="364"/>
        <w:rPr>
          <w:rFonts w:ascii="Symbol" w:eastAsia="Symbol" w:hAnsi="Symbol" w:cs="Symbol"/>
          <w:sz w:val="20"/>
          <w:szCs w:val="20"/>
          <w:lang w:val="en-US"/>
        </w:rPr>
      </w:pPr>
      <w:r w:rsidRPr="004150BA">
        <w:rPr>
          <w:rFonts w:eastAsia="Times New Roman"/>
          <w:sz w:val="20"/>
          <w:szCs w:val="20"/>
          <w:lang w:val="en-US"/>
        </w:rPr>
        <w:t>The World Bank Operational Manuel Bank Procedures Application of EA to projects</w:t>
      </w:r>
    </w:p>
    <w:p w:rsidR="001A0D27" w:rsidRPr="00D47C37" w:rsidRDefault="00575A3E" w:rsidP="00A76F4A">
      <w:pPr>
        <w:pStyle w:val="Cabealho1"/>
        <w:numPr>
          <w:ilvl w:val="0"/>
          <w:numId w:val="0"/>
        </w:numPr>
        <w:pBdr>
          <w:bottom w:val="thickThinSmallGap" w:sz="24" w:space="1" w:color="auto"/>
        </w:pBdr>
        <w:spacing w:after="120"/>
        <w:ind w:right="12"/>
        <w:rPr>
          <w:rFonts w:ascii="Times New Roman" w:hAnsi="Times New Roman"/>
          <w:sz w:val="24"/>
          <w:szCs w:val="24"/>
        </w:rPr>
      </w:pPr>
      <w:bookmarkStart w:id="636" w:name="_Toc75432390"/>
      <w:r w:rsidRPr="00D47C37">
        <w:rPr>
          <w:rFonts w:ascii="Times New Roman" w:hAnsi="Times New Roman"/>
          <w:sz w:val="24"/>
          <w:szCs w:val="24"/>
        </w:rPr>
        <w:t>ANNEXE 6 :  GUIDE DE BONNES PRATIQUES ET MESURES REQUISES POUR LA REDUCTION DES RISQUES LIES AUX PESTICIDES</w:t>
      </w:r>
      <w:bookmarkEnd w:id="636"/>
    </w:p>
    <w:p w:rsidR="001A0D27" w:rsidRPr="001A0D27" w:rsidRDefault="001A0D27" w:rsidP="00A76F4A">
      <w:pPr>
        <w:tabs>
          <w:tab w:val="left" w:pos="1830"/>
          <w:tab w:val="left" w:pos="8647"/>
        </w:tabs>
        <w:ind w:left="284" w:right="12"/>
        <w:rPr>
          <w:rFonts w:eastAsia="Times New Roman"/>
          <w:sz w:val="20"/>
          <w:szCs w:val="20"/>
        </w:rPr>
      </w:pPr>
    </w:p>
    <w:p w:rsidR="001A0D27" w:rsidRPr="00720117" w:rsidRDefault="001A0D27" w:rsidP="00A76F4A">
      <w:pPr>
        <w:tabs>
          <w:tab w:val="left" w:pos="1830"/>
          <w:tab w:val="left" w:pos="8647"/>
        </w:tabs>
        <w:ind w:left="284" w:right="12"/>
        <w:rPr>
          <w:rFonts w:eastAsia="Times New Roman"/>
        </w:rPr>
      </w:pPr>
      <w:r w:rsidRPr="00720117">
        <w:rPr>
          <w:rFonts w:eastAsia="Times New Roman"/>
          <w:b/>
          <w:bCs/>
          <w:i/>
          <w:iCs/>
        </w:rPr>
        <w:t>Sécurité d’emploi des pesticides</w:t>
      </w:r>
    </w:p>
    <w:p w:rsidR="001A0D27" w:rsidRPr="001A0D27" w:rsidRDefault="001A0D27" w:rsidP="00A76F4A">
      <w:pPr>
        <w:tabs>
          <w:tab w:val="left" w:pos="1830"/>
          <w:tab w:val="left" w:pos="8647"/>
        </w:tabs>
        <w:ind w:left="284" w:right="12"/>
        <w:rPr>
          <w:rFonts w:eastAsia="Times New Roman"/>
          <w:sz w:val="20"/>
          <w:szCs w:val="20"/>
        </w:rPr>
      </w:pPr>
    </w:p>
    <w:p w:rsidR="001A0D27" w:rsidRPr="00303F8B" w:rsidRDefault="001A0D27" w:rsidP="00A76F4A">
      <w:pPr>
        <w:autoSpaceDE w:val="0"/>
        <w:autoSpaceDN w:val="0"/>
        <w:adjustRightInd w:val="0"/>
        <w:ind w:right="12"/>
        <w:jc w:val="both"/>
      </w:pPr>
      <w:r w:rsidRPr="00303F8B">
        <w:t xml:space="preserve">Les pesticides sont toxiques pour les vermines mais aussi pour l’Homme. Cependant, si l’on prend des précautions suffisantes, ils ne devraient constituer une menace ni pour la population, ni pour les espèces animales non visées. La plupart d’entre eux peuvent avoir des effets nocifs si on les avale ou s’ils restent en contact prolongé avec la peau. Lorsqu’on pulvérise un pesticide sous forme de fines particules, on risque d’en absorber avec l’air que </w:t>
      </w:r>
      <w:r w:rsidRPr="00303F8B">
        <w:lastRenderedPageBreak/>
        <w:t>l’on respire. Il existe en outre un risque de contamination de l’eau, de la nourriture et du sol. Des précautions particulières doivent être prises pendant le transport, le stockage et la manipulation des pesticides. Il faut nettoyer régulièrement le matériel d’épandage et bien l’entretenir pour éviter les fuites. Les personnes qui se servent de pesticides doivent apprendre à les utiliser en toute sécurité.</w:t>
      </w:r>
    </w:p>
    <w:p w:rsidR="001A0D27" w:rsidRPr="001A0D27" w:rsidRDefault="001A0D27" w:rsidP="00A76F4A">
      <w:pPr>
        <w:tabs>
          <w:tab w:val="left" w:pos="1830"/>
          <w:tab w:val="left" w:pos="8647"/>
        </w:tabs>
        <w:ind w:left="284" w:right="12"/>
        <w:rPr>
          <w:rFonts w:eastAsia="Times New Roman"/>
          <w:sz w:val="20"/>
          <w:szCs w:val="20"/>
        </w:rPr>
      </w:pPr>
    </w:p>
    <w:p w:rsidR="001A0D27" w:rsidRPr="00720117" w:rsidRDefault="001A0D27" w:rsidP="00A76F4A">
      <w:pPr>
        <w:tabs>
          <w:tab w:val="left" w:pos="1830"/>
          <w:tab w:val="left" w:pos="8647"/>
        </w:tabs>
        <w:ind w:left="284" w:right="12"/>
        <w:rPr>
          <w:rFonts w:eastAsia="Times New Roman"/>
        </w:rPr>
      </w:pPr>
      <w:r w:rsidRPr="00720117">
        <w:rPr>
          <w:rFonts w:eastAsia="Times New Roman"/>
          <w:b/>
          <w:bCs/>
          <w:i/>
          <w:iCs/>
        </w:rPr>
        <w:t>Homologation des insecticides</w:t>
      </w:r>
    </w:p>
    <w:p w:rsidR="001A0D27" w:rsidRPr="001A0D27" w:rsidRDefault="001A0D27" w:rsidP="00A76F4A">
      <w:pPr>
        <w:tabs>
          <w:tab w:val="left" w:pos="1830"/>
          <w:tab w:val="left" w:pos="8647"/>
        </w:tabs>
        <w:ind w:left="284" w:right="12"/>
        <w:rPr>
          <w:rFonts w:eastAsia="Times New Roman"/>
          <w:sz w:val="20"/>
          <w:szCs w:val="20"/>
        </w:rPr>
      </w:pPr>
    </w:p>
    <w:p w:rsidR="001A0D27" w:rsidRPr="001A0D27" w:rsidRDefault="001A0D27" w:rsidP="00A76F4A">
      <w:pPr>
        <w:tabs>
          <w:tab w:val="left" w:pos="1830"/>
          <w:tab w:val="left" w:pos="8647"/>
        </w:tabs>
        <w:ind w:left="284" w:right="12"/>
        <w:rPr>
          <w:rFonts w:eastAsia="Times New Roman"/>
          <w:sz w:val="20"/>
          <w:szCs w:val="20"/>
        </w:rPr>
      </w:pPr>
      <w:r w:rsidRPr="001A0D27">
        <w:rPr>
          <w:rFonts w:eastAsia="Times New Roman"/>
          <w:sz w:val="20"/>
          <w:szCs w:val="20"/>
        </w:rPr>
        <w:t>Renforcer la procédure d’homologation des insecticides en veillant sur :</w:t>
      </w:r>
    </w:p>
    <w:p w:rsidR="001A0D27" w:rsidRPr="00F609B2" w:rsidRDefault="00007168"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L’harmonisation</w:t>
      </w:r>
      <w:r w:rsidR="001A0D27" w:rsidRPr="00F609B2">
        <w:rPr>
          <w:rFonts w:ascii="Times New Roman" w:eastAsia="Times New Roman" w:hAnsi="Times New Roman"/>
        </w:rPr>
        <w:t xml:space="preserve">, entre le système national d’homologation des pesticides et autres produits utilisés en santé publique </w:t>
      </w:r>
    </w:p>
    <w:p w:rsidR="0032291D"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l’adoption des spécifications de l’OMS applicables aux pesticides aux fins de la procédure nationale d’homologation ;</w:t>
      </w:r>
    </w:p>
    <w:p w:rsidR="0032291D"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le renforcement de l’organisme pilote en matière de réglementation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la collecte et la publication des données relatives aux produits importés et manufacturés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la revue périodique de l’homologation.</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Il est également recommandé, lorsque des achats de pesticides sont envisagés pour combattre des vecteurs, de s’inspirer des principes directeurs énoncés par l’OMS. Pour l’acquisition des insecticides destinés à la santé publique les lignes de conduite suivantes sont préconisées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élaborer des directives nationales applicables aux achats de produits destinés à la lutte anti-vectorielle et veiller à ce que tous les organismes acheteurs les respectent scrupuleusement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Utiliser les Pyréthrinoïdes de synthèse : Deltaméthrine SC, Perméthrine EC, vectron, Icon, Cyfluthrine comme préconisé par la politique nationale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se référer aux principes directeurs énoncés par l’OMS ou la FAO au sujet des appels d’offres, aux recommandations de la FAO pour l’étiquetage et aux recommandations de l’OMS concernant les produits (pour les pulvérisations intra domiciliaires);</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faire figurer dans les appels d’offres les détails de l’appui technique, de la maintenance, de la formation et du recyclage des produits qui feront partie du service après-vente engageant les fabricants; appliquer le principe du retour à l’envoyeur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 xml:space="preserve">contrôler la qualité et la quantité de chaque lot d’insecticides et supports imprégnés avant la réception des commandes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veiller à ce que les produits soient clairement étiquetés en français et si possible en langue locale et dans le respect scrupuleux des exigences nationales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préciser quel type d’emballage permettra de garantir l’efficacité, la durée de conservation ainsi que la sécurité humaine et environnementale lors de la manipulation des produits conditionnés, dans le respect rigoureux des exigences nationales ;</w:t>
      </w:r>
      <w:bookmarkStart w:id="637" w:name="page43"/>
      <w:bookmarkEnd w:id="637"/>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 xml:space="preserve">veiller à ce que les dons de pesticides destinés à la santé publique respectent les prescriptions de la procédure d’homologation </w:t>
      </w:r>
      <w:r w:rsidR="00BA3E6A" w:rsidRPr="00F609B2">
        <w:rPr>
          <w:rFonts w:ascii="Times New Roman" w:eastAsia="Times New Roman" w:hAnsi="Times New Roman"/>
        </w:rPr>
        <w:t xml:space="preserve">en Guinée Bissau </w:t>
      </w:r>
      <w:r w:rsidRPr="00F609B2">
        <w:rPr>
          <w:rFonts w:ascii="Times New Roman" w:eastAsia="Times New Roman" w:hAnsi="Times New Roman"/>
        </w:rPr>
        <w:t>et puissent être utilisés avant leur date de péremption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instaurer une consultation, avant la réception d’un don, entre les ministères, structures concernées et les donateurs pour une utilisation rationnelle du produit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exiger des utilisateurs le port de vêtements et équipements de protection recommandés afin de réduire au minimum leur exposition aux insecticides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obtenir du fabricant un rapport d’analyse physico-chimique et la certification de l’acceptabilité du produit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 xml:space="preserve">exiger du fabricant un rapport d’analyse du produit et de sa formulation avec indication de conduite à tenir en cas d’intoxication </w:t>
      </w:r>
    </w:p>
    <w:p w:rsidR="001A0D27" w:rsidRPr="00F609B2"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F609B2">
        <w:rPr>
          <w:rFonts w:ascii="Times New Roman" w:eastAsia="Times New Roman" w:hAnsi="Times New Roman"/>
        </w:rPr>
        <w:t>faire procéder à une analyse physico-chimique du produit par l’organisme acheteur avant expédition et à l’arrivée sur les lieux.</w:t>
      </w:r>
    </w:p>
    <w:p w:rsidR="001A0D27" w:rsidRPr="00720117" w:rsidRDefault="001A0D27" w:rsidP="00A76F4A">
      <w:pPr>
        <w:tabs>
          <w:tab w:val="left" w:pos="1830"/>
          <w:tab w:val="left" w:pos="8647"/>
        </w:tabs>
        <w:ind w:left="284" w:right="12"/>
        <w:rPr>
          <w:rFonts w:eastAsia="Times New Roman"/>
        </w:rPr>
      </w:pPr>
      <w:r w:rsidRPr="00720117">
        <w:rPr>
          <w:rFonts w:eastAsia="Times New Roman"/>
          <w:b/>
          <w:bCs/>
          <w:i/>
          <w:iCs/>
        </w:rPr>
        <w:t>Précautions</w:t>
      </w:r>
    </w:p>
    <w:p w:rsidR="001A0D27" w:rsidRPr="00720117" w:rsidRDefault="001A0D27" w:rsidP="00A76F4A">
      <w:pPr>
        <w:tabs>
          <w:tab w:val="left" w:pos="1830"/>
          <w:tab w:val="left" w:pos="8647"/>
        </w:tabs>
        <w:ind w:left="284" w:right="12"/>
        <w:rPr>
          <w:rFonts w:eastAsia="Times New Roman"/>
          <w:b/>
          <w:sz w:val="20"/>
          <w:szCs w:val="20"/>
        </w:rPr>
      </w:pPr>
      <w:r w:rsidRPr="00720117">
        <w:rPr>
          <w:rFonts w:eastAsia="Times New Roman"/>
          <w:b/>
          <w:sz w:val="20"/>
          <w:szCs w:val="20"/>
          <w:u w:val="single"/>
        </w:rPr>
        <w:t>Etiquetage</w:t>
      </w:r>
    </w:p>
    <w:p w:rsidR="001A0D27" w:rsidRPr="00303F8B" w:rsidRDefault="001A0D27" w:rsidP="00A76F4A">
      <w:pPr>
        <w:autoSpaceDE w:val="0"/>
        <w:autoSpaceDN w:val="0"/>
        <w:adjustRightInd w:val="0"/>
        <w:ind w:right="12"/>
        <w:jc w:val="both"/>
      </w:pPr>
      <w:r w:rsidRPr="00303F8B">
        <w:lastRenderedPageBreak/>
        <w:t>Les pesticides doivent être emballés et étiquetés conformément aux normes de l’OMS. L’étiquette doit être rédigée en anglais et dans la langue du lieu; elle doit indiquer le contenu, les consignes de sécurité (mise en garde) et toutes dispositions à prendre en cas d’ingestion ou de contamination accidentelle. Toujours laisser le produit dans son récipient d’origine. Prendre les mesures de précaution voulues et porter les vêtements de protection conformément aux recommandations.</w:t>
      </w:r>
    </w:p>
    <w:p w:rsidR="001A0D27" w:rsidRPr="00303F8B" w:rsidRDefault="001A0D27" w:rsidP="00A76F4A">
      <w:pPr>
        <w:autoSpaceDE w:val="0"/>
        <w:autoSpaceDN w:val="0"/>
        <w:adjustRightInd w:val="0"/>
        <w:ind w:right="12"/>
        <w:jc w:val="both"/>
      </w:pPr>
    </w:p>
    <w:p w:rsidR="001A0D27" w:rsidRPr="00720117" w:rsidRDefault="001A0D27" w:rsidP="00A76F4A">
      <w:pPr>
        <w:tabs>
          <w:tab w:val="left" w:pos="1830"/>
          <w:tab w:val="left" w:pos="8647"/>
        </w:tabs>
        <w:ind w:left="284" w:right="12"/>
        <w:jc w:val="both"/>
        <w:rPr>
          <w:rFonts w:eastAsia="Times New Roman"/>
          <w:b/>
          <w:sz w:val="20"/>
          <w:szCs w:val="20"/>
        </w:rPr>
      </w:pPr>
      <w:r w:rsidRPr="00720117">
        <w:rPr>
          <w:rFonts w:eastAsia="Times New Roman"/>
          <w:b/>
          <w:sz w:val="20"/>
          <w:szCs w:val="20"/>
          <w:u w:val="single"/>
        </w:rPr>
        <w:t>Stockage et transport</w:t>
      </w:r>
    </w:p>
    <w:p w:rsidR="001A0D27" w:rsidRPr="00303F8B" w:rsidRDefault="001A0D27" w:rsidP="00A76F4A">
      <w:pPr>
        <w:autoSpaceDE w:val="0"/>
        <w:autoSpaceDN w:val="0"/>
        <w:adjustRightInd w:val="0"/>
        <w:ind w:right="12"/>
        <w:jc w:val="both"/>
      </w:pPr>
      <w:r w:rsidRPr="00303F8B">
        <w:t>Conserver les pesticides dans un endroit dont on puisse verrouiller l’entrée et qui ne soit pas accessible aux personnes non autorisées ou aux enfants. En aucun cas les pesticides ne doivent être conservés en un lieu où l’on risquerait de les prendre pour de la nourriture ou de la boisson. Il faut les tenir au sec et</w:t>
      </w:r>
      <w:r w:rsidR="009219EB" w:rsidRPr="00303F8B">
        <w:t xml:space="preserve"> à </w:t>
      </w:r>
      <w:r w:rsidRPr="00303F8B">
        <w:t>l’abri du soleil. On évitera de les transporter dans un véhicule servant aussi au transport de denrées alimentaires.</w:t>
      </w:r>
    </w:p>
    <w:p w:rsidR="001A0D27" w:rsidRPr="00303F8B" w:rsidRDefault="001A0D27" w:rsidP="00A76F4A">
      <w:pPr>
        <w:autoSpaceDE w:val="0"/>
        <w:autoSpaceDN w:val="0"/>
        <w:adjustRightInd w:val="0"/>
        <w:ind w:right="12"/>
        <w:jc w:val="both"/>
      </w:pPr>
    </w:p>
    <w:p w:rsidR="001A0D27" w:rsidRPr="00303F8B" w:rsidRDefault="001A0D27" w:rsidP="00A76F4A">
      <w:pPr>
        <w:autoSpaceDE w:val="0"/>
        <w:autoSpaceDN w:val="0"/>
        <w:adjustRightInd w:val="0"/>
        <w:ind w:right="12"/>
        <w:jc w:val="both"/>
      </w:pPr>
      <w:r w:rsidRPr="00303F8B">
        <w:t xml:space="preserve">Afin d’assurer la sécurité dans le stockage et le transport, la structure publique ou privée en charge de la gestion des insecticides et supports imprégnés d’insecticides qui auront été acquis devra respecter la réglementation en vigueur </w:t>
      </w:r>
      <w:r w:rsidR="00B35A8D" w:rsidRPr="00303F8B">
        <w:t xml:space="preserve">en Guinée Bissau </w:t>
      </w:r>
      <w:r w:rsidRPr="00303F8B">
        <w:t>ainsi que les conditions de conservation recommandée par le fabricant en relation avec :</w:t>
      </w:r>
    </w:p>
    <w:p w:rsidR="001A0D27" w:rsidRPr="00303F8B" w:rsidRDefault="001A0D27" w:rsidP="00A76F4A">
      <w:pPr>
        <w:autoSpaceDE w:val="0"/>
        <w:autoSpaceDN w:val="0"/>
        <w:adjustRightInd w:val="0"/>
        <w:ind w:right="12"/>
        <w:jc w:val="both"/>
      </w:pPr>
    </w:p>
    <w:p w:rsidR="001A0D27" w:rsidRPr="00303F8B" w:rsidRDefault="001A0D27" w:rsidP="00A76F4A">
      <w:pPr>
        <w:autoSpaceDE w:val="0"/>
        <w:autoSpaceDN w:val="0"/>
        <w:adjustRightInd w:val="0"/>
        <w:ind w:right="12"/>
        <w:jc w:val="both"/>
      </w:pPr>
      <w:r w:rsidRPr="00303F8B">
        <w:t>la conservation de l’étiquetage d’origine,</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la prévention des déversements ou débordements accidentels,</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l’utilisation de récipients appropriés,</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le marquage convenable des produits stockés,</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les spécifications relatives aux locaux,</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la séparation des produits</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la protection contre l’humidité et la contamination par d’autres produits,</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la restriction de l’accès aux locaux de stockage,</w:t>
      </w:r>
    </w:p>
    <w:p w:rsidR="001A0D27" w:rsidRPr="00766DE5" w:rsidRDefault="001A0D27" w:rsidP="00A76F4A">
      <w:pPr>
        <w:pStyle w:val="PargrafodaLista"/>
        <w:numPr>
          <w:ilvl w:val="0"/>
          <w:numId w:val="174"/>
        </w:numPr>
        <w:tabs>
          <w:tab w:val="left" w:pos="1830"/>
          <w:tab w:val="left" w:pos="8647"/>
        </w:tabs>
        <w:ind w:left="709" w:right="12" w:hanging="142"/>
        <w:jc w:val="both"/>
        <w:rPr>
          <w:rFonts w:eastAsia="Times New Roman"/>
        </w:rPr>
      </w:pPr>
      <w:r w:rsidRPr="001A0D27">
        <w:rPr>
          <w:rFonts w:eastAsia="Times New Roman"/>
        </w:rPr>
        <w:t>le magasin de stockage sous clé afin de garantir l’intégrité et la sécurité des produits.</w:t>
      </w:r>
    </w:p>
    <w:p w:rsidR="001A0D27" w:rsidRPr="00303F8B" w:rsidRDefault="001A0D27" w:rsidP="00A76F4A">
      <w:pPr>
        <w:autoSpaceDE w:val="0"/>
        <w:autoSpaceDN w:val="0"/>
        <w:adjustRightInd w:val="0"/>
        <w:ind w:right="12"/>
        <w:jc w:val="both"/>
      </w:pPr>
      <w:r w:rsidRPr="00303F8B">
        <w:t>Les entrepôts de pesticides doivent être situés à distance des habitations humaines ou abris pour animaux, des sources d’eau, des puits et des canaux. Ils doivent être situés sur une hauteur et sécurisés par des clôtures, leur accès étant réservé aux personnes autorisées</w:t>
      </w:r>
    </w:p>
    <w:p w:rsidR="001A0D27" w:rsidRPr="00303F8B" w:rsidRDefault="001A0D27" w:rsidP="00A76F4A">
      <w:pPr>
        <w:autoSpaceDE w:val="0"/>
        <w:autoSpaceDN w:val="0"/>
        <w:adjustRightInd w:val="0"/>
        <w:ind w:right="12"/>
        <w:jc w:val="both"/>
      </w:pPr>
      <w:bookmarkStart w:id="638" w:name="page44"/>
      <w:bookmarkEnd w:id="638"/>
    </w:p>
    <w:p w:rsidR="001A0D27" w:rsidRPr="00303F8B" w:rsidRDefault="001A0D27" w:rsidP="00A76F4A">
      <w:pPr>
        <w:autoSpaceDE w:val="0"/>
        <w:autoSpaceDN w:val="0"/>
        <w:adjustRightInd w:val="0"/>
        <w:ind w:right="12"/>
        <w:jc w:val="both"/>
      </w:pPr>
      <w:r w:rsidRPr="00303F8B">
        <w:t>Il ne faut pas entreposer de pesticides dans des lieux où ils risquent d’être exposés à la lumière solaire,</w:t>
      </w:r>
      <w:r w:rsidR="002204CA" w:rsidRPr="00303F8B">
        <w:t xml:space="preserve"> à</w:t>
      </w:r>
      <w:r w:rsidR="00B35A8D" w:rsidRPr="00303F8B">
        <w:t xml:space="preserve"> </w:t>
      </w:r>
      <w:r w:rsidRPr="00303F8B">
        <w:t>l’eau ou à l’humidité, ce qui aurait pour effet de nuire à leur stabilité. Les entrepôts doivent être sécurisés et bien ventilés.</w:t>
      </w:r>
    </w:p>
    <w:p w:rsidR="001A0D27" w:rsidRPr="00303F8B" w:rsidRDefault="001A0D27" w:rsidP="00A76F4A">
      <w:pPr>
        <w:autoSpaceDE w:val="0"/>
        <w:autoSpaceDN w:val="0"/>
        <w:adjustRightInd w:val="0"/>
        <w:ind w:right="12"/>
        <w:jc w:val="both"/>
      </w:pPr>
      <w:r w:rsidRPr="00303F8B">
        <w:t>Il faut éviter de transporter dans un même véhicule des pesticides et des produits agricoles, des denrées alimentaires, des vêtements, des jouets ou des cosmétiques car ces produits pourraient devenir dangereux en cas de contamination.</w:t>
      </w:r>
    </w:p>
    <w:p w:rsidR="001A0D27" w:rsidRPr="00303F8B" w:rsidRDefault="001A0D27" w:rsidP="00A76F4A">
      <w:pPr>
        <w:autoSpaceDE w:val="0"/>
        <w:autoSpaceDN w:val="0"/>
        <w:adjustRightInd w:val="0"/>
        <w:ind w:right="12"/>
        <w:jc w:val="both"/>
      </w:pPr>
      <w:r w:rsidRPr="00303F8B">
        <w:t>Les récipients de pesticides doivent être chargés dans les véhicules de manière à ce qu’ils ne subissent pas de dommages pendant le transport, que leurs étiquettes ne soient pas arrachées et qu’ils ne viennent pas à glisser et à tomber sur une route dont le revêtement peut être irrégulier. Les véhicules qui transportent des pesticides doivent porter un panneau de mise en garde placé bien en évidence et indiquant la nature du chargement.</w:t>
      </w:r>
    </w:p>
    <w:p w:rsidR="001A0D27" w:rsidRPr="001A0D27" w:rsidRDefault="001A0D27" w:rsidP="00A76F4A">
      <w:pPr>
        <w:tabs>
          <w:tab w:val="left" w:pos="1830"/>
          <w:tab w:val="left" w:pos="8647"/>
        </w:tabs>
        <w:ind w:left="284" w:right="12"/>
        <w:rPr>
          <w:rFonts w:eastAsia="Times New Roman"/>
          <w:sz w:val="20"/>
          <w:szCs w:val="20"/>
        </w:rPr>
      </w:pPr>
    </w:p>
    <w:p w:rsidR="001A0D27" w:rsidRPr="00720117" w:rsidRDefault="001A0D27" w:rsidP="00A76F4A">
      <w:pPr>
        <w:tabs>
          <w:tab w:val="left" w:pos="1830"/>
          <w:tab w:val="left" w:pos="8647"/>
        </w:tabs>
        <w:ind w:left="284" w:right="12"/>
        <w:rPr>
          <w:rFonts w:eastAsia="Times New Roman"/>
          <w:b/>
          <w:sz w:val="20"/>
          <w:szCs w:val="20"/>
        </w:rPr>
      </w:pPr>
      <w:r w:rsidRPr="00720117">
        <w:rPr>
          <w:rFonts w:eastAsia="Times New Roman"/>
          <w:b/>
          <w:sz w:val="20"/>
          <w:szCs w:val="20"/>
          <w:u w:val="single"/>
        </w:rPr>
        <w:t>Distribution</w:t>
      </w:r>
    </w:p>
    <w:p w:rsidR="001A0D27" w:rsidRPr="001A0D27" w:rsidRDefault="001A0D27" w:rsidP="00A76F4A">
      <w:pPr>
        <w:tabs>
          <w:tab w:val="left" w:pos="1830"/>
          <w:tab w:val="left" w:pos="8647"/>
        </w:tabs>
        <w:ind w:left="284" w:right="12"/>
        <w:rPr>
          <w:rFonts w:eastAsia="Times New Roman"/>
          <w:sz w:val="20"/>
          <w:szCs w:val="20"/>
        </w:rPr>
      </w:pPr>
      <w:r w:rsidRPr="001A0D27">
        <w:rPr>
          <w:rFonts w:eastAsia="Times New Roman"/>
          <w:sz w:val="20"/>
          <w:szCs w:val="20"/>
        </w:rPr>
        <w:t>La distribution doit s’inspirer des lignes directrices suivantes :</w:t>
      </w:r>
    </w:p>
    <w:p w:rsidR="001A0D27" w:rsidRPr="001A0D27" w:rsidRDefault="001A0D27" w:rsidP="00A76F4A">
      <w:pPr>
        <w:tabs>
          <w:tab w:val="left" w:pos="1830"/>
          <w:tab w:val="left" w:pos="8647"/>
        </w:tabs>
        <w:ind w:left="284" w:right="12"/>
        <w:rPr>
          <w:rFonts w:eastAsia="Times New Roman"/>
          <w:sz w:val="20"/>
          <w:szCs w:val="20"/>
        </w:rPr>
      </w:pP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L’emballage (emballage original ou nouvel emballage) doit garantir la sécurité pendant la distribution et éviter la vente ou la distribution non autorisées de produits destinés à la lutte anti-vectorielle ;</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le distributeur doit être informé et conscientiser de la dangerosité de son chargement ;</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lastRenderedPageBreak/>
        <w:t xml:space="preserve">le distributeur doit effectuer ses livraisons dans les délais convenus </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le système de distribution des insecticides et supports imprégnés doit permettre de réduire les risques liés à la multiplicité des manipulations et des transports ;</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si le département acquéreur n’est pas en mesure d’assurer le transport des produits et matériels, il doit être stipulé dans les appels d’offres que le fournisseur est tenu d’assurer le transport des insecticides et supports imprégnés jusqu’à l’entrepôt ;</w:t>
      </w:r>
    </w:p>
    <w:p w:rsidR="001A0D27" w:rsidRPr="001018F6" w:rsidRDefault="001A0D27" w:rsidP="00A76F4A">
      <w:pPr>
        <w:pStyle w:val="PargrafodaLista"/>
        <w:numPr>
          <w:ilvl w:val="0"/>
          <w:numId w:val="174"/>
        </w:numPr>
        <w:tabs>
          <w:tab w:val="left" w:pos="1830"/>
          <w:tab w:val="left" w:pos="8647"/>
        </w:tabs>
        <w:ind w:left="709" w:right="12" w:hanging="142"/>
        <w:jc w:val="both"/>
        <w:rPr>
          <w:rFonts w:ascii="Times New Roman" w:eastAsia="Times New Roman" w:hAnsi="Times New Roman"/>
        </w:rPr>
      </w:pPr>
      <w:r w:rsidRPr="001018F6">
        <w:rPr>
          <w:rFonts w:ascii="Times New Roman" w:eastAsia="Times New Roman" w:hAnsi="Times New Roman"/>
        </w:rPr>
        <w:t xml:space="preserve">tous les distributeurs d’insecticides et matériels d’épandage doivent être en possession d’une licence d’exploitation conformément à la réglementation en vigueur </w:t>
      </w:r>
      <w:r w:rsidR="00BA3E6A" w:rsidRPr="001018F6">
        <w:rPr>
          <w:rFonts w:ascii="Times New Roman" w:eastAsia="Times New Roman" w:hAnsi="Times New Roman"/>
        </w:rPr>
        <w:t>en Guinée Bissau</w:t>
      </w:r>
      <w:r w:rsidRPr="001018F6">
        <w:rPr>
          <w:rFonts w:ascii="Times New Roman" w:eastAsia="Times New Roman" w:hAnsi="Times New Roman"/>
        </w:rPr>
        <w:t>.</w:t>
      </w:r>
    </w:p>
    <w:p w:rsidR="001A0D27" w:rsidRPr="00720117" w:rsidRDefault="001A0D27" w:rsidP="00A76F4A">
      <w:pPr>
        <w:tabs>
          <w:tab w:val="left" w:pos="1830"/>
          <w:tab w:val="left" w:pos="8647"/>
        </w:tabs>
        <w:ind w:left="284" w:right="12"/>
        <w:rPr>
          <w:rFonts w:eastAsia="Times New Roman"/>
          <w:b/>
          <w:sz w:val="20"/>
          <w:szCs w:val="20"/>
        </w:rPr>
      </w:pPr>
      <w:r w:rsidRPr="00720117">
        <w:rPr>
          <w:rFonts w:eastAsia="Times New Roman"/>
          <w:b/>
          <w:sz w:val="20"/>
          <w:szCs w:val="20"/>
          <w:u w:val="single"/>
        </w:rPr>
        <w:t>Elimination (</w:t>
      </w:r>
      <w:r w:rsidRPr="00720117">
        <w:rPr>
          <w:rFonts w:eastAsia="Times New Roman"/>
          <w:b/>
          <w:sz w:val="20"/>
          <w:szCs w:val="20"/>
        </w:rPr>
        <w:t xml:space="preserve">se conformer à la procédure </w:t>
      </w:r>
      <w:r w:rsidR="00AD44CE" w:rsidRPr="00720117">
        <w:rPr>
          <w:rFonts w:eastAsia="Times New Roman"/>
          <w:b/>
          <w:sz w:val="20"/>
          <w:szCs w:val="20"/>
        </w:rPr>
        <w:t>en Guinée Bissau</w:t>
      </w:r>
      <w:r w:rsidRPr="00720117">
        <w:rPr>
          <w:rFonts w:eastAsia="Times New Roman"/>
          <w:b/>
          <w:sz w:val="20"/>
          <w:szCs w:val="20"/>
        </w:rPr>
        <w:t>)</w:t>
      </w:r>
    </w:p>
    <w:p w:rsidR="001A0D27" w:rsidRPr="00303F8B" w:rsidRDefault="001A0D27" w:rsidP="00A76F4A">
      <w:pPr>
        <w:autoSpaceDE w:val="0"/>
        <w:autoSpaceDN w:val="0"/>
        <w:adjustRightInd w:val="0"/>
        <w:ind w:right="12"/>
        <w:jc w:val="both"/>
      </w:pPr>
      <w:r w:rsidRPr="00303F8B">
        <w:t>Après les opérations, la suspension d’insecticide qui reste peut être éliminée sans risque en la déversant dans un trou creusé tout spécialement ou dans une latrine à fosse. Il ne faut pas se débarrasser d’un pesticide en le jetant dans un endroit où il risque de contaminer de l’eau utilisée pour la boisson ou le lavage ou encore parvenir jusqu’à un étang ou un cours d’eau. Certains insecticides, comme les pyréthrinoïdes, sont très toxiques pour les poissons. Creuser un trou à au moins 100 mètres de tout cours d’eau, puits ou habitations. Si on se trouve dans une région de collines, il faut creuser le trou en contrebas. Verser toutes les eaux qui ont servi au lavage des mains après le traitement. Enterrer tous les récipients, boîtes, bouteilles etc. qui ont contenu des pesticides. Reboucher le trou le plus rapidement possible. Les emballages ou récipients en carton, papier ou plastique — ces derniers, nettoyés — peuvent être brûlés, si cela est autorisé, à bonne distance des maisons et des sources d’eau potable. En ce qui concerne la réutilisation de récipients après nettoyage, voir l’encadré ci-dessous.</w:t>
      </w:r>
    </w:p>
    <w:p w:rsidR="001A0D27" w:rsidRPr="00303F8B" w:rsidRDefault="001A0D27" w:rsidP="00A76F4A">
      <w:pPr>
        <w:autoSpaceDE w:val="0"/>
        <w:autoSpaceDN w:val="0"/>
        <w:adjustRightInd w:val="0"/>
        <w:ind w:right="12"/>
        <w:jc w:val="both"/>
      </w:pPr>
    </w:p>
    <w:p w:rsidR="001A0D27" w:rsidRPr="00303F8B" w:rsidRDefault="001A0D27" w:rsidP="00A76F4A">
      <w:pPr>
        <w:autoSpaceDE w:val="0"/>
        <w:autoSpaceDN w:val="0"/>
        <w:adjustRightInd w:val="0"/>
        <w:ind w:right="12"/>
        <w:jc w:val="both"/>
      </w:pPr>
      <w:r w:rsidRPr="00303F8B">
        <w:t>Les suspensions de pyréthrinoïdes peuvent être déversées sur un sol sec où elles seront rapidement absorbées et subiront ensuite une décomposition qui les rendra inoffensives pour l’environnement. S’il reste une certaine quantité de solution insecticide, on peut l’utiliser pour détruire les fourmis et les blattes. Il suffit pour cela de verser un peu de solution sur les endroits infestés (sous l’évier de la cuisine, dans les coins) ou de passer une éponge imbibée. Pour faire temporairement obstacle à la prolifération des insectes, on peut verser une certaine quantité de solution à l’intérieur et autour des latrines ou sur d’autres gîtes larvaires. Les solutions de pyréthrinoïdes destinées au traitement des moustiquaires et autres tissus peuvent être utilisées quelques jours après leur préparation. On peut également s’en servir pour traiter les nattes et les matelas de corde afin d’empêcher les moustiques de venir piquer par en bas. On peut aussi traiter les matelas pour combattre les punaises.</w:t>
      </w:r>
      <w:bookmarkStart w:id="639" w:name="page45"/>
      <w:bookmarkEnd w:id="639"/>
    </w:p>
    <w:p w:rsidR="001A0D27" w:rsidRPr="001A0D27" w:rsidRDefault="001A0D27" w:rsidP="00A76F4A">
      <w:pPr>
        <w:tabs>
          <w:tab w:val="left" w:pos="1830"/>
          <w:tab w:val="left" w:pos="8647"/>
        </w:tabs>
        <w:ind w:left="284" w:right="12"/>
        <w:rPr>
          <w:rFonts w:eastAsia="Times New Roman"/>
          <w:sz w:val="20"/>
          <w:szCs w:val="20"/>
        </w:rPr>
      </w:pPr>
    </w:p>
    <w:p w:rsidR="001A0D27" w:rsidRPr="00720117" w:rsidRDefault="001A0D27" w:rsidP="00A76F4A">
      <w:pPr>
        <w:tabs>
          <w:tab w:val="left" w:pos="1830"/>
          <w:tab w:val="left" w:pos="8647"/>
        </w:tabs>
        <w:ind w:left="284" w:right="12"/>
        <w:rPr>
          <w:rFonts w:eastAsia="Times New Roman"/>
        </w:rPr>
      </w:pPr>
      <w:r w:rsidRPr="00720117">
        <w:rPr>
          <w:rFonts w:eastAsia="Times New Roman"/>
          <w:b/>
          <w:bCs/>
          <w:i/>
          <w:iCs/>
        </w:rPr>
        <w:t>Nettoyage des emballages et récipients vides de pesticides</w:t>
      </w:r>
    </w:p>
    <w:p w:rsidR="001A0D27" w:rsidRPr="00303F8B" w:rsidRDefault="001A0D27" w:rsidP="00A76F4A">
      <w:pPr>
        <w:autoSpaceDE w:val="0"/>
        <w:autoSpaceDN w:val="0"/>
        <w:adjustRightInd w:val="0"/>
        <w:ind w:right="12"/>
        <w:jc w:val="both"/>
      </w:pPr>
      <w:r w:rsidRPr="00303F8B">
        <w:t xml:space="preserve">Réutiliser des récipients de pesticides vides présente des risques et il est déconseillé de le faire. Toutefois, on peut estimer que certains récipients de pesticides sont trop utiles pour qu’on les jette purement et simplement après usage. </w:t>
      </w:r>
      <w:r w:rsidR="00D606FB" w:rsidRPr="00303F8B">
        <w:t>Peut-on</w:t>
      </w:r>
      <w:r w:rsidRPr="00303F8B">
        <w:t xml:space="preserve"> donc nettoyer et réutiliser de tels récipients ? Cela dépend à la fois du matériau et du contenu. En principe, l’étiquette devrait indiquer quelles sont les possibilités de réemploi des récipients et comment s’y prendre pour les nettoyer.</w:t>
      </w:r>
    </w:p>
    <w:p w:rsidR="001A0D27" w:rsidRPr="00303F8B" w:rsidRDefault="001A0D27" w:rsidP="00A76F4A">
      <w:pPr>
        <w:autoSpaceDE w:val="0"/>
        <w:autoSpaceDN w:val="0"/>
        <w:adjustRightInd w:val="0"/>
        <w:ind w:right="12"/>
        <w:jc w:val="both"/>
      </w:pPr>
    </w:p>
    <w:p w:rsidR="001A0D27" w:rsidRPr="00303F8B" w:rsidRDefault="001A0D27" w:rsidP="00A76F4A">
      <w:pPr>
        <w:autoSpaceDE w:val="0"/>
        <w:autoSpaceDN w:val="0"/>
        <w:adjustRightInd w:val="0"/>
        <w:ind w:right="12"/>
        <w:jc w:val="both"/>
      </w:pPr>
      <w:r w:rsidRPr="00303F8B">
        <w:t xml:space="preserve">Il ne faut en aucun cas réutiliser des récipients qui ont contenu des pesticides classés comme très dangereux ou extrêmement dangereux. Dans certaines conditions, les récipients de pesticides classés comme peu dangereux ou ne devant pas en principe présenter de danger en utilisation normale, peuvent être réutilisés à condition que ce ne soit pas pour contenir des aliments, des boissons ou de la nourriture pour animaux. Les récipients faits de matériaux comme le polyéthylène, qui absorbent préférentiellement les pesticides, ne doivent pas être réutilisés s’ils ont contenu des pesticides dont la matière active est classée comme modérément, très ou extrêmement dangereuse, quelle que soit la formulation. Dès qu’un </w:t>
      </w:r>
      <w:r w:rsidRPr="00303F8B">
        <w:lastRenderedPageBreak/>
        <w:t>récipient est vide, il faut le rincer, puis le remplir complètement avec de l’eau et le laisser reposer pendant 24 heures. Ensuite, on le vide et on recommence deux fois l’opération.</w:t>
      </w:r>
    </w:p>
    <w:p w:rsidR="001A0D27" w:rsidRPr="001A0D27" w:rsidRDefault="001A0D27" w:rsidP="00A76F4A">
      <w:pPr>
        <w:tabs>
          <w:tab w:val="left" w:pos="1830"/>
          <w:tab w:val="left" w:pos="8647"/>
        </w:tabs>
        <w:ind w:left="284" w:right="12"/>
        <w:rPr>
          <w:rFonts w:eastAsia="Times New Roman"/>
          <w:sz w:val="20"/>
          <w:szCs w:val="20"/>
        </w:rPr>
      </w:pPr>
    </w:p>
    <w:p w:rsidR="001A0D27" w:rsidRPr="00720117" w:rsidRDefault="001A0D27" w:rsidP="00A76F4A">
      <w:pPr>
        <w:tabs>
          <w:tab w:val="left" w:pos="1830"/>
          <w:tab w:val="left" w:pos="8647"/>
        </w:tabs>
        <w:ind w:left="284" w:right="12"/>
        <w:rPr>
          <w:rFonts w:eastAsia="Times New Roman"/>
        </w:rPr>
      </w:pPr>
      <w:r w:rsidRPr="00720117">
        <w:rPr>
          <w:rFonts w:eastAsia="Times New Roman"/>
          <w:b/>
          <w:bCs/>
          <w:i/>
          <w:iCs/>
        </w:rPr>
        <w:t>Hygiène générale</w:t>
      </w:r>
    </w:p>
    <w:p w:rsidR="001A0D27" w:rsidRPr="00303F8B" w:rsidRDefault="001A0D27" w:rsidP="00A76F4A">
      <w:pPr>
        <w:autoSpaceDE w:val="0"/>
        <w:autoSpaceDN w:val="0"/>
        <w:adjustRightInd w:val="0"/>
        <w:ind w:right="12"/>
        <w:jc w:val="both"/>
      </w:pPr>
      <w:r w:rsidRPr="00303F8B">
        <w:t>Il ne faut ni manger, ni boire, ni fumer lorsqu’on manipule des insecticides. La nourriture doit être rangée dans des boîtes hermétiquement fermées. La mesure, la dilution et le transvasement des insecticides doivent s’effectuer avec le matériel adéquat. Ne pas agiter ni prélever des liquides les mains nues. Si la buse s’est bouchée, agir sur la vanne de la pompe ou dégager l’orifice avec une tige souple. Après chaque remplissage, se laver les mains et le visage à l’eau et au savon. Ne boire et ne manger qu’après s’être lavé les mains et le visage. Prendre une douche ou un bain à la fin de la journée.</w:t>
      </w:r>
    </w:p>
    <w:p w:rsidR="001A0D27" w:rsidRPr="001A0D27" w:rsidRDefault="001A0D27" w:rsidP="00A76F4A">
      <w:pPr>
        <w:tabs>
          <w:tab w:val="left" w:pos="1830"/>
          <w:tab w:val="left" w:pos="8647"/>
        </w:tabs>
        <w:ind w:left="284" w:right="12"/>
        <w:rPr>
          <w:rFonts w:eastAsia="Times New Roman"/>
          <w:sz w:val="20"/>
          <w:szCs w:val="20"/>
        </w:rPr>
      </w:pPr>
    </w:p>
    <w:p w:rsidR="001A0D27" w:rsidRPr="00720117" w:rsidRDefault="001A0D27" w:rsidP="00A76F4A">
      <w:pPr>
        <w:tabs>
          <w:tab w:val="left" w:pos="1830"/>
          <w:tab w:val="left" w:pos="8647"/>
        </w:tabs>
        <w:ind w:left="284" w:right="12"/>
        <w:rPr>
          <w:rFonts w:eastAsia="Times New Roman"/>
          <w:b/>
          <w:bCs/>
          <w:i/>
          <w:iCs/>
        </w:rPr>
      </w:pPr>
      <w:r w:rsidRPr="00720117">
        <w:rPr>
          <w:rFonts w:eastAsia="Times New Roman"/>
          <w:b/>
          <w:bCs/>
          <w:i/>
          <w:iCs/>
        </w:rPr>
        <w:t>Protection Individuelle</w:t>
      </w:r>
    </w:p>
    <w:p w:rsidR="001A0D27" w:rsidRPr="00064F08" w:rsidRDefault="001A0D27" w:rsidP="00A76F4A">
      <w:pPr>
        <w:pStyle w:val="PargrafodaLista"/>
        <w:numPr>
          <w:ilvl w:val="0"/>
          <w:numId w:val="174"/>
        </w:numPr>
        <w:tabs>
          <w:tab w:val="left" w:pos="1830"/>
          <w:tab w:val="left" w:pos="8647"/>
        </w:tabs>
        <w:spacing w:line="240" w:lineRule="auto"/>
        <w:ind w:left="709" w:right="12" w:hanging="142"/>
        <w:jc w:val="both"/>
        <w:rPr>
          <w:rFonts w:ascii="Times New Roman" w:eastAsia="Times New Roman" w:hAnsi="Times New Roman"/>
        </w:rPr>
      </w:pPr>
      <w:r w:rsidRPr="00064F08">
        <w:rPr>
          <w:rFonts w:ascii="Times New Roman" w:eastAsia="Times New Roman" w:hAnsi="Times New Roman"/>
        </w:rPr>
        <w:t>Combinaison adaptée couvrant toute la main et tout le pied.</w:t>
      </w:r>
    </w:p>
    <w:p w:rsidR="001A0D27" w:rsidRPr="00064F08" w:rsidRDefault="001A0D27" w:rsidP="00A76F4A">
      <w:pPr>
        <w:pStyle w:val="PargrafodaLista"/>
        <w:numPr>
          <w:ilvl w:val="0"/>
          <w:numId w:val="174"/>
        </w:numPr>
        <w:tabs>
          <w:tab w:val="left" w:pos="1830"/>
          <w:tab w:val="left" w:pos="8647"/>
        </w:tabs>
        <w:spacing w:line="240" w:lineRule="auto"/>
        <w:ind w:left="709" w:right="12" w:hanging="142"/>
        <w:jc w:val="both"/>
        <w:rPr>
          <w:rFonts w:ascii="Times New Roman" w:eastAsia="Times New Roman" w:hAnsi="Times New Roman"/>
        </w:rPr>
      </w:pPr>
      <w:r w:rsidRPr="00064F08">
        <w:rPr>
          <w:rFonts w:ascii="Times New Roman" w:eastAsia="Times New Roman" w:hAnsi="Times New Roman"/>
        </w:rPr>
        <w:t>Masques anti-poussière anti-vapeur ou respiratoire selon le type de traitement et de produit utilisé.</w:t>
      </w:r>
    </w:p>
    <w:p w:rsidR="001A0D27" w:rsidRPr="00064F08" w:rsidRDefault="001A0D27" w:rsidP="00A76F4A">
      <w:pPr>
        <w:pStyle w:val="PargrafodaLista"/>
        <w:numPr>
          <w:ilvl w:val="0"/>
          <w:numId w:val="174"/>
        </w:numPr>
        <w:tabs>
          <w:tab w:val="left" w:pos="1830"/>
          <w:tab w:val="left" w:pos="8647"/>
        </w:tabs>
        <w:spacing w:line="240" w:lineRule="auto"/>
        <w:ind w:left="709" w:right="12" w:hanging="142"/>
        <w:jc w:val="both"/>
        <w:rPr>
          <w:rFonts w:ascii="Times New Roman" w:eastAsia="Times New Roman" w:hAnsi="Times New Roman"/>
        </w:rPr>
      </w:pPr>
      <w:r w:rsidRPr="00064F08">
        <w:rPr>
          <w:rFonts w:ascii="Times New Roman" w:eastAsia="Times New Roman" w:hAnsi="Times New Roman"/>
        </w:rPr>
        <w:t>Gants.</w:t>
      </w:r>
    </w:p>
    <w:p w:rsidR="001A0D27" w:rsidRPr="00064F08" w:rsidRDefault="001A0D27" w:rsidP="00A76F4A">
      <w:pPr>
        <w:pStyle w:val="PargrafodaLista"/>
        <w:numPr>
          <w:ilvl w:val="0"/>
          <w:numId w:val="174"/>
        </w:numPr>
        <w:tabs>
          <w:tab w:val="left" w:pos="1830"/>
          <w:tab w:val="left" w:pos="8647"/>
        </w:tabs>
        <w:spacing w:line="240" w:lineRule="auto"/>
        <w:ind w:left="709" w:right="12" w:hanging="142"/>
        <w:jc w:val="both"/>
        <w:rPr>
          <w:rFonts w:ascii="Times New Roman" w:eastAsia="Times New Roman" w:hAnsi="Times New Roman"/>
        </w:rPr>
      </w:pPr>
      <w:r w:rsidRPr="00064F08">
        <w:rPr>
          <w:rFonts w:ascii="Times New Roman" w:eastAsia="Times New Roman" w:hAnsi="Times New Roman"/>
        </w:rPr>
        <w:t>Lunettes.</w:t>
      </w:r>
    </w:p>
    <w:p w:rsidR="001A0D27" w:rsidRPr="00064F08" w:rsidRDefault="001A0D27" w:rsidP="00A76F4A">
      <w:pPr>
        <w:pStyle w:val="PargrafodaLista"/>
        <w:numPr>
          <w:ilvl w:val="0"/>
          <w:numId w:val="174"/>
        </w:numPr>
        <w:tabs>
          <w:tab w:val="left" w:pos="1830"/>
          <w:tab w:val="left" w:pos="8647"/>
        </w:tabs>
        <w:spacing w:line="240" w:lineRule="auto"/>
        <w:ind w:left="709" w:right="12" w:hanging="142"/>
        <w:jc w:val="both"/>
        <w:rPr>
          <w:rFonts w:ascii="Times New Roman" w:eastAsia="Times New Roman" w:hAnsi="Times New Roman"/>
        </w:rPr>
      </w:pPr>
      <w:r w:rsidRPr="00064F08">
        <w:rPr>
          <w:rFonts w:ascii="Times New Roman" w:eastAsia="Times New Roman" w:hAnsi="Times New Roman"/>
        </w:rPr>
        <w:t>Cagoules (écran facial).</w:t>
      </w:r>
    </w:p>
    <w:p w:rsidR="001A0D27" w:rsidRPr="00064F08" w:rsidRDefault="001A0D27" w:rsidP="00A76F4A">
      <w:pPr>
        <w:pStyle w:val="PargrafodaLista"/>
        <w:numPr>
          <w:ilvl w:val="0"/>
          <w:numId w:val="174"/>
        </w:numPr>
        <w:tabs>
          <w:tab w:val="left" w:pos="1830"/>
          <w:tab w:val="left" w:pos="8647"/>
        </w:tabs>
        <w:spacing w:line="240" w:lineRule="auto"/>
        <w:ind w:left="709" w:right="12" w:hanging="142"/>
        <w:jc w:val="both"/>
        <w:rPr>
          <w:rFonts w:ascii="Times New Roman" w:eastAsia="Times New Roman" w:hAnsi="Times New Roman"/>
        </w:rPr>
      </w:pPr>
      <w:r w:rsidRPr="00064F08">
        <w:rPr>
          <w:rFonts w:ascii="Times New Roman" w:eastAsia="Times New Roman" w:hAnsi="Times New Roman"/>
        </w:rPr>
        <w:t>Protection des populations</w:t>
      </w:r>
    </w:p>
    <w:p w:rsidR="001A0D27" w:rsidRPr="00064F08" w:rsidRDefault="001A0D27" w:rsidP="00A76F4A">
      <w:pPr>
        <w:pStyle w:val="PargrafodaLista"/>
        <w:numPr>
          <w:ilvl w:val="0"/>
          <w:numId w:val="174"/>
        </w:numPr>
        <w:tabs>
          <w:tab w:val="left" w:pos="1830"/>
          <w:tab w:val="left" w:pos="8647"/>
        </w:tabs>
        <w:spacing w:line="240" w:lineRule="auto"/>
        <w:ind w:left="709" w:right="12" w:hanging="142"/>
        <w:jc w:val="both"/>
        <w:rPr>
          <w:rFonts w:ascii="Times New Roman" w:eastAsia="Times New Roman" w:hAnsi="Times New Roman"/>
        </w:rPr>
      </w:pPr>
      <w:r w:rsidRPr="00064F08">
        <w:rPr>
          <w:rFonts w:ascii="Times New Roman" w:eastAsia="Times New Roman" w:hAnsi="Times New Roman"/>
        </w:rPr>
        <w:t>Réduire au maximum l’exposition des populations locales et du bétail.</w:t>
      </w:r>
    </w:p>
    <w:p w:rsidR="001A0D27" w:rsidRPr="00064F08" w:rsidRDefault="001A0D27" w:rsidP="00A76F4A">
      <w:pPr>
        <w:pStyle w:val="PargrafodaLista"/>
        <w:numPr>
          <w:ilvl w:val="0"/>
          <w:numId w:val="174"/>
        </w:numPr>
        <w:tabs>
          <w:tab w:val="left" w:pos="1830"/>
          <w:tab w:val="left" w:pos="8647"/>
        </w:tabs>
        <w:spacing w:line="240" w:lineRule="auto"/>
        <w:ind w:left="709" w:right="12" w:hanging="142"/>
        <w:jc w:val="both"/>
        <w:rPr>
          <w:rFonts w:ascii="Times New Roman" w:eastAsia="Times New Roman" w:hAnsi="Times New Roman"/>
        </w:rPr>
      </w:pPr>
      <w:r w:rsidRPr="00064F08">
        <w:rPr>
          <w:rFonts w:ascii="Times New Roman" w:eastAsia="Times New Roman" w:hAnsi="Times New Roman"/>
        </w:rPr>
        <w:t>Couvrir les puits et autres réserves d’eau.</w:t>
      </w:r>
    </w:p>
    <w:p w:rsidR="001A0D27" w:rsidRPr="00064F08" w:rsidRDefault="001A0D27" w:rsidP="00A76F4A">
      <w:pPr>
        <w:pStyle w:val="PargrafodaLista"/>
        <w:numPr>
          <w:ilvl w:val="0"/>
          <w:numId w:val="174"/>
        </w:numPr>
        <w:tabs>
          <w:tab w:val="left" w:pos="1830"/>
          <w:tab w:val="left" w:pos="8647"/>
        </w:tabs>
        <w:spacing w:line="240" w:lineRule="auto"/>
        <w:ind w:left="709" w:right="12" w:hanging="142"/>
        <w:jc w:val="both"/>
        <w:rPr>
          <w:rFonts w:ascii="Times New Roman" w:eastAsia="Times New Roman" w:hAnsi="Times New Roman"/>
        </w:rPr>
      </w:pPr>
      <w:r w:rsidRPr="00064F08">
        <w:rPr>
          <w:rFonts w:ascii="Times New Roman" w:eastAsia="Times New Roman" w:hAnsi="Times New Roman"/>
        </w:rPr>
        <w:t>Sensibiliser les populations sur les risques.</w:t>
      </w:r>
    </w:p>
    <w:p w:rsidR="001A0D27" w:rsidRPr="00720117" w:rsidRDefault="001A0D27" w:rsidP="00A76F4A">
      <w:pPr>
        <w:tabs>
          <w:tab w:val="left" w:pos="1830"/>
          <w:tab w:val="left" w:pos="8647"/>
        </w:tabs>
        <w:ind w:left="284" w:right="12"/>
        <w:rPr>
          <w:rFonts w:eastAsia="Times New Roman"/>
          <w:b/>
          <w:bCs/>
          <w:i/>
          <w:iCs/>
        </w:rPr>
      </w:pPr>
      <w:r w:rsidRPr="00720117">
        <w:rPr>
          <w:rFonts w:eastAsia="Times New Roman"/>
          <w:b/>
          <w:bCs/>
          <w:i/>
          <w:iCs/>
        </w:rPr>
        <w:t>Vêtements de protection</w:t>
      </w:r>
    </w:p>
    <w:p w:rsidR="001A0D27" w:rsidRPr="001A0D27" w:rsidRDefault="001A0D27" w:rsidP="00A76F4A">
      <w:pPr>
        <w:tabs>
          <w:tab w:val="left" w:pos="1830"/>
          <w:tab w:val="left" w:pos="8647"/>
        </w:tabs>
        <w:ind w:left="284" w:right="12"/>
        <w:rPr>
          <w:rFonts w:eastAsia="Times New Roman"/>
          <w:sz w:val="20"/>
          <w:szCs w:val="20"/>
        </w:rPr>
      </w:pPr>
      <w:r w:rsidRPr="001A0D27">
        <w:rPr>
          <w:rFonts w:eastAsia="Times New Roman"/>
          <w:sz w:val="20"/>
          <w:szCs w:val="20"/>
          <w:u w:val="single"/>
        </w:rPr>
        <w:t>Traitements à l’intérieur des habitations</w:t>
      </w:r>
    </w:p>
    <w:p w:rsidR="001A0D27" w:rsidRPr="00532502" w:rsidRDefault="001A0D27" w:rsidP="00A76F4A">
      <w:pPr>
        <w:autoSpaceDE w:val="0"/>
        <w:autoSpaceDN w:val="0"/>
        <w:adjustRightInd w:val="0"/>
        <w:ind w:right="12"/>
        <w:jc w:val="both"/>
      </w:pPr>
      <w:r w:rsidRPr="00532502">
        <w:t xml:space="preserve">Les opérateurs doivent porter une combinaison de travail ou une chemise à manches longues </w:t>
      </w:r>
      <w:r w:rsidR="001A44D9" w:rsidRPr="00532502">
        <w:t>par-dessus</w:t>
      </w:r>
      <w:r w:rsidRPr="00532502">
        <w:t xml:space="preserve"> un pantalon, un chapeau à large bord, un turban ou autre type de couvre-chef ainsi que des bottes ou de grosses chaussures. Les sandales ne conviennent pas. Il faut se protéger la bouche et le nez avec un moyen simple, par exemple un masque jetable en papier, un masque chirurgical jetable ou lavable ou un chiffon de coton propre. Dès que le tissu est humide, il faut le changer. Les vêtements doivent également être en coton pour faciliter le lavage et le séchage. Ils doivent couvrir le corps et ne comporter aucune ouverture. Sous les climats chauds et humides, il peut être inconfortable de porter un vêtement protecteur supplémentaire</w:t>
      </w:r>
      <w:bookmarkStart w:id="640" w:name="page46"/>
      <w:bookmarkEnd w:id="640"/>
    </w:p>
    <w:p w:rsidR="001A0D27" w:rsidRPr="001A0D27" w:rsidRDefault="001A0D27" w:rsidP="00A76F4A">
      <w:pPr>
        <w:tabs>
          <w:tab w:val="left" w:pos="1830"/>
          <w:tab w:val="left" w:pos="8647"/>
        </w:tabs>
        <w:ind w:left="284" w:right="12"/>
        <w:rPr>
          <w:rFonts w:eastAsia="Times New Roman"/>
          <w:sz w:val="20"/>
          <w:szCs w:val="20"/>
        </w:rPr>
      </w:pPr>
    </w:p>
    <w:p w:rsidR="001A0D27" w:rsidRPr="001A0D27" w:rsidRDefault="001A0D27" w:rsidP="00A76F4A">
      <w:pPr>
        <w:tabs>
          <w:tab w:val="left" w:pos="1830"/>
          <w:tab w:val="left" w:pos="8647"/>
        </w:tabs>
        <w:ind w:left="284" w:right="12"/>
        <w:jc w:val="both"/>
        <w:rPr>
          <w:rFonts w:eastAsia="Times New Roman"/>
          <w:sz w:val="20"/>
          <w:szCs w:val="20"/>
        </w:rPr>
      </w:pPr>
      <w:r w:rsidRPr="001A0D27">
        <w:rPr>
          <w:rFonts w:eastAsia="Times New Roman"/>
          <w:sz w:val="20"/>
          <w:szCs w:val="20"/>
          <w:u w:val="single"/>
        </w:rPr>
        <w:t>Préparation des suspensions</w:t>
      </w:r>
    </w:p>
    <w:p w:rsidR="001A0D27" w:rsidRPr="00532502" w:rsidRDefault="001A0D27" w:rsidP="00A76F4A">
      <w:pPr>
        <w:autoSpaceDE w:val="0"/>
        <w:autoSpaceDN w:val="0"/>
        <w:adjustRightInd w:val="0"/>
        <w:ind w:right="12"/>
        <w:jc w:val="both"/>
      </w:pPr>
      <w:r w:rsidRPr="00532502">
        <w:t>Les personnes qui sont chargées d’ensacher les insecticides et de préparer les suspensions, notamment au niveau des unités d’imprégnation des moustiquaires, doivent prendre des précautions spéciales. Outre les vêtements de protection mentionnés ci-dessus, elles doivent porter des gants, un tablier et une protection oculaire, par exemple un écran facial ou des lunettes. Les écrans faciaux protègent la totalité du visage et tiennent moins chaud. Il faut se couvrir la bouche et le nez comme indiquer pour les traitements à l’intérieur des habitations. On veillera en outre à ne pas toucher une quelconque partie de son corps avec les gants pendant la manipulation des pesticides.</w:t>
      </w:r>
    </w:p>
    <w:p w:rsidR="001A0D27" w:rsidRPr="001A0D27" w:rsidRDefault="001A0D27" w:rsidP="00A76F4A">
      <w:pPr>
        <w:tabs>
          <w:tab w:val="left" w:pos="1830"/>
          <w:tab w:val="left" w:pos="8647"/>
        </w:tabs>
        <w:ind w:left="284" w:right="12"/>
        <w:jc w:val="both"/>
        <w:rPr>
          <w:rFonts w:eastAsia="Times New Roman"/>
          <w:sz w:val="20"/>
          <w:szCs w:val="20"/>
        </w:rPr>
      </w:pPr>
    </w:p>
    <w:p w:rsidR="001A0D27" w:rsidRPr="001A0D27" w:rsidRDefault="001A0D27" w:rsidP="00A76F4A">
      <w:pPr>
        <w:tabs>
          <w:tab w:val="left" w:pos="1830"/>
          <w:tab w:val="left" w:pos="8647"/>
        </w:tabs>
        <w:ind w:left="284" w:right="12"/>
        <w:jc w:val="both"/>
        <w:rPr>
          <w:rFonts w:eastAsia="Times New Roman"/>
          <w:sz w:val="20"/>
          <w:szCs w:val="20"/>
        </w:rPr>
      </w:pPr>
      <w:r w:rsidRPr="001A0D27">
        <w:rPr>
          <w:rFonts w:eastAsia="Times New Roman"/>
          <w:sz w:val="20"/>
          <w:szCs w:val="20"/>
          <w:u w:val="single"/>
        </w:rPr>
        <w:t>Imprégnation des tissus</w:t>
      </w:r>
    </w:p>
    <w:p w:rsidR="001A0D27" w:rsidRPr="00532502" w:rsidRDefault="001A0D27" w:rsidP="00A76F4A">
      <w:pPr>
        <w:autoSpaceDE w:val="0"/>
        <w:autoSpaceDN w:val="0"/>
        <w:adjustRightInd w:val="0"/>
        <w:ind w:right="12"/>
        <w:jc w:val="both"/>
      </w:pPr>
      <w:r w:rsidRPr="00532502">
        <w:t>Pour traiter les moustiquaires, les vêtements, les grillages ou les pièges à glossines avec des insecticides, il est impératif de porter de longs gants de caoutchouc. Dans certains cas, une protection supplémentaire est nécessaire, par exemple contre les vapeurs, les poussières ou les aspersions d’insecticides qui peuvent être dangereux. Ces accessoires de protection supplémentaires doivent être mentionnés sur l’étiquette du produit et peuvent consister en tabliers, bottes, masques faciaux, combinaisons et chapeaux.</w:t>
      </w:r>
    </w:p>
    <w:p w:rsidR="001A0D27" w:rsidRPr="001A0D27" w:rsidRDefault="001A0D27" w:rsidP="00A76F4A">
      <w:pPr>
        <w:tabs>
          <w:tab w:val="left" w:pos="1830"/>
          <w:tab w:val="left" w:pos="8647"/>
        </w:tabs>
        <w:ind w:left="284" w:right="12"/>
        <w:jc w:val="both"/>
        <w:rPr>
          <w:rFonts w:eastAsia="Times New Roman"/>
          <w:sz w:val="20"/>
          <w:szCs w:val="20"/>
        </w:rPr>
      </w:pPr>
    </w:p>
    <w:p w:rsidR="001A0D27" w:rsidRPr="001A0D27" w:rsidRDefault="001A0D27" w:rsidP="00A76F4A">
      <w:pPr>
        <w:tabs>
          <w:tab w:val="left" w:pos="1830"/>
          <w:tab w:val="left" w:pos="8647"/>
        </w:tabs>
        <w:ind w:left="284" w:right="12"/>
        <w:jc w:val="both"/>
        <w:rPr>
          <w:rFonts w:eastAsia="Times New Roman"/>
          <w:sz w:val="20"/>
          <w:szCs w:val="20"/>
        </w:rPr>
      </w:pPr>
      <w:r w:rsidRPr="001A0D27">
        <w:rPr>
          <w:rFonts w:eastAsia="Times New Roman"/>
          <w:sz w:val="20"/>
          <w:szCs w:val="20"/>
          <w:u w:val="single"/>
        </w:rPr>
        <w:lastRenderedPageBreak/>
        <w:t>Entretien</w:t>
      </w:r>
    </w:p>
    <w:p w:rsidR="001A0D27" w:rsidRPr="00532502" w:rsidRDefault="001A0D27" w:rsidP="00A76F4A">
      <w:pPr>
        <w:autoSpaceDE w:val="0"/>
        <w:autoSpaceDN w:val="0"/>
        <w:adjustRightInd w:val="0"/>
        <w:ind w:right="12"/>
        <w:jc w:val="both"/>
      </w:pPr>
      <w:r w:rsidRPr="00532502">
        <w:t>Les vêtements de protection doivent toujours être impeccablement tenus et il faut procéder à des contrôles périodiques pour vérifier qu’il n’y a ni déchirures ni usures du tissu qui pourraient entraîner une contamination de l’épiderme. Les vêtements et les équipements de protection doivent être lavés tous les jours à l’eau et au savon, séparément des autres vêtements. Les gants doivent faire l’objet d’une attention particulière et il faut les remplacer dès qu’ils sont déchirés ou s’ils présentent des signes d’usure. Après usage, on devra les rincer à grande eau avant de les ôter. A la fin de chaque journée de travail, il faudra les laver à l’extérieur et à l’intérieur.</w:t>
      </w:r>
    </w:p>
    <w:p w:rsidR="001A0D27" w:rsidRPr="001A0D27" w:rsidRDefault="001A0D27" w:rsidP="00A76F4A">
      <w:pPr>
        <w:tabs>
          <w:tab w:val="left" w:pos="1830"/>
          <w:tab w:val="left" w:pos="8647"/>
        </w:tabs>
        <w:ind w:left="284" w:right="12"/>
        <w:jc w:val="both"/>
        <w:rPr>
          <w:rFonts w:eastAsia="Times New Roman"/>
          <w:sz w:val="20"/>
          <w:szCs w:val="20"/>
        </w:rPr>
      </w:pPr>
    </w:p>
    <w:p w:rsidR="001A0D27" w:rsidRPr="00720117" w:rsidRDefault="001A0D27" w:rsidP="00720117">
      <w:pPr>
        <w:tabs>
          <w:tab w:val="left" w:pos="1830"/>
          <w:tab w:val="left" w:pos="8647"/>
        </w:tabs>
        <w:ind w:left="284" w:right="12"/>
        <w:rPr>
          <w:rFonts w:eastAsia="Times New Roman"/>
          <w:b/>
          <w:bCs/>
          <w:i/>
          <w:iCs/>
        </w:rPr>
      </w:pPr>
      <w:r w:rsidRPr="00720117">
        <w:rPr>
          <w:rFonts w:eastAsia="Times New Roman"/>
          <w:b/>
          <w:bCs/>
          <w:i/>
          <w:iCs/>
        </w:rPr>
        <w:t>Mesures de sécurité</w:t>
      </w:r>
    </w:p>
    <w:p w:rsidR="001A0D27" w:rsidRPr="001A0D27" w:rsidRDefault="001A0D27" w:rsidP="00A76F4A">
      <w:pPr>
        <w:tabs>
          <w:tab w:val="left" w:pos="1830"/>
          <w:tab w:val="left" w:pos="8647"/>
        </w:tabs>
        <w:ind w:left="284" w:right="12"/>
        <w:jc w:val="both"/>
        <w:rPr>
          <w:rFonts w:eastAsia="Times New Roman"/>
          <w:sz w:val="20"/>
          <w:szCs w:val="20"/>
        </w:rPr>
      </w:pPr>
      <w:r w:rsidRPr="001A0D27">
        <w:rPr>
          <w:rFonts w:eastAsia="Times New Roman"/>
          <w:sz w:val="20"/>
          <w:szCs w:val="20"/>
          <w:u w:val="single"/>
        </w:rPr>
        <w:t>Lors des pulvérisations</w:t>
      </w:r>
    </w:p>
    <w:p w:rsidR="001A0D27" w:rsidRPr="00532502" w:rsidRDefault="001A0D27" w:rsidP="00A76F4A">
      <w:pPr>
        <w:autoSpaceDE w:val="0"/>
        <w:autoSpaceDN w:val="0"/>
        <w:adjustRightInd w:val="0"/>
        <w:ind w:right="12"/>
        <w:jc w:val="both"/>
      </w:pPr>
      <w:r w:rsidRPr="00532502">
        <w:t>Le jet qui sort du pulvérisateur ne doit pas être dirigé vers une partie du corps. Un pulvérisateur qui fuit doit être réparé et il faut se laver la peau si elle a été accidentellement contaminée. Les occupants de la maison et les animaux doivent rester dehors pendant toute la durée des opérations. On évitera de traiter une pièce dans laquelle se trouve une personne — un malade par exemple — que l’on ne peut pas transporter à l’extérieur. Avant que ne débutent les pulvérisations, il faut également sortir tous les ustensiles de cuisine, la vaisselle et tout ce qui contient des boissons ou des aliments. On peut aussi les réunir au centre d’une pièce et les recouvrir d’une feuille de plastique. Les hamacs et les tableaux ou tentures ne doivent pas être traités. S’il faut traiter le bas des meubles et le côté situé vers le mur, on veillera à ce que les autres surfaces soient effectivement</w:t>
      </w:r>
      <w:r w:rsidR="003B68C9" w:rsidRPr="00532502">
        <w:t xml:space="preserve"> </w:t>
      </w:r>
      <w:r w:rsidRPr="00532502">
        <w:t>traitées. Il faut balayer le sol ou le laver après les pulvérisations. Les occupants doivent éviter tout contact avec les murs. Les vêtements et l’équipement doivent être lavés tous les jours. Il faut éviter de pulvériser des organophosphorés ou des carbamates plus de 5 à 6 heures par jour et se laver les mains après chaque remplissage. Si l’on utilise du Fénitrothion ou de vieux stocks de Malathion, il faut que tous les opérateurs fassent contrôler chaque semaine leur cholinestérase sanguin.</w:t>
      </w:r>
    </w:p>
    <w:p w:rsidR="001A0D27" w:rsidRPr="001A0D27" w:rsidRDefault="001A0D27" w:rsidP="00A76F4A">
      <w:pPr>
        <w:tabs>
          <w:tab w:val="left" w:pos="1830"/>
          <w:tab w:val="left" w:pos="8647"/>
        </w:tabs>
        <w:ind w:left="284" w:right="12"/>
        <w:rPr>
          <w:rFonts w:eastAsia="Times New Roman"/>
          <w:sz w:val="20"/>
          <w:szCs w:val="20"/>
        </w:rPr>
      </w:pPr>
    </w:p>
    <w:p w:rsidR="001A0D27" w:rsidRPr="001A0D27" w:rsidRDefault="001A0D27" w:rsidP="00A76F4A">
      <w:pPr>
        <w:tabs>
          <w:tab w:val="left" w:pos="1830"/>
          <w:tab w:val="left" w:pos="8647"/>
        </w:tabs>
        <w:ind w:left="284" w:right="12"/>
        <w:jc w:val="both"/>
        <w:rPr>
          <w:rFonts w:eastAsia="Times New Roman"/>
          <w:sz w:val="20"/>
          <w:szCs w:val="20"/>
        </w:rPr>
      </w:pPr>
      <w:r w:rsidRPr="001A0D27">
        <w:rPr>
          <w:rFonts w:eastAsia="Times New Roman"/>
          <w:sz w:val="20"/>
          <w:szCs w:val="20"/>
          <w:u w:val="single"/>
        </w:rPr>
        <w:t>Surveillance de l’exposition aux organophosphorés</w:t>
      </w:r>
    </w:p>
    <w:p w:rsidR="001A0D27" w:rsidRPr="00532502" w:rsidRDefault="001A0D27" w:rsidP="00A76F4A">
      <w:pPr>
        <w:autoSpaceDE w:val="0"/>
        <w:autoSpaceDN w:val="0"/>
        <w:adjustRightInd w:val="0"/>
        <w:ind w:right="12"/>
        <w:jc w:val="both"/>
      </w:pPr>
      <w:r w:rsidRPr="00532502">
        <w:t>Il existe dans le commerce des trousses de campagne pour contrôler l’activité du cholinestérase sanguine. Si cette activité est basse, on peut en déduire qu’il y a eu exposition excessive à un insecticide organophosphoré. Ces dosages doivent être pratiqués toutes les semaines chez toutes les personnes qui manipulent de tels produits. Toute personne dont l’activité cholinestérasique est trop basse doit être mise en arrêt de travail jusqu’à retour à la normale.</w:t>
      </w:r>
    </w:p>
    <w:p w:rsidR="001A0D27" w:rsidRPr="001A0D27" w:rsidRDefault="001A0D27" w:rsidP="00A76F4A">
      <w:pPr>
        <w:tabs>
          <w:tab w:val="left" w:pos="1830"/>
          <w:tab w:val="left" w:pos="8647"/>
        </w:tabs>
        <w:ind w:right="12"/>
        <w:jc w:val="both"/>
        <w:rPr>
          <w:rFonts w:eastAsia="Times New Roman"/>
          <w:sz w:val="20"/>
          <w:szCs w:val="20"/>
        </w:rPr>
      </w:pPr>
    </w:p>
    <w:p w:rsidR="00D76AAC" w:rsidRDefault="00D76AAC" w:rsidP="00A76F4A">
      <w:pPr>
        <w:spacing w:after="160" w:line="259" w:lineRule="auto"/>
        <w:ind w:right="12"/>
        <w:rPr>
          <w:b/>
          <w:bCs/>
          <w:kern w:val="32"/>
          <w:sz w:val="28"/>
          <w:szCs w:val="28"/>
        </w:rPr>
      </w:pPr>
      <w:r>
        <w:rPr>
          <w:sz w:val="28"/>
          <w:szCs w:val="28"/>
        </w:rPr>
        <w:br w:type="page"/>
      </w:r>
    </w:p>
    <w:p w:rsidR="00E90DF5" w:rsidRPr="00D47C37" w:rsidRDefault="00575A3E" w:rsidP="00A76F4A">
      <w:pPr>
        <w:pStyle w:val="Cabealho1"/>
        <w:numPr>
          <w:ilvl w:val="0"/>
          <w:numId w:val="0"/>
        </w:numPr>
        <w:pBdr>
          <w:bottom w:val="thickThinSmallGap" w:sz="24" w:space="1" w:color="auto"/>
        </w:pBdr>
        <w:spacing w:after="120"/>
        <w:ind w:right="12"/>
        <w:rPr>
          <w:rFonts w:ascii="Times New Roman" w:hAnsi="Times New Roman"/>
          <w:sz w:val="24"/>
          <w:szCs w:val="24"/>
        </w:rPr>
      </w:pPr>
      <w:bookmarkStart w:id="641" w:name="_Toc75432391"/>
      <w:r w:rsidRPr="00D47C37">
        <w:rPr>
          <w:rFonts w:ascii="Times New Roman" w:hAnsi="Times New Roman"/>
          <w:sz w:val="24"/>
          <w:szCs w:val="24"/>
        </w:rPr>
        <w:lastRenderedPageBreak/>
        <w:t>ANNEXE 7. PLAN DE GESTION DES DECHETS</w:t>
      </w:r>
      <w:bookmarkEnd w:id="641"/>
    </w:p>
    <w:p w:rsidR="001A0D27" w:rsidRPr="001A0D27" w:rsidRDefault="001A0D27" w:rsidP="00A76F4A">
      <w:pPr>
        <w:tabs>
          <w:tab w:val="left" w:pos="1830"/>
          <w:tab w:val="left" w:pos="8647"/>
        </w:tabs>
        <w:ind w:right="12"/>
        <w:jc w:val="both"/>
        <w:rPr>
          <w:rFonts w:eastAsia="Times New Roman"/>
          <w:sz w:val="20"/>
          <w:szCs w:val="20"/>
        </w:rPr>
      </w:pPr>
    </w:p>
    <w:p w:rsidR="000E2021" w:rsidRPr="00532502" w:rsidRDefault="000E2021" w:rsidP="00A76F4A">
      <w:pPr>
        <w:autoSpaceDE w:val="0"/>
        <w:autoSpaceDN w:val="0"/>
        <w:adjustRightInd w:val="0"/>
        <w:ind w:right="12"/>
        <w:jc w:val="both"/>
      </w:pPr>
      <w:r w:rsidRPr="00532502">
        <w:t>Divers types de déchets sont rencontrés notamment des déchets ménagers et des déchets</w:t>
      </w:r>
      <w:r w:rsidR="0060481D" w:rsidRPr="00532502">
        <w:t xml:space="preserve"> de chantier ou des déchets issus de l’utilisation des </w:t>
      </w:r>
      <w:r w:rsidR="00301AB0" w:rsidRPr="00532502">
        <w:t>produits de pesticide.</w:t>
      </w:r>
    </w:p>
    <w:p w:rsidR="000E2021" w:rsidRPr="00532502" w:rsidRDefault="000E2021" w:rsidP="00A76F4A">
      <w:pPr>
        <w:autoSpaceDE w:val="0"/>
        <w:autoSpaceDN w:val="0"/>
        <w:adjustRightInd w:val="0"/>
        <w:ind w:right="12"/>
        <w:jc w:val="both"/>
      </w:pPr>
      <w:r w:rsidRPr="00532502">
        <w:t xml:space="preserve">Les déchets ménagers proviennent souvent de restes de repas, les sachets plastiques, les emballages, les gobelets, les bouteilles, etc. </w:t>
      </w:r>
    </w:p>
    <w:p w:rsidR="000E2021" w:rsidRPr="00532502" w:rsidRDefault="000E2021" w:rsidP="00A76F4A">
      <w:pPr>
        <w:autoSpaceDE w:val="0"/>
        <w:autoSpaceDN w:val="0"/>
        <w:adjustRightInd w:val="0"/>
        <w:ind w:right="12"/>
        <w:jc w:val="both"/>
      </w:pPr>
      <w:r w:rsidRPr="00532502">
        <w:t xml:space="preserve">Des espaces de stockage des déchets de chantier seront aussi aménagés, à proximité des divers lieux d’activités, pour contenir les déchets selon leur type bois, fer, cartons, sachets plastiques, papiers, huiles usagées, etc. </w:t>
      </w:r>
    </w:p>
    <w:p w:rsidR="000E2021" w:rsidRPr="00532502" w:rsidRDefault="000E2021" w:rsidP="00A76F4A">
      <w:pPr>
        <w:autoSpaceDE w:val="0"/>
        <w:autoSpaceDN w:val="0"/>
        <w:adjustRightInd w:val="0"/>
        <w:ind w:right="12"/>
        <w:jc w:val="both"/>
      </w:pPr>
    </w:p>
    <w:p w:rsidR="009D1DF9" w:rsidRDefault="000E2021" w:rsidP="00A76F4A">
      <w:pPr>
        <w:autoSpaceDE w:val="0"/>
        <w:autoSpaceDN w:val="0"/>
        <w:adjustRightInd w:val="0"/>
        <w:ind w:right="12"/>
        <w:jc w:val="both"/>
      </w:pPr>
      <w:r w:rsidRPr="00532502">
        <w:t>Les papiers, les cartons, le bois seront déposés au niveau des poubelles et seront régulièrement ramassées et brulés dans un fût amélioré afin d’éviter la production de monoxyde de Carbone. (Ce procède doit faire l’objet d’une autorisation délivrée par l’Autorité en charge de l’environnement. La mission de contrôle devra vérifier l’existence du permis avant le démarrage des travaux)</w:t>
      </w:r>
    </w:p>
    <w:p w:rsidR="000E2021" w:rsidRPr="00532502" w:rsidRDefault="00526D6F" w:rsidP="00A76F4A">
      <w:pPr>
        <w:autoSpaceDE w:val="0"/>
        <w:autoSpaceDN w:val="0"/>
        <w:adjustRightInd w:val="0"/>
        <w:ind w:right="12"/>
        <w:jc w:val="both"/>
      </w:pPr>
      <w:r w:rsidRPr="00532502">
        <w:t>Les</w:t>
      </w:r>
      <w:r w:rsidR="000E2021" w:rsidRPr="00532502">
        <w:t xml:space="preserve"> faibles quantités d’huiles usées seront générées sur le site. Elles seront conditionnées dans des futs hermétiques et entreposées sur un sol protégé, à l’abri des eaux de pluie dans un lieu sécurisé en attendant leur récupération pour autres utilisations écologiquement acceptable.</w:t>
      </w:r>
    </w:p>
    <w:p w:rsidR="000E2021" w:rsidRDefault="000E2021" w:rsidP="00A76F4A">
      <w:pPr>
        <w:autoSpaceDE w:val="0"/>
        <w:autoSpaceDN w:val="0"/>
        <w:adjustRightInd w:val="0"/>
        <w:ind w:right="12"/>
        <w:jc w:val="both"/>
      </w:pPr>
      <w:r w:rsidRPr="00532502">
        <w:t>Pour les grandes quantités d’huiles (vidange de camions et engins), nous privilégierons le recours aux stations de service les plus proches pour vidanger de manière sécurisée.</w:t>
      </w:r>
    </w:p>
    <w:p w:rsidR="00853EE1" w:rsidRPr="00532502" w:rsidRDefault="00853EE1" w:rsidP="00A76F4A">
      <w:pPr>
        <w:autoSpaceDE w:val="0"/>
        <w:autoSpaceDN w:val="0"/>
        <w:adjustRightInd w:val="0"/>
        <w:ind w:right="12"/>
        <w:jc w:val="both"/>
      </w:pPr>
    </w:p>
    <w:p w:rsidR="000E2021" w:rsidRPr="00206F59" w:rsidRDefault="000E2021" w:rsidP="00A76F4A">
      <w:pPr>
        <w:ind w:right="12"/>
        <w:jc w:val="center"/>
        <w:rPr>
          <w:b/>
        </w:rPr>
      </w:pPr>
      <w:bookmarkStart w:id="642" w:name="_Toc535408499"/>
      <w:bookmarkStart w:id="643" w:name="_Toc11158781"/>
      <w:bookmarkStart w:id="644" w:name="_Toc51084866"/>
      <w:bookmarkStart w:id="645" w:name="_Toc73522632"/>
      <w:r w:rsidRPr="00206F59">
        <w:rPr>
          <w:b/>
          <w:noProof/>
          <w:lang w:val="pt-PT" w:eastAsia="pt-PT"/>
        </w:rPr>
        <w:drawing>
          <wp:anchor distT="0" distB="0" distL="114300" distR="114300" simplePos="0" relativeHeight="251658318" behindDoc="1" locked="0" layoutInCell="1" allowOverlap="1" wp14:anchorId="47A94EDC" wp14:editId="45432ECE">
            <wp:simplePos x="0" y="0"/>
            <wp:positionH relativeFrom="margin">
              <wp:posOffset>4210050</wp:posOffset>
            </wp:positionH>
            <wp:positionV relativeFrom="margin">
              <wp:posOffset>-76418440</wp:posOffset>
            </wp:positionV>
            <wp:extent cx="3600450" cy="2427605"/>
            <wp:effectExtent l="0" t="0" r="0" b="0"/>
            <wp:wrapTight wrapText="bothSides">
              <wp:wrapPolygon edited="0">
                <wp:start x="0" y="0"/>
                <wp:lineTo x="0" y="21357"/>
                <wp:lineTo x="21486" y="21357"/>
                <wp:lineTo x="21486" y="0"/>
                <wp:lineTo x="0" y="0"/>
              </wp:wrapPolygon>
            </wp:wrapTight>
            <wp:docPr id="9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600450"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F59">
        <w:rPr>
          <w:b/>
          <w:sz w:val="20"/>
          <w:szCs w:val="20"/>
        </w:rPr>
        <w:t>Tableau  : Plan indicatif de gestion des déchets de chantier</w:t>
      </w:r>
      <w:bookmarkEnd w:id="642"/>
      <w:bookmarkEnd w:id="643"/>
      <w:bookmarkEnd w:id="644"/>
      <w:bookmarkEnd w:id="64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736"/>
        <w:gridCol w:w="2058"/>
        <w:gridCol w:w="2438"/>
        <w:gridCol w:w="1602"/>
      </w:tblGrid>
      <w:tr w:rsidR="000E2021" w:rsidRPr="00206F59" w:rsidTr="000E2021">
        <w:tc>
          <w:tcPr>
            <w:tcW w:w="2023" w:type="dxa"/>
            <w:shd w:val="clear" w:color="auto" w:fill="1F3864"/>
            <w:vAlign w:val="center"/>
          </w:tcPr>
          <w:p w:rsidR="000E2021" w:rsidRPr="00206F59" w:rsidRDefault="000E2021" w:rsidP="00A76F4A">
            <w:pPr>
              <w:ind w:right="12"/>
              <w:jc w:val="center"/>
              <w:rPr>
                <w:b/>
              </w:rPr>
            </w:pPr>
            <w:r w:rsidRPr="00206F59">
              <w:rPr>
                <w:b/>
              </w:rPr>
              <w:t>NATURE DES DECHETS</w:t>
            </w:r>
          </w:p>
        </w:tc>
        <w:tc>
          <w:tcPr>
            <w:tcW w:w="1573" w:type="dxa"/>
            <w:shd w:val="clear" w:color="auto" w:fill="1F3864"/>
            <w:vAlign w:val="center"/>
          </w:tcPr>
          <w:p w:rsidR="000E2021" w:rsidRPr="00206F59" w:rsidRDefault="000E2021" w:rsidP="00A76F4A">
            <w:pPr>
              <w:ind w:right="12"/>
              <w:jc w:val="center"/>
              <w:rPr>
                <w:b/>
              </w:rPr>
            </w:pPr>
            <w:r w:rsidRPr="00206F59">
              <w:rPr>
                <w:b/>
              </w:rPr>
              <w:t>QUANTITE MENSUELLE</w:t>
            </w:r>
          </w:p>
        </w:tc>
        <w:tc>
          <w:tcPr>
            <w:tcW w:w="2155" w:type="dxa"/>
            <w:shd w:val="clear" w:color="auto" w:fill="1F3864"/>
            <w:vAlign w:val="center"/>
          </w:tcPr>
          <w:p w:rsidR="000E2021" w:rsidRPr="00206F59" w:rsidRDefault="000E2021" w:rsidP="00A76F4A">
            <w:pPr>
              <w:ind w:right="12"/>
              <w:jc w:val="center"/>
              <w:rPr>
                <w:b/>
              </w:rPr>
            </w:pPr>
            <w:r w:rsidRPr="00206F59">
              <w:rPr>
                <w:b/>
              </w:rPr>
              <w:t>MODE ET LIEU DE STOCKAGE</w:t>
            </w:r>
          </w:p>
        </w:tc>
        <w:tc>
          <w:tcPr>
            <w:tcW w:w="2492" w:type="dxa"/>
            <w:shd w:val="clear" w:color="auto" w:fill="1F3864"/>
            <w:vAlign w:val="center"/>
          </w:tcPr>
          <w:p w:rsidR="000E2021" w:rsidRPr="00206F59" w:rsidRDefault="000E2021" w:rsidP="00A76F4A">
            <w:pPr>
              <w:ind w:right="12"/>
              <w:jc w:val="center"/>
              <w:rPr>
                <w:b/>
              </w:rPr>
            </w:pPr>
            <w:r w:rsidRPr="00206F59">
              <w:rPr>
                <w:b/>
              </w:rPr>
              <w:t>MODE D’ELIMINATION</w:t>
            </w:r>
          </w:p>
        </w:tc>
        <w:tc>
          <w:tcPr>
            <w:tcW w:w="1504" w:type="dxa"/>
            <w:shd w:val="clear" w:color="auto" w:fill="1F3864"/>
            <w:vAlign w:val="center"/>
          </w:tcPr>
          <w:p w:rsidR="000E2021" w:rsidRPr="00206F59" w:rsidRDefault="000E2021" w:rsidP="00A76F4A">
            <w:pPr>
              <w:ind w:right="12"/>
              <w:jc w:val="center"/>
              <w:rPr>
                <w:b/>
              </w:rPr>
            </w:pPr>
            <w:r w:rsidRPr="00206F59">
              <w:rPr>
                <w:b/>
              </w:rPr>
              <w:t>MODE DE CONTRÔLE</w:t>
            </w:r>
          </w:p>
        </w:tc>
      </w:tr>
      <w:tr w:rsidR="000E2021" w:rsidRPr="00206F59" w:rsidTr="000E2021">
        <w:trPr>
          <w:trHeight w:val="2601"/>
        </w:trPr>
        <w:tc>
          <w:tcPr>
            <w:tcW w:w="2023" w:type="dxa"/>
            <w:vAlign w:val="center"/>
          </w:tcPr>
          <w:p w:rsidR="000E2021" w:rsidRPr="00206F59" w:rsidRDefault="000E2021" w:rsidP="00A76F4A">
            <w:pPr>
              <w:spacing w:after="240"/>
              <w:ind w:right="12"/>
              <w:jc w:val="center"/>
            </w:pPr>
            <w:r w:rsidRPr="00206F59">
              <w:t>Huiles, lubrifiants, carburants, graisses</w:t>
            </w:r>
            <w:r w:rsidR="0045529A">
              <w:t xml:space="preserve">, </w:t>
            </w:r>
            <w:r w:rsidR="00D606FB">
              <w:t>pesticides</w:t>
            </w:r>
          </w:p>
        </w:tc>
        <w:tc>
          <w:tcPr>
            <w:tcW w:w="1573" w:type="dxa"/>
            <w:vAlign w:val="center"/>
          </w:tcPr>
          <w:p w:rsidR="000E2021" w:rsidRPr="00206F59" w:rsidRDefault="000E2021" w:rsidP="00A76F4A">
            <w:pPr>
              <w:spacing w:after="240"/>
              <w:ind w:right="12"/>
              <w:jc w:val="center"/>
            </w:pPr>
          </w:p>
        </w:tc>
        <w:tc>
          <w:tcPr>
            <w:tcW w:w="2155" w:type="dxa"/>
            <w:vAlign w:val="center"/>
          </w:tcPr>
          <w:p w:rsidR="000E2021" w:rsidRPr="00206F59" w:rsidRDefault="000E2021" w:rsidP="00A76F4A">
            <w:pPr>
              <w:spacing w:after="240"/>
              <w:ind w:right="12"/>
              <w:jc w:val="center"/>
            </w:pPr>
            <w:r w:rsidRPr="00206F59">
              <w:t>Récupération dans des futs étanches</w:t>
            </w:r>
          </w:p>
          <w:p w:rsidR="000E2021" w:rsidRPr="00206F59" w:rsidRDefault="000E2021" w:rsidP="00A76F4A">
            <w:pPr>
              <w:spacing w:after="240"/>
              <w:ind w:right="12"/>
              <w:jc w:val="center"/>
            </w:pPr>
            <w:r w:rsidRPr="00206F59">
              <w:t>Stockage sur un sol bétonné à l’abri de l’eau et du feu</w:t>
            </w:r>
          </w:p>
          <w:p w:rsidR="000E2021" w:rsidRPr="00206F59" w:rsidRDefault="000E2021" w:rsidP="00A76F4A">
            <w:pPr>
              <w:ind w:right="12"/>
              <w:jc w:val="center"/>
            </w:pPr>
            <w:r w:rsidRPr="00206F59">
              <w:t>Stockage</w:t>
            </w:r>
          </w:p>
        </w:tc>
        <w:tc>
          <w:tcPr>
            <w:tcW w:w="2492" w:type="dxa"/>
            <w:vAlign w:val="center"/>
          </w:tcPr>
          <w:p w:rsidR="000E2021" w:rsidRPr="00206F59" w:rsidRDefault="000E2021" w:rsidP="00A76F4A">
            <w:pPr>
              <w:spacing w:after="240"/>
              <w:ind w:right="12"/>
              <w:jc w:val="center"/>
            </w:pPr>
            <w:r w:rsidRPr="00206F59">
              <w:t>Recyclage par réutilisation</w:t>
            </w:r>
            <w:r>
              <w:t xml:space="preserve"> </w:t>
            </w:r>
            <w:r w:rsidRPr="00560373">
              <w:t>(conforme aux directives HSE de la Banque Mondiale voir point 3.5.)</w:t>
            </w:r>
          </w:p>
        </w:tc>
        <w:tc>
          <w:tcPr>
            <w:tcW w:w="1504" w:type="dxa"/>
            <w:vAlign w:val="center"/>
          </w:tcPr>
          <w:p w:rsidR="000E2021" w:rsidRPr="00206F59" w:rsidRDefault="000E2021" w:rsidP="00A76F4A">
            <w:pPr>
              <w:spacing w:after="240"/>
              <w:ind w:right="12"/>
              <w:jc w:val="center"/>
            </w:pPr>
            <w:r w:rsidRPr="00206F59">
              <w:t>Photos</w:t>
            </w:r>
          </w:p>
          <w:p w:rsidR="000E2021" w:rsidRPr="00206F59" w:rsidRDefault="000E2021" w:rsidP="00A76F4A">
            <w:pPr>
              <w:spacing w:after="240"/>
              <w:ind w:right="12"/>
              <w:jc w:val="center"/>
            </w:pPr>
          </w:p>
        </w:tc>
      </w:tr>
      <w:tr w:rsidR="000E2021" w:rsidRPr="00206F59" w:rsidTr="000E2021">
        <w:trPr>
          <w:trHeight w:val="1689"/>
        </w:trPr>
        <w:tc>
          <w:tcPr>
            <w:tcW w:w="2023" w:type="dxa"/>
            <w:vAlign w:val="center"/>
          </w:tcPr>
          <w:p w:rsidR="000E2021" w:rsidRPr="00206F59" w:rsidRDefault="000E2021" w:rsidP="00A76F4A">
            <w:pPr>
              <w:spacing w:after="240"/>
              <w:ind w:right="12"/>
              <w:jc w:val="center"/>
            </w:pPr>
            <w:r w:rsidRPr="00206F59">
              <w:t>Papier- bois- carton</w:t>
            </w:r>
            <w:r w:rsidR="00D606FB">
              <w:t> - boudons</w:t>
            </w:r>
          </w:p>
        </w:tc>
        <w:tc>
          <w:tcPr>
            <w:tcW w:w="1573" w:type="dxa"/>
            <w:vAlign w:val="center"/>
          </w:tcPr>
          <w:p w:rsidR="000E2021" w:rsidRPr="00206F59" w:rsidRDefault="000E2021" w:rsidP="00A76F4A">
            <w:pPr>
              <w:spacing w:after="240"/>
              <w:ind w:right="12"/>
              <w:jc w:val="center"/>
            </w:pPr>
          </w:p>
        </w:tc>
        <w:tc>
          <w:tcPr>
            <w:tcW w:w="2155" w:type="dxa"/>
            <w:vAlign w:val="center"/>
          </w:tcPr>
          <w:p w:rsidR="000E2021" w:rsidRPr="00206F59" w:rsidRDefault="000E2021" w:rsidP="00A76F4A">
            <w:pPr>
              <w:spacing w:after="240"/>
              <w:ind w:right="12"/>
              <w:jc w:val="center"/>
            </w:pPr>
            <w:r w:rsidRPr="00206F59">
              <w:t>Stockage dans des poubelles</w:t>
            </w:r>
          </w:p>
          <w:p w:rsidR="000E2021" w:rsidRPr="00206F59" w:rsidRDefault="000E2021" w:rsidP="00A76F4A">
            <w:pPr>
              <w:ind w:right="12"/>
              <w:jc w:val="center"/>
            </w:pPr>
            <w:r w:rsidRPr="00206F59">
              <w:t>Brulage dans incinérateur de jardin</w:t>
            </w:r>
          </w:p>
        </w:tc>
        <w:tc>
          <w:tcPr>
            <w:tcW w:w="2492" w:type="dxa"/>
            <w:vAlign w:val="center"/>
          </w:tcPr>
          <w:p w:rsidR="000E2021" w:rsidRPr="00206F59" w:rsidRDefault="000E2021" w:rsidP="00A76F4A">
            <w:pPr>
              <w:spacing w:after="240"/>
              <w:ind w:right="12"/>
              <w:jc w:val="center"/>
            </w:pPr>
            <w:r w:rsidRPr="00206F59">
              <w:t>Brulage journalier par combustion complète</w:t>
            </w:r>
            <w:r>
              <w:t xml:space="preserve"> (NB : </w:t>
            </w:r>
            <w:r w:rsidRPr="0075081D">
              <w:rPr>
                <w:sz w:val="20"/>
                <w:szCs w:val="20"/>
              </w:rPr>
              <w:t>Ce brûlage doit faire l’objet d’une autorisation délivrée par l’Autorité en charge de l’environnement. La mission de contrôle devra vérifier l’existence du permis avant le démarrage des travaux</w:t>
            </w:r>
            <w:r>
              <w:rPr>
                <w:sz w:val="20"/>
                <w:szCs w:val="20"/>
              </w:rPr>
              <w:t>)</w:t>
            </w:r>
          </w:p>
        </w:tc>
        <w:tc>
          <w:tcPr>
            <w:tcW w:w="1504" w:type="dxa"/>
            <w:vAlign w:val="center"/>
          </w:tcPr>
          <w:p w:rsidR="000E2021" w:rsidRPr="00206F59" w:rsidRDefault="000E2021" w:rsidP="00A76F4A">
            <w:pPr>
              <w:spacing w:after="240"/>
              <w:ind w:right="12"/>
              <w:jc w:val="center"/>
            </w:pPr>
            <w:r w:rsidRPr="00206F59">
              <w:t>Photos</w:t>
            </w:r>
          </w:p>
        </w:tc>
      </w:tr>
    </w:tbl>
    <w:p w:rsidR="000E2021" w:rsidRPr="00206F59" w:rsidRDefault="000E2021" w:rsidP="00A76F4A">
      <w:pPr>
        <w:overflowPunct w:val="0"/>
        <w:autoSpaceDE w:val="0"/>
        <w:autoSpaceDN w:val="0"/>
        <w:adjustRightInd w:val="0"/>
        <w:spacing w:line="276" w:lineRule="auto"/>
        <w:ind w:right="12"/>
        <w:rPr>
          <w:b/>
          <w:bCs/>
        </w:rPr>
      </w:pPr>
    </w:p>
    <w:p w:rsidR="000E2021" w:rsidRPr="00532502" w:rsidRDefault="000E2021" w:rsidP="00A76F4A">
      <w:pPr>
        <w:autoSpaceDE w:val="0"/>
        <w:autoSpaceDN w:val="0"/>
        <w:adjustRightInd w:val="0"/>
        <w:ind w:right="12"/>
        <w:jc w:val="both"/>
      </w:pPr>
      <w:r w:rsidRPr="00532502">
        <w:t>Souvent, au cours des travaux, les activ</w:t>
      </w:r>
      <w:r w:rsidR="00FD1B51" w:rsidRPr="00532502">
        <w:t xml:space="preserve">ités du </w:t>
      </w:r>
      <w:r w:rsidR="00392A82" w:rsidRPr="00532502">
        <w:t>projet sont</w:t>
      </w:r>
      <w:r w:rsidRPr="00532502">
        <w:t xml:space="preserve"> à l’origine de la production de grandes quantités de déchets solides et liquides (destruction de constructions, abattage d’arbres, production de déchets plastiques, de bois, de cartons, de batteries usagées, d’huile de vidange, de</w:t>
      </w:r>
      <w:r w:rsidR="00CC5704" w:rsidRPr="00532502">
        <w:t xml:space="preserve"> pièces de rechange mécaniques </w:t>
      </w:r>
      <w:r w:rsidRPr="00532502">
        <w:t xml:space="preserve">et de toutes sortes de déchets dangereux ou </w:t>
      </w:r>
      <w:r w:rsidRPr="00532502">
        <w:lastRenderedPageBreak/>
        <w:t>spéciaux) et qu’il faudra gérer rigoureusement. Ces déchets viennent s’ajouter aux déchets déjà produits par les populations riveraines</w:t>
      </w:r>
    </w:p>
    <w:p w:rsidR="003E37D5" w:rsidRPr="00532502" w:rsidRDefault="000E2021" w:rsidP="00A76F4A">
      <w:pPr>
        <w:autoSpaceDE w:val="0"/>
        <w:autoSpaceDN w:val="0"/>
        <w:adjustRightInd w:val="0"/>
        <w:ind w:right="12"/>
        <w:jc w:val="both"/>
      </w:pPr>
      <w:r w:rsidRPr="00532502">
        <w:t xml:space="preserve">Les </w:t>
      </w:r>
      <w:r w:rsidR="00767235" w:rsidRPr="00532502">
        <w:t xml:space="preserve">activités </w:t>
      </w:r>
      <w:r w:rsidR="00A03441" w:rsidRPr="00532502">
        <w:t xml:space="preserve">du projet PUSA </w:t>
      </w:r>
      <w:r w:rsidRPr="00532502">
        <w:t>sont en général une source de grande production de déchets solides au n</w:t>
      </w:r>
      <w:r w:rsidR="00A03441" w:rsidRPr="00532502">
        <w:t xml:space="preserve">iveau des </w:t>
      </w:r>
      <w:r w:rsidR="005972A1" w:rsidRPr="00532502">
        <w:t xml:space="preserve">champ agricole ou </w:t>
      </w:r>
      <w:r w:rsidR="0046068D" w:rsidRPr="00532502">
        <w:t>au niveau des zones de construction des pistes d’accès</w:t>
      </w:r>
      <w:r w:rsidR="00EF1D6E" w:rsidRPr="00532502">
        <w:t>, des marchés, etc…</w:t>
      </w:r>
    </w:p>
    <w:p w:rsidR="000E2021" w:rsidRPr="00532502" w:rsidRDefault="000E2021" w:rsidP="00A76F4A">
      <w:pPr>
        <w:autoSpaceDE w:val="0"/>
        <w:autoSpaceDN w:val="0"/>
        <w:adjustRightInd w:val="0"/>
        <w:ind w:right="12"/>
        <w:jc w:val="both"/>
      </w:pPr>
      <w:r w:rsidRPr="00532502">
        <w:t>Ainsi, pour une gestion écologiquement rationnelle de ces déchets, lors des travaux, plusieurs recommandations et suggestions sont formulées :</w:t>
      </w:r>
    </w:p>
    <w:p w:rsidR="000E2021" w:rsidRPr="00392A82" w:rsidRDefault="000E2021" w:rsidP="00A76F4A">
      <w:pPr>
        <w:ind w:left="284" w:right="12"/>
        <w:jc w:val="both"/>
        <w:rPr>
          <w:sz w:val="22"/>
          <w:szCs w:val="22"/>
        </w:rPr>
      </w:pPr>
      <w:r w:rsidRPr="00392A82">
        <w:rPr>
          <w:b/>
          <w:bCs/>
          <w:sz w:val="22"/>
          <w:szCs w:val="22"/>
        </w:rPr>
        <w:t>R 1</w:t>
      </w:r>
      <w:r w:rsidR="00734678">
        <w:rPr>
          <w:sz w:val="22"/>
          <w:szCs w:val="22"/>
        </w:rPr>
        <w:t xml:space="preserve"> – Il est suggéré à ce que la Banque Mondiale et la FAO</w:t>
      </w:r>
      <w:r w:rsidRPr="00392A82">
        <w:rPr>
          <w:sz w:val="22"/>
          <w:szCs w:val="22"/>
        </w:rPr>
        <w:t xml:space="preserve"> veille</w:t>
      </w:r>
      <w:r w:rsidR="00F9020F">
        <w:rPr>
          <w:sz w:val="22"/>
          <w:szCs w:val="22"/>
        </w:rPr>
        <w:t>nt</w:t>
      </w:r>
      <w:r w:rsidRPr="00392A82">
        <w:rPr>
          <w:sz w:val="22"/>
          <w:szCs w:val="22"/>
        </w:rPr>
        <w:t xml:space="preserve"> à ce que l’entreprise</w:t>
      </w:r>
      <w:r w:rsidR="00CF7338">
        <w:rPr>
          <w:sz w:val="22"/>
          <w:szCs w:val="22"/>
        </w:rPr>
        <w:t xml:space="preserve"> ou le projet PUSA</w:t>
      </w:r>
      <w:r w:rsidR="00EF1D6E">
        <w:rPr>
          <w:sz w:val="22"/>
          <w:szCs w:val="22"/>
        </w:rPr>
        <w:t xml:space="preserve"> </w:t>
      </w:r>
      <w:r w:rsidRPr="00392A82">
        <w:rPr>
          <w:sz w:val="22"/>
          <w:szCs w:val="22"/>
        </w:rPr>
        <w:t xml:space="preserve">présente un </w:t>
      </w:r>
      <w:r w:rsidRPr="00392A82">
        <w:rPr>
          <w:b/>
          <w:sz w:val="22"/>
          <w:szCs w:val="22"/>
          <w:u w:val="single"/>
        </w:rPr>
        <w:t xml:space="preserve">plan de gestion écologiquement rationnel (PGERD) des déchets </w:t>
      </w:r>
      <w:r w:rsidRPr="00392A82">
        <w:rPr>
          <w:sz w:val="22"/>
          <w:szCs w:val="22"/>
        </w:rPr>
        <w:t xml:space="preserve">(Ce plan est un élément essentiel du </w:t>
      </w:r>
      <w:r w:rsidR="00A73BE0">
        <w:rPr>
          <w:sz w:val="22"/>
          <w:szCs w:val="22"/>
        </w:rPr>
        <w:t>AEI</w:t>
      </w:r>
      <w:r w:rsidRPr="00392A82">
        <w:rPr>
          <w:sz w:val="22"/>
          <w:szCs w:val="22"/>
        </w:rPr>
        <w:t xml:space="preserve"> Chantier et il devra être validé par la mission de contrôle et la Banque Mondiale avant le démarrage des travaux.) générés par leurs activités. </w:t>
      </w:r>
    </w:p>
    <w:p w:rsidR="000E2021" w:rsidRPr="00392A82" w:rsidRDefault="000E2021" w:rsidP="00A76F4A">
      <w:pPr>
        <w:ind w:left="284" w:right="12"/>
        <w:jc w:val="both"/>
        <w:rPr>
          <w:sz w:val="22"/>
          <w:szCs w:val="22"/>
        </w:rPr>
      </w:pPr>
      <w:r w:rsidRPr="00392A82">
        <w:rPr>
          <w:sz w:val="22"/>
          <w:szCs w:val="22"/>
        </w:rPr>
        <w:t>Ce plan devra comporter au moins :</w:t>
      </w:r>
    </w:p>
    <w:p w:rsidR="000E2021" w:rsidRPr="006209C2" w:rsidRDefault="000E2021" w:rsidP="00A76F4A">
      <w:pPr>
        <w:numPr>
          <w:ilvl w:val="0"/>
          <w:numId w:val="178"/>
        </w:numPr>
        <w:ind w:right="12"/>
        <w:jc w:val="both"/>
        <w:rPr>
          <w:sz w:val="22"/>
          <w:szCs w:val="22"/>
        </w:rPr>
      </w:pPr>
      <w:r w:rsidRPr="006209C2">
        <w:rPr>
          <w:sz w:val="22"/>
          <w:szCs w:val="22"/>
        </w:rPr>
        <w:t>mise en place d’un système collectif de ramassage et de stockage des déchets solides sur l’ensemble du chantier sur la base-vie</w:t>
      </w:r>
      <w:r w:rsidR="00C64BFE">
        <w:rPr>
          <w:sz w:val="22"/>
          <w:szCs w:val="22"/>
        </w:rPr>
        <w:t xml:space="preserve"> et des zones agricoles</w:t>
      </w:r>
      <w:r w:rsidRPr="006209C2">
        <w:rPr>
          <w:sz w:val="22"/>
          <w:szCs w:val="22"/>
        </w:rPr>
        <w:t>. La mission de contrôle devra veiller à son effectivité et à son bon fonctionnement ;</w:t>
      </w:r>
    </w:p>
    <w:p w:rsidR="000E2021" w:rsidRPr="006209C2" w:rsidRDefault="000E2021" w:rsidP="00A76F4A">
      <w:pPr>
        <w:numPr>
          <w:ilvl w:val="0"/>
          <w:numId w:val="178"/>
        </w:numPr>
        <w:tabs>
          <w:tab w:val="num" w:pos="2140"/>
        </w:tabs>
        <w:ind w:right="12"/>
        <w:jc w:val="both"/>
        <w:rPr>
          <w:sz w:val="22"/>
          <w:szCs w:val="22"/>
        </w:rPr>
      </w:pPr>
      <w:r w:rsidRPr="006209C2">
        <w:rPr>
          <w:sz w:val="22"/>
          <w:szCs w:val="22"/>
        </w:rPr>
        <w:t>utilisation d’une sous-soleuse afin de remuer la terre aux endroits les plus sensibles, particulièrement au niveau des zones cultivées ;</w:t>
      </w:r>
    </w:p>
    <w:p w:rsidR="000E2021" w:rsidRPr="006209C2" w:rsidRDefault="000E2021" w:rsidP="00A76F4A">
      <w:pPr>
        <w:numPr>
          <w:ilvl w:val="0"/>
          <w:numId w:val="178"/>
        </w:numPr>
        <w:ind w:right="12"/>
        <w:jc w:val="both"/>
        <w:rPr>
          <w:sz w:val="22"/>
          <w:szCs w:val="22"/>
        </w:rPr>
      </w:pPr>
      <w:r w:rsidRPr="006209C2">
        <w:rPr>
          <w:sz w:val="22"/>
          <w:szCs w:val="22"/>
        </w:rPr>
        <w:t>une liste des sites occupés par l’entreprise ;</w:t>
      </w:r>
    </w:p>
    <w:p w:rsidR="000E2021" w:rsidRPr="006209C2" w:rsidRDefault="000E2021" w:rsidP="00A76F4A">
      <w:pPr>
        <w:numPr>
          <w:ilvl w:val="0"/>
          <w:numId w:val="178"/>
        </w:numPr>
        <w:ind w:right="12"/>
        <w:jc w:val="both"/>
        <w:rPr>
          <w:sz w:val="22"/>
          <w:szCs w:val="22"/>
        </w:rPr>
      </w:pPr>
      <w:r w:rsidRPr="006209C2">
        <w:rPr>
          <w:sz w:val="22"/>
          <w:szCs w:val="22"/>
        </w:rPr>
        <w:t>le nombre de conteneurs prévus pour la collecte des déchets générés ;</w:t>
      </w:r>
    </w:p>
    <w:p w:rsidR="000E2021" w:rsidRPr="006209C2" w:rsidRDefault="000E2021" w:rsidP="00A76F4A">
      <w:pPr>
        <w:numPr>
          <w:ilvl w:val="0"/>
          <w:numId w:val="178"/>
        </w:numPr>
        <w:ind w:right="12"/>
        <w:jc w:val="both"/>
        <w:rPr>
          <w:sz w:val="22"/>
          <w:szCs w:val="22"/>
        </w:rPr>
      </w:pPr>
      <w:r w:rsidRPr="006209C2">
        <w:rPr>
          <w:sz w:val="22"/>
          <w:szCs w:val="22"/>
        </w:rPr>
        <w:t>le nombre de bacs ou demi-fûts prévus pour recevoir la collecte intermédiaire et journalière des ordures ;</w:t>
      </w:r>
    </w:p>
    <w:p w:rsidR="000E2021" w:rsidRPr="006209C2" w:rsidRDefault="000E2021" w:rsidP="00A76F4A">
      <w:pPr>
        <w:numPr>
          <w:ilvl w:val="0"/>
          <w:numId w:val="178"/>
        </w:numPr>
        <w:ind w:right="12"/>
        <w:jc w:val="both"/>
        <w:rPr>
          <w:sz w:val="22"/>
          <w:szCs w:val="22"/>
        </w:rPr>
      </w:pPr>
      <w:r w:rsidRPr="006209C2">
        <w:rPr>
          <w:sz w:val="22"/>
          <w:szCs w:val="22"/>
        </w:rPr>
        <w:t>le nombre de seaux prévus pour les bureaux s’il en existe ;</w:t>
      </w:r>
    </w:p>
    <w:p w:rsidR="000E2021" w:rsidRPr="006209C2" w:rsidRDefault="000E2021" w:rsidP="00A76F4A">
      <w:pPr>
        <w:numPr>
          <w:ilvl w:val="0"/>
          <w:numId w:val="178"/>
        </w:numPr>
        <w:ind w:right="12"/>
        <w:jc w:val="both"/>
        <w:rPr>
          <w:sz w:val="22"/>
          <w:szCs w:val="22"/>
        </w:rPr>
      </w:pPr>
      <w:r w:rsidRPr="006209C2">
        <w:rPr>
          <w:sz w:val="22"/>
          <w:szCs w:val="22"/>
        </w:rPr>
        <w:t>le système de tri/séparation à la source des ordures prévu avec au moins trois grandes catégories :</w:t>
      </w:r>
    </w:p>
    <w:p w:rsidR="000E2021" w:rsidRPr="009B1368" w:rsidRDefault="000E2021" w:rsidP="00A76F4A">
      <w:pPr>
        <w:numPr>
          <w:ilvl w:val="1"/>
          <w:numId w:val="178"/>
        </w:numPr>
        <w:ind w:right="12"/>
        <w:jc w:val="both"/>
        <w:rPr>
          <w:sz w:val="22"/>
          <w:szCs w:val="22"/>
        </w:rPr>
      </w:pPr>
      <w:r w:rsidRPr="009B1368">
        <w:rPr>
          <w:sz w:val="22"/>
          <w:szCs w:val="22"/>
        </w:rPr>
        <w:t>les déchets souillés (pièces mécaniques usagées, chiffons souillés, batterie morte, filtre à huile, la pneumatique souillée etc.</w:t>
      </w:r>
    </w:p>
    <w:p w:rsidR="000E2021" w:rsidRPr="009B1368" w:rsidRDefault="000E2021" w:rsidP="00A76F4A">
      <w:pPr>
        <w:numPr>
          <w:ilvl w:val="1"/>
          <w:numId w:val="178"/>
        </w:numPr>
        <w:ind w:right="12"/>
        <w:jc w:val="both"/>
        <w:rPr>
          <w:sz w:val="22"/>
          <w:szCs w:val="22"/>
        </w:rPr>
      </w:pPr>
      <w:r w:rsidRPr="009B1368">
        <w:rPr>
          <w:sz w:val="22"/>
          <w:szCs w:val="22"/>
        </w:rPr>
        <w:t>le papier, le carton, le bois, etc.</w:t>
      </w:r>
    </w:p>
    <w:p w:rsidR="000E2021" w:rsidRPr="009B1368" w:rsidRDefault="000E2021" w:rsidP="00A76F4A">
      <w:pPr>
        <w:numPr>
          <w:ilvl w:val="1"/>
          <w:numId w:val="178"/>
        </w:numPr>
        <w:ind w:right="12"/>
        <w:jc w:val="both"/>
        <w:rPr>
          <w:sz w:val="22"/>
          <w:szCs w:val="22"/>
        </w:rPr>
      </w:pPr>
      <w:r w:rsidRPr="009B1368">
        <w:rPr>
          <w:sz w:val="22"/>
          <w:szCs w:val="22"/>
        </w:rPr>
        <w:t>le plastique, la pneumatique propre, les bouteilles en plastique, etc.</w:t>
      </w:r>
    </w:p>
    <w:p w:rsidR="000E2021" w:rsidRPr="009B1368" w:rsidRDefault="000E2021" w:rsidP="00A76F4A">
      <w:pPr>
        <w:numPr>
          <w:ilvl w:val="0"/>
          <w:numId w:val="178"/>
        </w:numPr>
        <w:ind w:right="12"/>
        <w:jc w:val="both"/>
        <w:rPr>
          <w:sz w:val="22"/>
          <w:szCs w:val="22"/>
        </w:rPr>
      </w:pPr>
      <w:r w:rsidRPr="009B1368">
        <w:rPr>
          <w:sz w:val="22"/>
          <w:szCs w:val="22"/>
        </w:rPr>
        <w:t>le nombre de fûts prévus pour la collecte des huiles usagées ;</w:t>
      </w:r>
    </w:p>
    <w:p w:rsidR="000E2021" w:rsidRPr="009B1368" w:rsidRDefault="000E2021" w:rsidP="00A76F4A">
      <w:pPr>
        <w:numPr>
          <w:ilvl w:val="0"/>
          <w:numId w:val="178"/>
        </w:numPr>
        <w:ind w:right="12"/>
        <w:jc w:val="both"/>
        <w:rPr>
          <w:sz w:val="22"/>
          <w:szCs w:val="22"/>
        </w:rPr>
      </w:pPr>
      <w:r w:rsidRPr="009B1368">
        <w:rPr>
          <w:sz w:val="22"/>
          <w:szCs w:val="22"/>
        </w:rPr>
        <w:t>le nombre de séances de nettoyage des sites occupés par mois (au moins 4 fois par mois) ;</w:t>
      </w:r>
    </w:p>
    <w:p w:rsidR="000E2021" w:rsidRPr="009B1368" w:rsidRDefault="000E2021" w:rsidP="00A76F4A">
      <w:pPr>
        <w:numPr>
          <w:ilvl w:val="0"/>
          <w:numId w:val="178"/>
        </w:numPr>
        <w:ind w:right="12"/>
        <w:jc w:val="both"/>
        <w:rPr>
          <w:sz w:val="22"/>
          <w:szCs w:val="22"/>
        </w:rPr>
      </w:pPr>
      <w:r w:rsidRPr="009B1368">
        <w:rPr>
          <w:sz w:val="22"/>
          <w:szCs w:val="22"/>
        </w:rPr>
        <w:t>le système d’évacuation de ces déchets vers une décharge contrôlée ou vers un dépotoir prévu à cet effet ou par incinération dans des fûts améliorés (trous d’aération) pour une combustion complète ;</w:t>
      </w:r>
    </w:p>
    <w:p w:rsidR="000E2021" w:rsidRPr="009B1368" w:rsidRDefault="000E2021" w:rsidP="00A76F4A">
      <w:pPr>
        <w:ind w:left="-284" w:right="12"/>
        <w:jc w:val="both"/>
        <w:rPr>
          <w:sz w:val="22"/>
          <w:szCs w:val="22"/>
        </w:rPr>
      </w:pPr>
    </w:p>
    <w:p w:rsidR="000E2021" w:rsidRPr="00532502" w:rsidRDefault="000E2021" w:rsidP="00A76F4A">
      <w:pPr>
        <w:autoSpaceDE w:val="0"/>
        <w:autoSpaceDN w:val="0"/>
        <w:adjustRightInd w:val="0"/>
        <w:ind w:right="12"/>
        <w:jc w:val="both"/>
      </w:pPr>
      <w:r w:rsidRPr="00532502">
        <w:t xml:space="preserve">La restructuration à ceci de bien que, lorsque les routes secondaires seront construites, les camions de ramassage des ordures ménagères pourront se rapprocher des populations plus fréquemment et ainsi collecter plus de déchets et plus rapidement. </w:t>
      </w:r>
    </w:p>
    <w:p w:rsidR="000E2021" w:rsidRPr="00532502" w:rsidRDefault="000E2021" w:rsidP="00A76F4A">
      <w:pPr>
        <w:autoSpaceDE w:val="0"/>
        <w:autoSpaceDN w:val="0"/>
        <w:adjustRightInd w:val="0"/>
        <w:ind w:right="12"/>
        <w:jc w:val="both"/>
      </w:pPr>
      <w:r w:rsidRPr="00532502">
        <w:t xml:space="preserve">Il restera toujours quelques poches plus éloignées des routes secondaires mais dont les déchets pourront être collectés suivant un plan de ramassage bien établi. </w:t>
      </w:r>
    </w:p>
    <w:p w:rsidR="00A06D24" w:rsidRPr="009B1368" w:rsidRDefault="00A06D24" w:rsidP="00A76F4A">
      <w:pPr>
        <w:ind w:left="284" w:right="12"/>
        <w:jc w:val="both"/>
        <w:rPr>
          <w:sz w:val="22"/>
          <w:szCs w:val="22"/>
        </w:rPr>
      </w:pPr>
    </w:p>
    <w:p w:rsidR="000E2021" w:rsidRDefault="000E2021" w:rsidP="00A76F4A">
      <w:pPr>
        <w:ind w:left="284" w:right="12"/>
        <w:jc w:val="both"/>
        <w:rPr>
          <w:sz w:val="22"/>
          <w:szCs w:val="22"/>
        </w:rPr>
      </w:pPr>
      <w:r w:rsidRPr="00B5385B">
        <w:rPr>
          <w:b/>
          <w:bCs/>
          <w:sz w:val="22"/>
          <w:szCs w:val="22"/>
        </w:rPr>
        <w:t>R 2</w:t>
      </w:r>
      <w:r w:rsidRPr="00B5385B">
        <w:rPr>
          <w:sz w:val="22"/>
          <w:szCs w:val="22"/>
        </w:rPr>
        <w:t xml:space="preserve"> – Il est fortement conseillé à l’entreprise </w:t>
      </w:r>
      <w:r w:rsidR="000E372B">
        <w:rPr>
          <w:sz w:val="22"/>
          <w:szCs w:val="22"/>
        </w:rPr>
        <w:t xml:space="preserve">et au Projet </w:t>
      </w:r>
      <w:r w:rsidRPr="00B5385B">
        <w:rPr>
          <w:sz w:val="22"/>
          <w:szCs w:val="22"/>
        </w:rPr>
        <w:t>de contracter une prestation de service avec un spécialiste du nettoyage et du balayage ou avec des personnes individuelles ou ONGs pour effectuer régulièrement le nettoyage et l’entretien du sol des sites occupés par l’entreprise.</w:t>
      </w:r>
    </w:p>
    <w:p w:rsidR="000E372B" w:rsidRPr="00B5385B" w:rsidRDefault="000E372B" w:rsidP="00A76F4A">
      <w:pPr>
        <w:ind w:left="284" w:right="12"/>
        <w:jc w:val="both"/>
        <w:rPr>
          <w:sz w:val="22"/>
          <w:szCs w:val="22"/>
        </w:rPr>
      </w:pPr>
    </w:p>
    <w:p w:rsidR="000E2021" w:rsidRDefault="000E2021" w:rsidP="00A76F4A">
      <w:pPr>
        <w:ind w:left="284" w:right="12"/>
        <w:jc w:val="both"/>
        <w:rPr>
          <w:sz w:val="22"/>
          <w:szCs w:val="22"/>
        </w:rPr>
      </w:pPr>
      <w:r w:rsidRPr="00B5385B">
        <w:rPr>
          <w:b/>
          <w:sz w:val="22"/>
          <w:szCs w:val="22"/>
        </w:rPr>
        <w:t>R 3</w:t>
      </w:r>
      <w:r w:rsidRPr="00B5385B">
        <w:rPr>
          <w:sz w:val="22"/>
          <w:szCs w:val="22"/>
        </w:rPr>
        <w:t>– Pour la gestion des huiles usées, il est fortement recommandé à l’entreprise de construire un réceptacle en béton capable de stocker provisoirement ces huiles usées dans des fûts hermétiques</w:t>
      </w:r>
      <w:r w:rsidR="000E35AF" w:rsidRPr="000E35AF">
        <w:rPr>
          <w:b/>
          <w:sz w:val="22"/>
          <w:szCs w:val="22"/>
        </w:rPr>
        <w:t>.</w:t>
      </w:r>
      <w:r w:rsidR="000E35AF">
        <w:rPr>
          <w:b/>
          <w:sz w:val="22"/>
          <w:szCs w:val="22"/>
        </w:rPr>
        <w:t xml:space="preserve"> </w:t>
      </w:r>
      <w:r w:rsidRPr="00B5385B">
        <w:rPr>
          <w:b/>
          <w:sz w:val="22"/>
          <w:szCs w:val="22"/>
        </w:rPr>
        <w:t xml:space="preserve"> </w:t>
      </w:r>
      <w:r w:rsidRPr="00B5385B">
        <w:rPr>
          <w:sz w:val="22"/>
          <w:szCs w:val="22"/>
        </w:rPr>
        <w:t>Mais aussi, Penser également à couvrir la zone de stockage des huiles usagées si elle ne dispose pas d’un système de drainage et de collecte des eaux pluviales.</w:t>
      </w:r>
    </w:p>
    <w:p w:rsidR="00781DBD" w:rsidRPr="00B5385B" w:rsidRDefault="00781DBD" w:rsidP="00A76F4A">
      <w:pPr>
        <w:ind w:left="284" w:right="12"/>
        <w:jc w:val="both"/>
        <w:rPr>
          <w:sz w:val="22"/>
          <w:szCs w:val="22"/>
        </w:rPr>
      </w:pPr>
    </w:p>
    <w:p w:rsidR="000E2021" w:rsidRPr="00B5385B" w:rsidRDefault="000E2021" w:rsidP="00A76F4A">
      <w:pPr>
        <w:ind w:left="284" w:right="12"/>
        <w:jc w:val="both"/>
        <w:rPr>
          <w:sz w:val="22"/>
          <w:szCs w:val="22"/>
        </w:rPr>
      </w:pPr>
      <w:r w:rsidRPr="00B5385B">
        <w:rPr>
          <w:b/>
          <w:sz w:val="22"/>
          <w:szCs w:val="22"/>
        </w:rPr>
        <w:t>R 4</w:t>
      </w:r>
      <w:r w:rsidRPr="00B5385B">
        <w:rPr>
          <w:sz w:val="22"/>
          <w:szCs w:val="22"/>
        </w:rPr>
        <w:t xml:space="preserve"> – Il est aussi fortement recommandé à l’entreprise de veiller à la construction d’un bassin en béton pour y collecter tous les déchets solides souillés comme les filtres à huile, les batteries mortes, etc. Si le fond du bassin est bétonné, le risque de contamination de la nappe est très réduit. Ce bassin permettra à la fin des travaux, de pouvoir verser du béton sur ces déchets afin de les </w:t>
      </w:r>
      <w:r w:rsidRPr="00B5385B">
        <w:rPr>
          <w:sz w:val="22"/>
          <w:szCs w:val="22"/>
        </w:rPr>
        <w:lastRenderedPageBreak/>
        <w:t xml:space="preserve">stabiliser au maximum (cette procédure doit faire l’objet d’une concertation avec l’Autorité en charge de l’environnement et la délivrance d’une autorisation). </w:t>
      </w:r>
    </w:p>
    <w:p w:rsidR="000E2021" w:rsidRPr="00B5385B" w:rsidRDefault="000E2021" w:rsidP="00A76F4A">
      <w:pPr>
        <w:ind w:left="284" w:right="12"/>
        <w:jc w:val="both"/>
        <w:rPr>
          <w:sz w:val="22"/>
          <w:szCs w:val="22"/>
        </w:rPr>
      </w:pPr>
      <w:r w:rsidRPr="00B5385B">
        <w:rPr>
          <w:sz w:val="22"/>
          <w:szCs w:val="22"/>
        </w:rPr>
        <w:t xml:space="preserve">Il est important de penser à couvrir le bassin avec des tôles pour empêcher que l’eau de pluie ne rentre en contact avec l’huile usagée et ainsi ruisseler en dehors du réceptacle bétonné. </w:t>
      </w:r>
    </w:p>
    <w:p w:rsidR="000E2021" w:rsidRDefault="000E2021" w:rsidP="00A76F4A">
      <w:pPr>
        <w:ind w:left="284" w:right="12"/>
        <w:jc w:val="both"/>
        <w:rPr>
          <w:sz w:val="22"/>
          <w:szCs w:val="22"/>
        </w:rPr>
      </w:pPr>
      <w:r w:rsidRPr="00B5385B">
        <w:rPr>
          <w:b/>
          <w:sz w:val="22"/>
          <w:szCs w:val="22"/>
        </w:rPr>
        <w:t>R 5</w:t>
      </w:r>
      <w:r w:rsidRPr="00B5385B">
        <w:rPr>
          <w:sz w:val="22"/>
          <w:szCs w:val="22"/>
        </w:rPr>
        <w:t xml:space="preserve"> – Par anticipation, l’entreprise pourra choisir son fournisseur en huile en fonction de sa capacité à reprendre gratuitement ou à moindre coûts les fûts d’huiles usées déjà pré-conditionnés. Elle pourra aussi dans certains cas contracter avec un repreneur qui pourra récupérer les huiles usagées suivant une fréquence bien définies.</w:t>
      </w:r>
    </w:p>
    <w:p w:rsidR="001537A8" w:rsidRPr="00B5385B" w:rsidRDefault="001537A8" w:rsidP="00A76F4A">
      <w:pPr>
        <w:ind w:left="284" w:right="12"/>
        <w:jc w:val="both"/>
        <w:rPr>
          <w:sz w:val="22"/>
          <w:szCs w:val="22"/>
        </w:rPr>
      </w:pPr>
    </w:p>
    <w:p w:rsidR="000E2021" w:rsidRPr="00E81F27" w:rsidRDefault="000E2021" w:rsidP="00A76F4A">
      <w:pPr>
        <w:pStyle w:val="PargrafodaLista"/>
        <w:numPr>
          <w:ilvl w:val="0"/>
          <w:numId w:val="180"/>
        </w:numPr>
        <w:ind w:right="12"/>
        <w:jc w:val="both"/>
        <w:rPr>
          <w:rFonts w:ascii="Times New Roman" w:hAnsi="Times New Roman"/>
          <w:b/>
          <w:sz w:val="24"/>
          <w:szCs w:val="24"/>
        </w:rPr>
      </w:pPr>
      <w:r w:rsidRPr="00E81F27">
        <w:rPr>
          <w:rFonts w:ascii="Times New Roman" w:hAnsi="Times New Roman"/>
          <w:b/>
          <w:sz w:val="24"/>
          <w:szCs w:val="24"/>
        </w:rPr>
        <w:t>En phase d’exploitation</w:t>
      </w:r>
    </w:p>
    <w:p w:rsidR="000E2021" w:rsidRPr="001537A8" w:rsidRDefault="000E2021" w:rsidP="00A76F4A">
      <w:pPr>
        <w:ind w:right="12"/>
        <w:jc w:val="both"/>
        <w:rPr>
          <w:sz w:val="22"/>
          <w:szCs w:val="22"/>
        </w:rPr>
      </w:pPr>
      <w:r w:rsidRPr="001537A8">
        <w:rPr>
          <w:sz w:val="22"/>
          <w:szCs w:val="22"/>
        </w:rPr>
        <w:t>Les déchets étant de plus en plus nombreux car la société de consommation produit de plus en plus d’objets qui ne sont pas réutilisés, alors ils sont jetés dans nos poubelles. Et quand tout est mélangé, on ne récupère rien donc les déchets sont soit brulés ou mis en décharge.</w:t>
      </w:r>
    </w:p>
    <w:p w:rsidR="000E2021" w:rsidRPr="001537A8" w:rsidRDefault="000E2021" w:rsidP="00A76F4A">
      <w:pPr>
        <w:ind w:right="12"/>
        <w:jc w:val="both"/>
        <w:rPr>
          <w:sz w:val="22"/>
          <w:szCs w:val="22"/>
        </w:rPr>
      </w:pPr>
      <w:r w:rsidRPr="001537A8">
        <w:rPr>
          <w:sz w:val="22"/>
          <w:szCs w:val="22"/>
        </w:rPr>
        <w:t>Ainsi pour une bonne gestion des déchets et la protection de la nature nous recommandons fortement de mettre en place un système de tri sélectif.</w:t>
      </w:r>
    </w:p>
    <w:p w:rsidR="000E2021" w:rsidRPr="001537A8" w:rsidRDefault="000E2021" w:rsidP="00A76F4A">
      <w:pPr>
        <w:ind w:right="12"/>
        <w:jc w:val="both"/>
        <w:rPr>
          <w:sz w:val="22"/>
          <w:szCs w:val="22"/>
        </w:rPr>
      </w:pPr>
      <w:r w:rsidRPr="001537A8">
        <w:rPr>
          <w:sz w:val="22"/>
          <w:szCs w:val="22"/>
        </w:rPr>
        <w:t>Cela demande juste une organisation au niveau des différents immeubles, il faudra installer :</w:t>
      </w:r>
    </w:p>
    <w:p w:rsidR="000E2021" w:rsidRPr="008D3D7E" w:rsidRDefault="000E2021" w:rsidP="00A76F4A">
      <w:pPr>
        <w:pStyle w:val="PargrafodaLista"/>
        <w:numPr>
          <w:ilvl w:val="0"/>
          <w:numId w:val="179"/>
        </w:numPr>
        <w:spacing w:after="0" w:line="240" w:lineRule="auto"/>
        <w:ind w:right="12"/>
        <w:contextualSpacing w:val="0"/>
        <w:jc w:val="both"/>
        <w:rPr>
          <w:rFonts w:ascii="Times New Roman" w:hAnsi="Times New Roman"/>
          <w:sz w:val="22"/>
          <w:szCs w:val="22"/>
        </w:rPr>
      </w:pPr>
      <w:r w:rsidRPr="008D3D7E">
        <w:rPr>
          <w:rFonts w:ascii="Times New Roman" w:hAnsi="Times New Roman"/>
          <w:sz w:val="22"/>
          <w:szCs w:val="22"/>
        </w:rPr>
        <w:t>au moins 3 bacs de couleurs différentes pour chaque immeuble dans des endroits bien spécifiques avec des panneaux d’indication ou de consigne pour chaque bac ;</w:t>
      </w:r>
    </w:p>
    <w:p w:rsidR="000E2021" w:rsidRPr="008D3D7E" w:rsidRDefault="000E2021" w:rsidP="00A76F4A">
      <w:pPr>
        <w:pStyle w:val="PargrafodaLista"/>
        <w:numPr>
          <w:ilvl w:val="0"/>
          <w:numId w:val="179"/>
        </w:numPr>
        <w:spacing w:after="0" w:line="240" w:lineRule="auto"/>
        <w:ind w:right="12"/>
        <w:contextualSpacing w:val="0"/>
        <w:jc w:val="both"/>
        <w:rPr>
          <w:rFonts w:ascii="Times New Roman" w:hAnsi="Times New Roman"/>
          <w:sz w:val="22"/>
          <w:szCs w:val="22"/>
        </w:rPr>
      </w:pPr>
      <w:r w:rsidRPr="008D3D7E">
        <w:rPr>
          <w:rFonts w:ascii="Times New Roman" w:hAnsi="Times New Roman"/>
          <w:sz w:val="22"/>
          <w:szCs w:val="22"/>
        </w:rPr>
        <w:t>et 2 poubelles, des sacs poubelles  au niveau de chaque appartement ;</w:t>
      </w:r>
    </w:p>
    <w:p w:rsidR="000E2021" w:rsidRPr="008D3D7E" w:rsidRDefault="000E2021" w:rsidP="00A76F4A">
      <w:pPr>
        <w:ind w:right="12"/>
        <w:jc w:val="both"/>
        <w:rPr>
          <w:sz w:val="22"/>
          <w:szCs w:val="22"/>
        </w:rPr>
      </w:pPr>
      <w:r w:rsidRPr="008D3D7E">
        <w:rPr>
          <w:sz w:val="22"/>
          <w:szCs w:val="22"/>
        </w:rPr>
        <w:t>Ainsi on peut avoir un bac et une poubelle habituelle pour :</w:t>
      </w:r>
    </w:p>
    <w:p w:rsidR="000E2021" w:rsidRPr="008D3D7E" w:rsidRDefault="000E2021" w:rsidP="00A76F4A">
      <w:pPr>
        <w:pStyle w:val="PargrafodaLista"/>
        <w:numPr>
          <w:ilvl w:val="0"/>
          <w:numId w:val="179"/>
        </w:numPr>
        <w:spacing w:after="0" w:line="240" w:lineRule="auto"/>
        <w:ind w:right="12"/>
        <w:contextualSpacing w:val="0"/>
        <w:jc w:val="both"/>
        <w:rPr>
          <w:rFonts w:ascii="Times New Roman" w:hAnsi="Times New Roman"/>
          <w:sz w:val="22"/>
          <w:szCs w:val="22"/>
        </w:rPr>
      </w:pPr>
      <w:r w:rsidRPr="008D3D7E">
        <w:rPr>
          <w:rFonts w:ascii="Times New Roman" w:hAnsi="Times New Roman"/>
          <w:sz w:val="22"/>
          <w:szCs w:val="22"/>
        </w:rPr>
        <w:t>les déchets ordinaires, comme les restes des repas, les épluchures, les emballages sales, les couches culottes, coton-tige, tubes de crème, de dentifrice, stylos, etc...</w:t>
      </w:r>
    </w:p>
    <w:p w:rsidR="000E2021" w:rsidRPr="0091142F" w:rsidRDefault="000E2021" w:rsidP="00A76F4A">
      <w:pPr>
        <w:ind w:right="12"/>
        <w:jc w:val="both"/>
        <w:rPr>
          <w:sz w:val="22"/>
          <w:szCs w:val="22"/>
        </w:rPr>
      </w:pPr>
      <w:r w:rsidRPr="0091142F">
        <w:rPr>
          <w:sz w:val="22"/>
          <w:szCs w:val="22"/>
        </w:rPr>
        <w:t>Bref, tous les déchets qui sont non-recyclables Un bac et une poubelle pour :</w:t>
      </w:r>
    </w:p>
    <w:p w:rsidR="000E2021" w:rsidRPr="008D3D7E" w:rsidRDefault="000E2021" w:rsidP="00A76F4A">
      <w:pPr>
        <w:pStyle w:val="PargrafodaLista"/>
        <w:numPr>
          <w:ilvl w:val="0"/>
          <w:numId w:val="179"/>
        </w:numPr>
        <w:spacing w:after="0" w:line="240" w:lineRule="auto"/>
        <w:ind w:right="12"/>
        <w:contextualSpacing w:val="0"/>
        <w:jc w:val="both"/>
        <w:rPr>
          <w:rFonts w:ascii="Times New Roman" w:hAnsi="Times New Roman"/>
          <w:sz w:val="22"/>
          <w:szCs w:val="22"/>
        </w:rPr>
      </w:pPr>
      <w:r w:rsidRPr="008D3D7E">
        <w:rPr>
          <w:rFonts w:ascii="Times New Roman" w:hAnsi="Times New Roman"/>
          <w:sz w:val="22"/>
          <w:szCs w:val="22"/>
        </w:rPr>
        <w:t>Les papiers, journaux, magazines, imprimés.</w:t>
      </w:r>
    </w:p>
    <w:p w:rsidR="000E2021" w:rsidRPr="008D3D7E" w:rsidRDefault="000E2021" w:rsidP="00A76F4A">
      <w:pPr>
        <w:pStyle w:val="PargrafodaLista"/>
        <w:numPr>
          <w:ilvl w:val="0"/>
          <w:numId w:val="179"/>
        </w:numPr>
        <w:spacing w:after="0" w:line="240" w:lineRule="auto"/>
        <w:ind w:right="12"/>
        <w:contextualSpacing w:val="0"/>
        <w:jc w:val="both"/>
        <w:rPr>
          <w:rFonts w:ascii="Times New Roman" w:hAnsi="Times New Roman"/>
          <w:sz w:val="22"/>
          <w:szCs w:val="22"/>
        </w:rPr>
      </w:pPr>
      <w:r w:rsidRPr="008D3D7E">
        <w:rPr>
          <w:rFonts w:ascii="Times New Roman" w:hAnsi="Times New Roman"/>
          <w:sz w:val="22"/>
          <w:szCs w:val="22"/>
        </w:rPr>
        <w:t>Les emballages en plastique : bouteilles et flacons en plastique.</w:t>
      </w:r>
    </w:p>
    <w:p w:rsidR="000E2021" w:rsidRPr="008D3D7E" w:rsidRDefault="000E2021" w:rsidP="00A76F4A">
      <w:pPr>
        <w:pStyle w:val="PargrafodaLista"/>
        <w:numPr>
          <w:ilvl w:val="0"/>
          <w:numId w:val="179"/>
        </w:numPr>
        <w:spacing w:after="0" w:line="240" w:lineRule="auto"/>
        <w:ind w:right="12"/>
        <w:contextualSpacing w:val="0"/>
        <w:jc w:val="both"/>
        <w:rPr>
          <w:rFonts w:ascii="Times New Roman" w:hAnsi="Times New Roman"/>
          <w:sz w:val="22"/>
          <w:szCs w:val="22"/>
        </w:rPr>
      </w:pPr>
      <w:r w:rsidRPr="008D3D7E">
        <w:rPr>
          <w:rFonts w:ascii="Times New Roman" w:hAnsi="Times New Roman"/>
          <w:sz w:val="22"/>
          <w:szCs w:val="22"/>
        </w:rPr>
        <w:t>Les emballages en carton : cartons, briques alimentaires, boîtes en carton, gros cartons pliés.</w:t>
      </w:r>
    </w:p>
    <w:p w:rsidR="000E2021" w:rsidRPr="008D3D7E" w:rsidRDefault="000E2021" w:rsidP="00A76F4A">
      <w:pPr>
        <w:pStyle w:val="PargrafodaLista"/>
        <w:numPr>
          <w:ilvl w:val="0"/>
          <w:numId w:val="179"/>
        </w:numPr>
        <w:spacing w:after="0" w:line="240" w:lineRule="auto"/>
        <w:ind w:right="12"/>
        <w:contextualSpacing w:val="0"/>
        <w:jc w:val="both"/>
        <w:rPr>
          <w:rFonts w:ascii="Times New Roman" w:hAnsi="Times New Roman"/>
          <w:sz w:val="22"/>
          <w:szCs w:val="22"/>
        </w:rPr>
      </w:pPr>
      <w:r w:rsidRPr="008D3D7E">
        <w:rPr>
          <w:rFonts w:ascii="Times New Roman" w:hAnsi="Times New Roman"/>
          <w:sz w:val="22"/>
          <w:szCs w:val="22"/>
        </w:rPr>
        <w:t>Les emballages métalliques : boîtes de conserve, barquette aluminium, canettes, aérosols.</w:t>
      </w:r>
    </w:p>
    <w:p w:rsidR="000E2021" w:rsidRPr="008D3D7E" w:rsidRDefault="000E2021" w:rsidP="00A76F4A">
      <w:pPr>
        <w:pStyle w:val="PargrafodaLista"/>
        <w:numPr>
          <w:ilvl w:val="0"/>
          <w:numId w:val="179"/>
        </w:numPr>
        <w:spacing w:after="0" w:line="240" w:lineRule="auto"/>
        <w:ind w:right="12"/>
        <w:contextualSpacing w:val="0"/>
        <w:jc w:val="both"/>
        <w:rPr>
          <w:rFonts w:ascii="Times New Roman" w:hAnsi="Times New Roman"/>
          <w:sz w:val="22"/>
          <w:szCs w:val="22"/>
        </w:rPr>
      </w:pPr>
      <w:r w:rsidRPr="008D3D7E">
        <w:rPr>
          <w:rFonts w:ascii="Times New Roman" w:hAnsi="Times New Roman"/>
          <w:sz w:val="22"/>
          <w:szCs w:val="22"/>
        </w:rPr>
        <w:t>Pour tout ce qui peut être recyclé.</w:t>
      </w:r>
    </w:p>
    <w:p w:rsidR="000E2021" w:rsidRPr="008D3D7E" w:rsidRDefault="000E2021" w:rsidP="00A76F4A">
      <w:pPr>
        <w:pStyle w:val="Listecouleur-Accent11"/>
        <w:ind w:right="12"/>
        <w:rPr>
          <w:rFonts w:ascii="Times New Roman" w:hAnsi="Times New Roman"/>
        </w:rPr>
      </w:pPr>
      <w:r w:rsidRPr="008D3D7E">
        <w:rPr>
          <w:rFonts w:ascii="Times New Roman" w:hAnsi="Times New Roman"/>
        </w:rPr>
        <w:t>Un bac et une poubelle pour :</w:t>
      </w:r>
    </w:p>
    <w:p w:rsidR="000E2021" w:rsidRPr="008D3D7E" w:rsidRDefault="000E2021" w:rsidP="00A76F4A">
      <w:pPr>
        <w:pStyle w:val="PargrafodaLista"/>
        <w:numPr>
          <w:ilvl w:val="0"/>
          <w:numId w:val="179"/>
        </w:numPr>
        <w:spacing w:after="0" w:line="240" w:lineRule="auto"/>
        <w:ind w:right="12"/>
        <w:contextualSpacing w:val="0"/>
        <w:jc w:val="both"/>
        <w:rPr>
          <w:rFonts w:ascii="Times New Roman" w:hAnsi="Times New Roman"/>
          <w:sz w:val="22"/>
          <w:szCs w:val="22"/>
        </w:rPr>
      </w:pPr>
      <w:r w:rsidRPr="008D3D7E">
        <w:rPr>
          <w:rFonts w:ascii="Times New Roman" w:hAnsi="Times New Roman"/>
          <w:sz w:val="22"/>
          <w:szCs w:val="22"/>
        </w:rPr>
        <w:t>Le verre. Il faut trier à part les emballages en verre : les bouteilles, pots, bocaux. Le verre est recyclable à l’infini et a le droit à un ramassage spécial, conçu rien que pour lui !</w:t>
      </w:r>
    </w:p>
    <w:p w:rsidR="000E2021" w:rsidRPr="008D3D7E" w:rsidRDefault="000E2021" w:rsidP="00A76F4A">
      <w:pPr>
        <w:pStyle w:val="Corpodetexto"/>
        <w:ind w:right="12"/>
        <w:rPr>
          <w:rFonts w:ascii="Times New Roman" w:hAnsi="Times New Roman"/>
          <w:sz w:val="22"/>
          <w:szCs w:val="22"/>
        </w:rPr>
      </w:pPr>
      <w:r w:rsidRPr="008D3D7E">
        <w:rPr>
          <w:rFonts w:ascii="Times New Roman" w:hAnsi="Times New Roman"/>
          <w:sz w:val="22"/>
          <w:szCs w:val="22"/>
        </w:rPr>
        <w:t>NB : Les bacs doivent être munis de couvercles fermés avec une ouverture adaptée à chaque type de déchets.</w:t>
      </w:r>
    </w:p>
    <w:tbl>
      <w:tblPr>
        <w:tblW w:w="9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ook w:val="04A0" w:firstRow="1" w:lastRow="0" w:firstColumn="1" w:lastColumn="0" w:noHBand="0" w:noVBand="1"/>
      </w:tblPr>
      <w:tblGrid>
        <w:gridCol w:w="9253"/>
      </w:tblGrid>
      <w:tr w:rsidR="000E2021" w:rsidRPr="008D3D7E" w:rsidTr="007F0E4E">
        <w:tc>
          <w:tcPr>
            <w:tcW w:w="9253" w:type="dxa"/>
            <w:shd w:val="clear" w:color="auto" w:fill="E2EFD9" w:themeFill="accent6" w:themeFillTint="33"/>
          </w:tcPr>
          <w:p w:rsidR="000E2021" w:rsidRPr="008D3D7E" w:rsidRDefault="000E2021" w:rsidP="00A76F4A">
            <w:pPr>
              <w:ind w:right="12"/>
              <w:jc w:val="both"/>
              <w:rPr>
                <w:sz w:val="22"/>
                <w:szCs w:val="22"/>
              </w:rPr>
            </w:pPr>
            <w:r w:rsidRPr="008D3D7E">
              <w:rPr>
                <w:sz w:val="22"/>
                <w:szCs w:val="22"/>
              </w:rPr>
              <w:t>Si ces déchets sont triés (ou sélectionnés) par catégorie dans des bacs, alors la collecte sera facile pour les camions de ramassage mais aussi pour ouvrir des opportunités pour les recycleurs privés d’acheter les déchets en verres, le carton, les papiers et pour ceux qui pratiquent le compostage etc. Ceci peut constituer une source de revenu pour l’association des colocataires ou copropriétaires.</w:t>
            </w:r>
          </w:p>
        </w:tc>
      </w:tr>
    </w:tbl>
    <w:p w:rsidR="000E2021" w:rsidRPr="008D3D7E" w:rsidRDefault="000E2021" w:rsidP="00A76F4A">
      <w:pPr>
        <w:ind w:right="12"/>
        <w:rPr>
          <w:sz w:val="22"/>
          <w:szCs w:val="22"/>
        </w:rPr>
      </w:pPr>
    </w:p>
    <w:p w:rsidR="000E2021" w:rsidRDefault="000E2021" w:rsidP="00A76F4A">
      <w:pPr>
        <w:ind w:right="12"/>
        <w:jc w:val="both"/>
        <w:rPr>
          <w:sz w:val="22"/>
          <w:szCs w:val="22"/>
        </w:rPr>
      </w:pPr>
      <w:r w:rsidRPr="008D3D7E">
        <w:rPr>
          <w:sz w:val="22"/>
          <w:szCs w:val="22"/>
        </w:rPr>
        <w:t xml:space="preserve">Le stockage des produits susceptibles de générer de la pollution sur les eaux (carburant, hydrocarbures, batteries mortes, acides, câble, solvants, acides, déchets solides souillés, </w:t>
      </w:r>
      <w:r w:rsidR="004D1F88">
        <w:rPr>
          <w:sz w:val="22"/>
          <w:szCs w:val="22"/>
        </w:rPr>
        <w:t>pesticide, etc.</w:t>
      </w:r>
      <w:r w:rsidRPr="008D3D7E">
        <w:rPr>
          <w:sz w:val="22"/>
          <w:szCs w:val="22"/>
        </w:rPr>
        <w:t xml:space="preserve">) devra se faire dans le respect strict des normes de sécurités environnementales. C’est-à-dire, au niveau du site faire en sorte qu’aucun de ces produits ne se propagent sur le sol. </w:t>
      </w:r>
    </w:p>
    <w:p w:rsidR="005219DB" w:rsidRPr="008D3D7E" w:rsidRDefault="005219DB" w:rsidP="00A76F4A">
      <w:pPr>
        <w:ind w:right="12"/>
        <w:jc w:val="both"/>
        <w:rPr>
          <w:sz w:val="22"/>
          <w:szCs w:val="22"/>
        </w:rPr>
      </w:pPr>
    </w:p>
    <w:p w:rsidR="000E2021" w:rsidRDefault="004D1F88" w:rsidP="00A76F4A">
      <w:pPr>
        <w:ind w:right="12"/>
        <w:jc w:val="both"/>
        <w:rPr>
          <w:sz w:val="22"/>
          <w:szCs w:val="22"/>
        </w:rPr>
      </w:pPr>
      <w:r>
        <w:rPr>
          <w:sz w:val="22"/>
          <w:szCs w:val="22"/>
        </w:rPr>
        <w:t>Le projet PUSA ou entreprise</w:t>
      </w:r>
      <w:r w:rsidR="000E2021" w:rsidRPr="008D3D7E">
        <w:rPr>
          <w:sz w:val="22"/>
          <w:szCs w:val="22"/>
        </w:rPr>
        <w:t xml:space="preserve"> devra bétonner la surface du sol ou seront entreposés ces produits polluants pour éviter tout contact avec l’eau de pluie ou toute autre source d’eau de ruissellement.</w:t>
      </w:r>
    </w:p>
    <w:p w:rsidR="00951163" w:rsidRDefault="00951163" w:rsidP="00A76F4A">
      <w:pPr>
        <w:ind w:right="12"/>
        <w:jc w:val="both"/>
        <w:rPr>
          <w:sz w:val="22"/>
          <w:szCs w:val="22"/>
        </w:rPr>
      </w:pPr>
    </w:p>
    <w:p w:rsidR="00951163" w:rsidRDefault="00951163" w:rsidP="00A76F4A">
      <w:pPr>
        <w:ind w:right="12"/>
        <w:jc w:val="both"/>
        <w:rPr>
          <w:sz w:val="22"/>
          <w:szCs w:val="22"/>
        </w:rPr>
      </w:pPr>
    </w:p>
    <w:p w:rsidR="00951163" w:rsidRDefault="00951163" w:rsidP="00A76F4A">
      <w:pPr>
        <w:ind w:right="12"/>
        <w:jc w:val="both"/>
        <w:rPr>
          <w:sz w:val="22"/>
          <w:szCs w:val="22"/>
        </w:rPr>
      </w:pPr>
    </w:p>
    <w:p w:rsidR="00951163" w:rsidRDefault="00951163" w:rsidP="00A76F4A">
      <w:pPr>
        <w:ind w:right="12"/>
        <w:jc w:val="both"/>
        <w:rPr>
          <w:sz w:val="22"/>
          <w:szCs w:val="22"/>
        </w:rPr>
      </w:pPr>
    </w:p>
    <w:p w:rsidR="00951163" w:rsidRDefault="00951163" w:rsidP="00A76F4A">
      <w:pPr>
        <w:ind w:right="12"/>
        <w:jc w:val="both"/>
        <w:rPr>
          <w:sz w:val="22"/>
          <w:szCs w:val="22"/>
        </w:rPr>
      </w:pPr>
    </w:p>
    <w:p w:rsidR="00951163" w:rsidRDefault="00951163" w:rsidP="00A76F4A">
      <w:pPr>
        <w:ind w:right="12"/>
        <w:jc w:val="both"/>
        <w:rPr>
          <w:sz w:val="22"/>
          <w:szCs w:val="22"/>
        </w:rPr>
      </w:pPr>
    </w:p>
    <w:p w:rsidR="00951163" w:rsidRDefault="00951163" w:rsidP="00A76F4A">
      <w:pPr>
        <w:ind w:right="12"/>
        <w:jc w:val="both"/>
        <w:rPr>
          <w:sz w:val="22"/>
          <w:szCs w:val="22"/>
        </w:rPr>
      </w:pPr>
    </w:p>
    <w:p w:rsidR="00FF19FC" w:rsidRPr="00D47C37" w:rsidRDefault="00E90DF5" w:rsidP="00A76F4A">
      <w:pPr>
        <w:pStyle w:val="Cabealho1"/>
        <w:numPr>
          <w:ilvl w:val="0"/>
          <w:numId w:val="0"/>
        </w:numPr>
        <w:pBdr>
          <w:bottom w:val="thickThinSmallGap" w:sz="24" w:space="1" w:color="auto"/>
        </w:pBdr>
        <w:spacing w:after="120"/>
        <w:ind w:right="12"/>
        <w:rPr>
          <w:rFonts w:ascii="Times New Roman" w:hAnsi="Times New Roman"/>
          <w:sz w:val="24"/>
          <w:szCs w:val="24"/>
        </w:rPr>
      </w:pPr>
      <w:bookmarkStart w:id="646" w:name="_Toc55465415"/>
      <w:bookmarkStart w:id="647" w:name="_Toc75432392"/>
      <w:r w:rsidRPr="00D47C37">
        <w:rPr>
          <w:rFonts w:ascii="Times New Roman" w:hAnsi="Times New Roman"/>
          <w:sz w:val="24"/>
          <w:szCs w:val="24"/>
        </w:rPr>
        <w:t>A</w:t>
      </w:r>
      <w:r w:rsidR="00FF19FC" w:rsidRPr="00D47C37">
        <w:rPr>
          <w:rFonts w:ascii="Times New Roman" w:hAnsi="Times New Roman"/>
          <w:sz w:val="24"/>
          <w:szCs w:val="24"/>
        </w:rPr>
        <w:t xml:space="preserve">NNEXE </w:t>
      </w:r>
      <w:r w:rsidR="005E613E" w:rsidRPr="00D47C37">
        <w:rPr>
          <w:rFonts w:ascii="Times New Roman" w:hAnsi="Times New Roman"/>
          <w:sz w:val="24"/>
          <w:szCs w:val="24"/>
        </w:rPr>
        <w:t>8</w:t>
      </w:r>
      <w:r w:rsidR="00FF19FC" w:rsidRPr="00D47C37">
        <w:rPr>
          <w:rFonts w:ascii="Times New Roman" w:hAnsi="Times New Roman"/>
          <w:sz w:val="24"/>
          <w:szCs w:val="24"/>
        </w:rPr>
        <w:t xml:space="preserve">. LISTES DES SERVICES TECHNIQUES </w:t>
      </w:r>
      <w:bookmarkEnd w:id="646"/>
      <w:r w:rsidR="000E0006" w:rsidRPr="00D47C37">
        <w:rPr>
          <w:rFonts w:ascii="Times New Roman" w:hAnsi="Times New Roman"/>
          <w:sz w:val="24"/>
          <w:szCs w:val="24"/>
        </w:rPr>
        <w:t>CONSULTÉS</w:t>
      </w:r>
      <w:bookmarkEnd w:id="647"/>
    </w:p>
    <w:p w:rsidR="000E0006" w:rsidRPr="00A05698" w:rsidRDefault="000E0006" w:rsidP="00A76F4A">
      <w:pPr>
        <w:ind w:right="12"/>
      </w:pPr>
    </w:p>
    <w:p w:rsidR="00675A42" w:rsidRPr="00A05698" w:rsidRDefault="00675A42" w:rsidP="00A76F4A">
      <w:pPr>
        <w:widowControl w:val="0"/>
        <w:autoSpaceDE w:val="0"/>
        <w:autoSpaceDN w:val="0"/>
        <w:adjustRightInd w:val="0"/>
        <w:spacing w:line="280" w:lineRule="atLeast"/>
        <w:ind w:right="12"/>
        <w:jc w:val="center"/>
        <w:rPr>
          <w:color w:val="000000"/>
          <w:lang w:eastAsia="en-US"/>
        </w:rPr>
      </w:pPr>
      <w:r w:rsidRPr="00A05698">
        <w:rPr>
          <w:noProof/>
          <w:color w:val="000000"/>
          <w:lang w:val="pt-PT" w:eastAsia="pt-PT"/>
        </w:rPr>
        <w:drawing>
          <wp:anchor distT="0" distB="0" distL="114300" distR="114300" simplePos="0" relativeHeight="251658322" behindDoc="0" locked="0" layoutInCell="1" allowOverlap="1" wp14:anchorId="3D67695B" wp14:editId="43419DB4">
            <wp:simplePos x="0" y="0"/>
            <wp:positionH relativeFrom="column">
              <wp:posOffset>1241425</wp:posOffset>
            </wp:positionH>
            <wp:positionV relativeFrom="paragraph">
              <wp:posOffset>-1243330</wp:posOffset>
            </wp:positionV>
            <wp:extent cx="3331845" cy="5815330"/>
            <wp:effectExtent l="2858" t="0" r="0" b="0"/>
            <wp:wrapTight wrapText="bothSides">
              <wp:wrapPolygon edited="0">
                <wp:start x="21581" y="-11"/>
                <wp:lineTo x="175" y="-11"/>
                <wp:lineTo x="175" y="21500"/>
                <wp:lineTo x="21581" y="21500"/>
                <wp:lineTo x="21581" y="-11"/>
              </wp:wrapPolygon>
            </wp:wrapTight>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3331845" cy="581533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rsidR="000E0006" w:rsidRPr="00A05698" w:rsidRDefault="000E0006" w:rsidP="00A76F4A">
      <w:pPr>
        <w:ind w:right="12"/>
      </w:pPr>
    </w:p>
    <w:p w:rsidR="003B1B22" w:rsidRPr="00A05698" w:rsidRDefault="003B1B22" w:rsidP="00A76F4A">
      <w:pPr>
        <w:ind w:right="12"/>
      </w:pPr>
    </w:p>
    <w:p w:rsidR="00C818BA" w:rsidRPr="00A05698" w:rsidRDefault="00C818BA" w:rsidP="00A76F4A">
      <w:pPr>
        <w:widowControl w:val="0"/>
        <w:autoSpaceDE w:val="0"/>
        <w:autoSpaceDN w:val="0"/>
        <w:adjustRightInd w:val="0"/>
        <w:spacing w:line="280" w:lineRule="atLeast"/>
        <w:ind w:right="12"/>
        <w:rPr>
          <w:color w:val="000000"/>
          <w:lang w:eastAsia="en-US"/>
        </w:rPr>
      </w:pPr>
      <w:r w:rsidRPr="00A05698">
        <w:rPr>
          <w:noProof/>
          <w:color w:val="000000"/>
          <w:lang w:val="pt-PT" w:eastAsia="pt-PT"/>
        </w:rPr>
        <w:lastRenderedPageBreak/>
        <w:drawing>
          <wp:anchor distT="0" distB="0" distL="114300" distR="114300" simplePos="0" relativeHeight="251658323" behindDoc="0" locked="0" layoutInCell="1" allowOverlap="1" wp14:anchorId="474BCD78" wp14:editId="42164E95">
            <wp:simplePos x="0" y="0"/>
            <wp:positionH relativeFrom="column">
              <wp:posOffset>1041400</wp:posOffset>
            </wp:positionH>
            <wp:positionV relativeFrom="paragraph">
              <wp:posOffset>-1024890</wp:posOffset>
            </wp:positionV>
            <wp:extent cx="3832860" cy="5891530"/>
            <wp:effectExtent l="12065" t="0" r="0" b="0"/>
            <wp:wrapTight wrapText="bothSides">
              <wp:wrapPolygon edited="0">
                <wp:start x="21532" y="-44"/>
                <wp:lineTo x="204" y="-44"/>
                <wp:lineTo x="204" y="21467"/>
                <wp:lineTo x="21532" y="21467"/>
                <wp:lineTo x="21532" y="-44"/>
              </wp:wrapPolygon>
            </wp:wrapTight>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3832860" cy="589153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A05698">
        <w:rPr>
          <w:color w:val="000000"/>
          <w:lang w:eastAsia="en-US"/>
        </w:rPr>
        <w:t xml:space="preserve"> </w:t>
      </w:r>
    </w:p>
    <w:p w:rsidR="007F0E4E" w:rsidRDefault="007F0E4E" w:rsidP="00A76F4A">
      <w:pPr>
        <w:ind w:right="12"/>
      </w:pPr>
    </w:p>
    <w:p w:rsidR="007F0E4E" w:rsidRDefault="00C36BCC" w:rsidP="00A76F4A">
      <w:pPr>
        <w:ind w:right="12"/>
      </w:pPr>
      <w:r w:rsidRPr="00A05698">
        <w:rPr>
          <w:noProof/>
          <w:color w:val="000000"/>
          <w:lang w:val="pt-PT" w:eastAsia="pt-PT"/>
        </w:rPr>
        <w:lastRenderedPageBreak/>
        <w:drawing>
          <wp:anchor distT="0" distB="0" distL="114300" distR="114300" simplePos="0" relativeHeight="251658325" behindDoc="0" locked="0" layoutInCell="1" allowOverlap="1" wp14:anchorId="6DF91C3F" wp14:editId="19456C04">
            <wp:simplePos x="0" y="0"/>
            <wp:positionH relativeFrom="column">
              <wp:posOffset>1174750</wp:posOffset>
            </wp:positionH>
            <wp:positionV relativeFrom="paragraph">
              <wp:posOffset>2868930</wp:posOffset>
            </wp:positionV>
            <wp:extent cx="3894455" cy="6192520"/>
            <wp:effectExtent l="0" t="6032" r="11112" b="11113"/>
            <wp:wrapTight wrapText="bothSides">
              <wp:wrapPolygon edited="0">
                <wp:start x="21633" y="21"/>
                <wp:lineTo x="79" y="21"/>
                <wp:lineTo x="79" y="21550"/>
                <wp:lineTo x="21633" y="21550"/>
                <wp:lineTo x="21633" y="21"/>
              </wp:wrapPolygon>
            </wp:wrapTight>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3894455" cy="619252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A05698">
        <w:rPr>
          <w:noProof/>
          <w:color w:val="000000"/>
          <w:lang w:val="pt-PT" w:eastAsia="pt-PT"/>
        </w:rPr>
        <w:drawing>
          <wp:anchor distT="0" distB="0" distL="114300" distR="114300" simplePos="0" relativeHeight="251658324" behindDoc="0" locked="0" layoutInCell="1" allowOverlap="1" wp14:anchorId="6CD189BC" wp14:editId="2CBA9A02">
            <wp:simplePos x="0" y="0"/>
            <wp:positionH relativeFrom="column">
              <wp:posOffset>1280160</wp:posOffset>
            </wp:positionH>
            <wp:positionV relativeFrom="paragraph">
              <wp:posOffset>-1143635</wp:posOffset>
            </wp:positionV>
            <wp:extent cx="3780155" cy="6122035"/>
            <wp:effectExtent l="0" t="2540" r="1905" b="1905"/>
            <wp:wrapTight wrapText="bothSides">
              <wp:wrapPolygon edited="0">
                <wp:start x="21615" y="9"/>
                <wp:lineTo x="134" y="9"/>
                <wp:lineTo x="134" y="21517"/>
                <wp:lineTo x="21615" y="21517"/>
                <wp:lineTo x="21615" y="9"/>
              </wp:wrapPolygon>
            </wp:wrapTight>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3780155" cy="612203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rsidR="00C36BCC" w:rsidRDefault="00C36BCC" w:rsidP="00A76F4A">
      <w:pPr>
        <w:ind w:right="12"/>
      </w:pPr>
    </w:p>
    <w:p w:rsidR="00C36BCC" w:rsidRDefault="00C36BCC" w:rsidP="00A76F4A">
      <w:pPr>
        <w:ind w:right="12"/>
      </w:pPr>
    </w:p>
    <w:p w:rsidR="00C36BCC" w:rsidRDefault="00C36BCC" w:rsidP="00A76F4A">
      <w:pPr>
        <w:ind w:right="12"/>
      </w:pPr>
    </w:p>
    <w:p w:rsidR="003B1B22" w:rsidRPr="00A05698" w:rsidRDefault="003B1B22" w:rsidP="00A76F4A">
      <w:pPr>
        <w:ind w:right="12"/>
      </w:pPr>
    </w:p>
    <w:tbl>
      <w:tblPr>
        <w:tblStyle w:val="Tabelacomgrelha"/>
        <w:tblW w:w="0" w:type="auto"/>
        <w:tblLook w:val="04A0" w:firstRow="1" w:lastRow="0" w:firstColumn="1" w:lastColumn="0" w:noHBand="0" w:noVBand="1"/>
      </w:tblPr>
      <w:tblGrid>
        <w:gridCol w:w="2265"/>
        <w:gridCol w:w="4103"/>
        <w:gridCol w:w="2157"/>
      </w:tblGrid>
      <w:tr w:rsidR="001B7663" w:rsidRPr="0038655F" w:rsidTr="00B070AE">
        <w:tc>
          <w:tcPr>
            <w:tcW w:w="2265" w:type="dxa"/>
          </w:tcPr>
          <w:p w:rsidR="001B7663" w:rsidRPr="0038655F" w:rsidRDefault="001B7663" w:rsidP="00A76F4A">
            <w:pPr>
              <w:ind w:right="12"/>
              <w:rPr>
                <w:b/>
              </w:rPr>
            </w:pPr>
            <w:r w:rsidRPr="0038655F">
              <w:rPr>
                <w:b/>
              </w:rPr>
              <w:t>PRENOM NOM</w:t>
            </w:r>
          </w:p>
        </w:tc>
        <w:tc>
          <w:tcPr>
            <w:tcW w:w="4103" w:type="dxa"/>
          </w:tcPr>
          <w:p w:rsidR="001B7663" w:rsidRPr="0038655F" w:rsidRDefault="001B7663" w:rsidP="00A76F4A">
            <w:pPr>
              <w:ind w:right="12"/>
              <w:rPr>
                <w:b/>
              </w:rPr>
            </w:pPr>
            <w:r w:rsidRPr="0038655F">
              <w:rPr>
                <w:b/>
              </w:rPr>
              <w:t>SERVICE</w:t>
            </w:r>
          </w:p>
        </w:tc>
        <w:tc>
          <w:tcPr>
            <w:tcW w:w="2157" w:type="dxa"/>
          </w:tcPr>
          <w:p w:rsidR="001B7663" w:rsidRPr="0038655F" w:rsidRDefault="001B7663" w:rsidP="00A76F4A">
            <w:pPr>
              <w:ind w:right="12"/>
              <w:rPr>
                <w:b/>
              </w:rPr>
            </w:pPr>
            <w:r w:rsidRPr="0038655F">
              <w:rPr>
                <w:b/>
              </w:rPr>
              <w:t>TELEPHONE</w:t>
            </w:r>
          </w:p>
        </w:tc>
      </w:tr>
      <w:tr w:rsidR="001B7663" w:rsidRPr="00A05698" w:rsidTr="00B070AE">
        <w:tc>
          <w:tcPr>
            <w:tcW w:w="2265" w:type="dxa"/>
          </w:tcPr>
          <w:p w:rsidR="001B7663" w:rsidRPr="00A05698" w:rsidRDefault="00F1333C" w:rsidP="00A76F4A">
            <w:pPr>
              <w:ind w:right="12"/>
            </w:pPr>
            <w:r w:rsidRPr="00A05698">
              <w:t>Mamadou Sow</w:t>
            </w:r>
          </w:p>
        </w:tc>
        <w:tc>
          <w:tcPr>
            <w:tcW w:w="4103" w:type="dxa"/>
          </w:tcPr>
          <w:p w:rsidR="001B7663" w:rsidRPr="00A05698" w:rsidRDefault="00F1333C" w:rsidP="00A76F4A">
            <w:pPr>
              <w:ind w:right="12"/>
            </w:pPr>
            <w:r w:rsidRPr="00A05698">
              <w:t>PAM</w:t>
            </w:r>
          </w:p>
        </w:tc>
        <w:tc>
          <w:tcPr>
            <w:tcW w:w="2157" w:type="dxa"/>
          </w:tcPr>
          <w:p w:rsidR="001B7663" w:rsidRPr="00A05698" w:rsidRDefault="00F1333C" w:rsidP="00A76F4A">
            <w:pPr>
              <w:ind w:right="12"/>
            </w:pPr>
            <w:r w:rsidRPr="00A05698">
              <w:t>95 538 94 86</w:t>
            </w:r>
          </w:p>
        </w:tc>
      </w:tr>
      <w:tr w:rsidR="001B7663" w:rsidRPr="00A05698" w:rsidTr="00B070AE">
        <w:tc>
          <w:tcPr>
            <w:tcW w:w="2265" w:type="dxa"/>
          </w:tcPr>
          <w:p w:rsidR="001B7663" w:rsidRPr="00A05698" w:rsidRDefault="00F1333C" w:rsidP="00A76F4A">
            <w:pPr>
              <w:ind w:right="12"/>
            </w:pPr>
            <w:r w:rsidRPr="00A05698">
              <w:t>Julio Mal</w:t>
            </w:r>
            <w:r w:rsidR="003D45C4" w:rsidRPr="00A05698">
              <w:t>ane Ndiaye</w:t>
            </w:r>
          </w:p>
        </w:tc>
        <w:tc>
          <w:tcPr>
            <w:tcW w:w="4103" w:type="dxa"/>
          </w:tcPr>
          <w:p w:rsidR="001B7663" w:rsidRPr="00A05698" w:rsidRDefault="00B070AE" w:rsidP="00A76F4A">
            <w:pPr>
              <w:ind w:right="12"/>
            </w:pPr>
            <w:r w:rsidRPr="00A05698">
              <w:t xml:space="preserve">Chef de service </w:t>
            </w:r>
            <w:r w:rsidR="003D45C4" w:rsidRPr="00A05698">
              <w:t>DGA</w:t>
            </w:r>
          </w:p>
        </w:tc>
        <w:tc>
          <w:tcPr>
            <w:tcW w:w="2157" w:type="dxa"/>
          </w:tcPr>
          <w:p w:rsidR="001B7663" w:rsidRPr="00A05698" w:rsidRDefault="003D45C4" w:rsidP="00A76F4A">
            <w:pPr>
              <w:ind w:right="12"/>
            </w:pPr>
            <w:r w:rsidRPr="00A05698">
              <w:t>95 542 7229</w:t>
            </w:r>
          </w:p>
        </w:tc>
      </w:tr>
      <w:tr w:rsidR="003D45C4" w:rsidRPr="00A05698" w:rsidTr="00F16BB7">
        <w:trPr>
          <w:trHeight w:val="306"/>
        </w:trPr>
        <w:tc>
          <w:tcPr>
            <w:tcW w:w="2265" w:type="dxa"/>
          </w:tcPr>
          <w:p w:rsidR="003D45C4" w:rsidRPr="00A05698" w:rsidRDefault="003D45C4" w:rsidP="00A76F4A">
            <w:pPr>
              <w:ind w:right="12"/>
            </w:pPr>
            <w:r w:rsidRPr="00A05698">
              <w:t>Malane Mané</w:t>
            </w:r>
          </w:p>
        </w:tc>
        <w:tc>
          <w:tcPr>
            <w:tcW w:w="4103" w:type="dxa"/>
          </w:tcPr>
          <w:p w:rsidR="003D45C4" w:rsidRPr="00A05698" w:rsidRDefault="00B070AE" w:rsidP="00A76F4A">
            <w:pPr>
              <w:ind w:right="12"/>
            </w:pPr>
            <w:r w:rsidRPr="00A05698">
              <w:t xml:space="preserve">Président Association des </w:t>
            </w:r>
            <w:r w:rsidR="00242C0D" w:rsidRPr="00A05698">
              <w:t>commerçants</w:t>
            </w:r>
          </w:p>
        </w:tc>
        <w:tc>
          <w:tcPr>
            <w:tcW w:w="2157" w:type="dxa"/>
          </w:tcPr>
          <w:p w:rsidR="003D45C4" w:rsidRPr="00A05698" w:rsidRDefault="00F16BB7" w:rsidP="00A76F4A">
            <w:pPr>
              <w:ind w:right="12"/>
            </w:pPr>
            <w:r w:rsidRPr="00A05698">
              <w:t>95 59264 43</w:t>
            </w:r>
          </w:p>
        </w:tc>
      </w:tr>
      <w:tr w:rsidR="00F16BB7" w:rsidRPr="00A05698" w:rsidTr="00B070AE">
        <w:tc>
          <w:tcPr>
            <w:tcW w:w="2265" w:type="dxa"/>
          </w:tcPr>
          <w:p w:rsidR="00F16BB7" w:rsidRPr="00A05698" w:rsidRDefault="00F16BB7" w:rsidP="00A76F4A">
            <w:pPr>
              <w:ind w:right="12"/>
            </w:pPr>
            <w:r w:rsidRPr="00A05698">
              <w:t>Lassane Sambou</w:t>
            </w:r>
          </w:p>
        </w:tc>
        <w:tc>
          <w:tcPr>
            <w:tcW w:w="4103" w:type="dxa"/>
          </w:tcPr>
          <w:p w:rsidR="00F16BB7" w:rsidRPr="00A05698" w:rsidRDefault="00242C0D" w:rsidP="00A76F4A">
            <w:pPr>
              <w:ind w:right="12"/>
            </w:pPr>
            <w:r w:rsidRPr="00A05698">
              <w:t>Président</w:t>
            </w:r>
            <w:r w:rsidR="00F16BB7" w:rsidRPr="00A05698">
              <w:t xml:space="preserve"> Association des </w:t>
            </w:r>
            <w:r w:rsidRPr="00A05698">
              <w:t>intermédiaires</w:t>
            </w:r>
          </w:p>
        </w:tc>
        <w:tc>
          <w:tcPr>
            <w:tcW w:w="2157" w:type="dxa"/>
          </w:tcPr>
          <w:p w:rsidR="00F16BB7" w:rsidRPr="00A05698" w:rsidRDefault="00E72CB1" w:rsidP="00A76F4A">
            <w:pPr>
              <w:ind w:right="12"/>
            </w:pPr>
            <w:r w:rsidRPr="00A05698">
              <w:t>95 559 58 04</w:t>
            </w:r>
          </w:p>
        </w:tc>
      </w:tr>
    </w:tbl>
    <w:p w:rsidR="00643CB7" w:rsidRPr="00A05698" w:rsidRDefault="00643CB7" w:rsidP="00A76F4A">
      <w:pPr>
        <w:ind w:right="12"/>
      </w:pPr>
    </w:p>
    <w:p w:rsidR="00D76AAC" w:rsidRDefault="00D76AAC" w:rsidP="00A76F4A">
      <w:pPr>
        <w:spacing w:after="160" w:line="259" w:lineRule="auto"/>
        <w:ind w:right="12"/>
        <w:rPr>
          <w:b/>
          <w:bCs/>
          <w:kern w:val="32"/>
          <w:sz w:val="28"/>
          <w:szCs w:val="28"/>
        </w:rPr>
      </w:pPr>
      <w:r>
        <w:rPr>
          <w:sz w:val="28"/>
          <w:szCs w:val="28"/>
        </w:rPr>
        <w:br w:type="page"/>
      </w:r>
    </w:p>
    <w:p w:rsidR="00060D92" w:rsidRPr="00D47C37" w:rsidRDefault="00250DA0" w:rsidP="00A76F4A">
      <w:pPr>
        <w:pStyle w:val="Cabealho1"/>
        <w:numPr>
          <w:ilvl w:val="0"/>
          <w:numId w:val="0"/>
        </w:numPr>
        <w:pBdr>
          <w:bottom w:val="thickThinSmallGap" w:sz="24" w:space="1" w:color="auto"/>
        </w:pBdr>
        <w:spacing w:after="120"/>
        <w:ind w:right="12"/>
        <w:rPr>
          <w:rFonts w:ascii="Times New Roman" w:hAnsi="Times New Roman"/>
          <w:sz w:val="24"/>
          <w:szCs w:val="24"/>
        </w:rPr>
      </w:pPr>
      <w:bookmarkStart w:id="648" w:name="_Toc75432393"/>
      <w:r w:rsidRPr="00D47C37">
        <w:rPr>
          <w:rFonts w:ascii="Times New Roman" w:hAnsi="Times New Roman"/>
          <w:sz w:val="24"/>
          <w:szCs w:val="24"/>
        </w:rPr>
        <w:lastRenderedPageBreak/>
        <w:t xml:space="preserve">ANNEXE </w:t>
      </w:r>
      <w:r w:rsidR="005E613E" w:rsidRPr="00D47C37">
        <w:rPr>
          <w:rFonts w:ascii="Times New Roman" w:hAnsi="Times New Roman"/>
          <w:sz w:val="24"/>
          <w:szCs w:val="24"/>
        </w:rPr>
        <w:t>9</w:t>
      </w:r>
      <w:r w:rsidRPr="00D47C37">
        <w:rPr>
          <w:rFonts w:ascii="Times New Roman" w:hAnsi="Times New Roman"/>
          <w:sz w:val="24"/>
          <w:szCs w:val="24"/>
        </w:rPr>
        <w:t xml:space="preserve">: </w:t>
      </w:r>
      <w:r w:rsidR="00060D92" w:rsidRPr="00D47C37">
        <w:rPr>
          <w:rFonts w:ascii="Times New Roman" w:hAnsi="Times New Roman"/>
          <w:sz w:val="24"/>
          <w:szCs w:val="24"/>
        </w:rPr>
        <w:t>REUNION DE PRESENTATION AU NIVEAU DE LA FAO</w:t>
      </w:r>
      <w:bookmarkEnd w:id="648"/>
    </w:p>
    <w:p w:rsidR="00060D92" w:rsidRPr="00A05698" w:rsidRDefault="00060D92" w:rsidP="00A76F4A">
      <w:pPr>
        <w:pStyle w:val="Ttulo1"/>
        <w:spacing w:before="120" w:after="240" w:line="240" w:lineRule="auto"/>
        <w:ind w:right="12"/>
        <w:rPr>
          <w:rFonts w:ascii="Times New Roman" w:hAnsi="Times New Roman"/>
          <w:sz w:val="22"/>
          <w:szCs w:val="22"/>
        </w:rPr>
      </w:pPr>
      <w:r w:rsidRPr="00A05698">
        <w:rPr>
          <w:rFonts w:ascii="Times New Roman" w:hAnsi="Times New Roman"/>
          <w:sz w:val="22"/>
          <w:szCs w:val="22"/>
        </w:rPr>
        <w:t>COMPTE-RENDU DE LA REUNION DE PRESENTATION AVEC LA FAO</w:t>
      </w:r>
    </w:p>
    <w:tbl>
      <w:tblPr>
        <w:tblW w:w="5324" w:type="pct"/>
        <w:tblLook w:val="04A0" w:firstRow="1" w:lastRow="0" w:firstColumn="1" w:lastColumn="0" w:noHBand="0" w:noVBand="1"/>
      </w:tblPr>
      <w:tblGrid>
        <w:gridCol w:w="281"/>
        <w:gridCol w:w="351"/>
        <w:gridCol w:w="444"/>
        <w:gridCol w:w="1295"/>
        <w:gridCol w:w="2050"/>
        <w:gridCol w:w="4492"/>
        <w:gridCol w:w="990"/>
      </w:tblGrid>
      <w:tr w:rsidR="00060D92" w:rsidRPr="00A05698" w:rsidTr="000D6E80">
        <w:trPr>
          <w:trHeight w:val="244"/>
        </w:trPr>
        <w:tc>
          <w:tcPr>
            <w:tcW w:w="543" w:type="pct"/>
            <w:gridSpan w:val="3"/>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A76F4A">
            <w:pPr>
              <w:tabs>
                <w:tab w:val="left" w:pos="851"/>
              </w:tabs>
              <w:ind w:right="12"/>
            </w:pPr>
            <w:r w:rsidRPr="00A05698">
              <w:t>DATE :</w:t>
            </w:r>
          </w:p>
        </w:tc>
        <w:tc>
          <w:tcPr>
            <w:tcW w:w="4457" w:type="pct"/>
            <w:gridSpan w:val="4"/>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A76F4A">
            <w:pPr>
              <w:tabs>
                <w:tab w:val="left" w:pos="851"/>
              </w:tabs>
              <w:ind w:right="12"/>
            </w:pPr>
            <w:r w:rsidRPr="00A05698">
              <w:t>Le   14 Décembre 2020</w:t>
            </w:r>
          </w:p>
          <w:p w:rsidR="00060D92" w:rsidRPr="00A05698" w:rsidRDefault="00060D92" w:rsidP="00A76F4A">
            <w:pPr>
              <w:tabs>
                <w:tab w:val="left" w:pos="851"/>
              </w:tabs>
              <w:ind w:right="12"/>
            </w:pPr>
          </w:p>
        </w:tc>
      </w:tr>
      <w:tr w:rsidR="00060D92" w:rsidRPr="00A05698" w:rsidTr="000D6E80">
        <w:tblPrEx>
          <w:shd w:val="clear" w:color="auto" w:fill="FFFFFF"/>
        </w:tblPrEx>
        <w:trPr>
          <w:gridAfter w:val="1"/>
          <w:wAfter w:w="500" w:type="pct"/>
          <w:trHeight w:val="340"/>
        </w:trPr>
        <w:tc>
          <w:tcPr>
            <w:tcW w:w="4500" w:type="pct"/>
            <w:gridSpan w:val="6"/>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A76F4A">
            <w:pPr>
              <w:ind w:right="12"/>
              <w:rPr>
                <w:b/>
              </w:rPr>
            </w:pPr>
            <w:r w:rsidRPr="00A05698">
              <w:t>La liste des personnes présentes :</w:t>
            </w:r>
          </w:p>
        </w:tc>
      </w:tr>
      <w:tr w:rsidR="00060D92" w:rsidRPr="00A05698" w:rsidTr="000D6E80">
        <w:tblPrEx>
          <w:shd w:val="clear" w:color="auto" w:fill="FFFFFF"/>
        </w:tblPrEx>
        <w:trPr>
          <w:gridAfter w:val="1"/>
          <w:wAfter w:w="500" w:type="pct"/>
          <w:trHeight w:val="172"/>
        </w:trPr>
        <w:tc>
          <w:tcPr>
            <w:tcW w:w="319" w:type="pct"/>
            <w:gridSpan w:val="2"/>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A76F4A">
            <w:pPr>
              <w:ind w:right="12"/>
              <w:rPr>
                <w:b/>
              </w:rPr>
            </w:pPr>
          </w:p>
        </w:tc>
        <w:tc>
          <w:tcPr>
            <w:tcW w:w="1913" w:type="pct"/>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A76F4A">
            <w:pPr>
              <w:shd w:val="clear" w:color="auto" w:fill="FFFFFF"/>
              <w:ind w:right="12"/>
            </w:pPr>
            <w:r w:rsidRPr="00A05698">
              <w:t>Mme Yannick Rasoarimanana</w:t>
            </w:r>
          </w:p>
        </w:tc>
        <w:tc>
          <w:tcPr>
            <w:tcW w:w="2268" w:type="pct"/>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A76F4A">
            <w:pPr>
              <w:ind w:right="12"/>
            </w:pPr>
            <w:r w:rsidRPr="00A05698">
              <w:t>Représentante de la FAO</w:t>
            </w:r>
          </w:p>
        </w:tc>
      </w:tr>
      <w:tr w:rsidR="00060D92" w:rsidRPr="00A05698" w:rsidTr="000D6E80">
        <w:tblPrEx>
          <w:shd w:val="clear" w:color="auto" w:fill="FFFFFF"/>
        </w:tblPrEx>
        <w:trPr>
          <w:gridAfter w:val="1"/>
          <w:wAfter w:w="500" w:type="pct"/>
          <w:trHeight w:val="592"/>
        </w:trPr>
        <w:tc>
          <w:tcPr>
            <w:tcW w:w="319" w:type="pct"/>
            <w:gridSpan w:val="2"/>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A76F4A">
            <w:pPr>
              <w:ind w:right="12"/>
              <w:rPr>
                <w:b/>
              </w:rPr>
            </w:pPr>
          </w:p>
        </w:tc>
        <w:tc>
          <w:tcPr>
            <w:tcW w:w="1913" w:type="pct"/>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0F7F0D" w:rsidRDefault="00060D92" w:rsidP="00A76F4A">
            <w:pPr>
              <w:ind w:right="12"/>
              <w:rPr>
                <w:lang w:val="pt-BR" w:bidi="fr-FR"/>
              </w:rPr>
            </w:pPr>
            <w:r w:rsidRPr="000F7F0D">
              <w:rPr>
                <w:lang w:val="pt-BR" w:bidi="fr-FR"/>
              </w:rPr>
              <w:t>Mr Mario Tédo</w:t>
            </w:r>
          </w:p>
          <w:p w:rsidR="00060D92" w:rsidRPr="000F7F0D" w:rsidRDefault="00060D92" w:rsidP="00A76F4A">
            <w:pPr>
              <w:ind w:right="12"/>
              <w:rPr>
                <w:lang w:val="pt-BR" w:bidi="fr-FR"/>
              </w:rPr>
            </w:pPr>
            <w:r w:rsidRPr="000F7F0D">
              <w:rPr>
                <w:lang w:val="pt-BR" w:bidi="fr-FR"/>
              </w:rPr>
              <w:t xml:space="preserve">Mr Mario </w:t>
            </w:r>
            <w:r w:rsidR="0038655F" w:rsidRPr="000F7F0D">
              <w:rPr>
                <w:lang w:val="pt-BR" w:bidi="fr-FR"/>
              </w:rPr>
              <w:t xml:space="preserve">Dos </w:t>
            </w:r>
            <w:r w:rsidRPr="000F7F0D">
              <w:rPr>
                <w:lang w:val="pt-BR" w:bidi="fr-FR"/>
              </w:rPr>
              <w:t>Réis</w:t>
            </w:r>
          </w:p>
        </w:tc>
        <w:tc>
          <w:tcPr>
            <w:tcW w:w="2268" w:type="pct"/>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A76F4A">
            <w:pPr>
              <w:ind w:right="12"/>
            </w:pPr>
            <w:r w:rsidRPr="00A05698">
              <w:t>Operateur à FAO</w:t>
            </w:r>
          </w:p>
          <w:p w:rsidR="00060D92" w:rsidRPr="00A05698" w:rsidRDefault="00060D92" w:rsidP="00A76F4A">
            <w:pPr>
              <w:ind w:right="12"/>
              <w:rPr>
                <w:lang w:bidi="fr-FR"/>
              </w:rPr>
            </w:pPr>
            <w:r w:rsidRPr="00A05698">
              <w:t>Représentant Assistant du programme</w:t>
            </w:r>
          </w:p>
        </w:tc>
      </w:tr>
      <w:tr w:rsidR="00060D92" w:rsidRPr="00A05698" w:rsidTr="000D6E80">
        <w:tblPrEx>
          <w:shd w:val="clear" w:color="auto" w:fill="FFFFFF"/>
        </w:tblPrEx>
        <w:trPr>
          <w:gridAfter w:val="1"/>
          <w:wAfter w:w="500" w:type="pct"/>
          <w:trHeight w:val="172"/>
        </w:trPr>
        <w:tc>
          <w:tcPr>
            <w:tcW w:w="319" w:type="pct"/>
            <w:gridSpan w:val="2"/>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A76F4A">
            <w:pPr>
              <w:ind w:right="12"/>
              <w:rPr>
                <w:b/>
              </w:rPr>
            </w:pPr>
          </w:p>
        </w:tc>
        <w:tc>
          <w:tcPr>
            <w:tcW w:w="1913" w:type="pct"/>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A76F4A">
            <w:pPr>
              <w:ind w:right="12"/>
            </w:pPr>
            <w:r w:rsidRPr="00A05698">
              <w:t>Mr Amadou THIAM</w:t>
            </w:r>
          </w:p>
        </w:tc>
        <w:tc>
          <w:tcPr>
            <w:tcW w:w="2268" w:type="pct"/>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A76F4A">
            <w:pPr>
              <w:ind w:right="12"/>
            </w:pPr>
            <w:r w:rsidRPr="00A05698">
              <w:t>Consultant, Adjoint chef de mission</w:t>
            </w:r>
          </w:p>
        </w:tc>
      </w:tr>
      <w:tr w:rsidR="00060D92" w:rsidRPr="00A05698" w:rsidTr="000D6E80">
        <w:tblPrEx>
          <w:shd w:val="clear" w:color="auto" w:fill="FFFFFF"/>
        </w:tblPrEx>
        <w:trPr>
          <w:gridAfter w:val="1"/>
          <w:wAfter w:w="500" w:type="pct"/>
          <w:trHeight w:val="172"/>
        </w:trPr>
        <w:tc>
          <w:tcPr>
            <w:tcW w:w="319" w:type="pct"/>
            <w:gridSpan w:val="2"/>
            <w:tcBorders>
              <w:top w:val="single" w:sz="4" w:space="0" w:color="FFFFFF"/>
              <w:left w:val="single" w:sz="4" w:space="0" w:color="FFFFFF"/>
              <w:bottom w:val="single" w:sz="4" w:space="0" w:color="FFFFFF"/>
              <w:right w:val="single" w:sz="4" w:space="0" w:color="FFFFFF"/>
            </w:tcBorders>
            <w:shd w:val="clear" w:color="auto" w:fill="FFFFFF"/>
          </w:tcPr>
          <w:p w:rsidR="00060D92" w:rsidRPr="00A05698" w:rsidRDefault="00060D92" w:rsidP="00A76F4A">
            <w:pPr>
              <w:ind w:right="12"/>
              <w:rPr>
                <w:b/>
              </w:rPr>
            </w:pPr>
          </w:p>
        </w:tc>
        <w:tc>
          <w:tcPr>
            <w:tcW w:w="1913" w:type="pct"/>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A76F4A">
            <w:pPr>
              <w:ind w:right="12"/>
            </w:pPr>
            <w:r w:rsidRPr="00A05698">
              <w:t>Mr Cabral</w:t>
            </w:r>
          </w:p>
        </w:tc>
        <w:tc>
          <w:tcPr>
            <w:tcW w:w="2268" w:type="pct"/>
            <w:tcBorders>
              <w:top w:val="single" w:sz="4" w:space="0" w:color="FFFFFF"/>
              <w:left w:val="single" w:sz="4" w:space="0" w:color="FFFFFF"/>
              <w:bottom w:val="single" w:sz="4" w:space="0" w:color="FFFFFF"/>
              <w:right w:val="single" w:sz="4" w:space="0" w:color="FFFFFF"/>
            </w:tcBorders>
            <w:shd w:val="clear" w:color="auto" w:fill="FFFFFF"/>
            <w:vAlign w:val="center"/>
          </w:tcPr>
          <w:p w:rsidR="00060D92" w:rsidRPr="00A05698" w:rsidRDefault="00060D92" w:rsidP="00A76F4A">
            <w:pPr>
              <w:ind w:right="12"/>
            </w:pPr>
            <w:r w:rsidRPr="00A05698">
              <w:t>Equipe du Consultant</w:t>
            </w:r>
            <w:r w:rsidRPr="00A05698">
              <w:rPr>
                <w:lang w:bidi="fr-FR"/>
              </w:rPr>
              <w:t xml:space="preserve"> </w:t>
            </w:r>
          </w:p>
        </w:tc>
      </w:tr>
      <w:tr w:rsidR="00060D92" w:rsidRPr="00A05698" w:rsidTr="000D6E80">
        <w:trPr>
          <w:trHeight w:val="1399"/>
        </w:trPr>
        <w:tc>
          <w:tcPr>
            <w:tcW w:w="1197" w:type="pct"/>
            <w:gridSpan w:val="4"/>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A76F4A">
            <w:pPr>
              <w:ind w:right="12"/>
            </w:pPr>
          </w:p>
          <w:p w:rsidR="00060D92" w:rsidRPr="00A05698" w:rsidRDefault="00060D92" w:rsidP="00A76F4A">
            <w:pPr>
              <w:ind w:right="12"/>
            </w:pPr>
            <w:r w:rsidRPr="00A05698">
              <w:t>ORDRE DU JOUR :</w:t>
            </w:r>
          </w:p>
        </w:tc>
        <w:tc>
          <w:tcPr>
            <w:tcW w:w="3803" w:type="pct"/>
            <w:gridSpan w:val="3"/>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A76F4A">
            <w:pPr>
              <w:ind w:right="12"/>
              <w:rPr>
                <w:b/>
              </w:rPr>
            </w:pPr>
          </w:p>
          <w:p w:rsidR="00060D92" w:rsidRPr="00A05698" w:rsidRDefault="00060D92" w:rsidP="00A76F4A">
            <w:pPr>
              <w:ind w:right="12"/>
            </w:pPr>
            <w:r w:rsidRPr="00A05698">
              <w:rPr>
                <w:b/>
              </w:rPr>
              <w:t>Réunion de Présentation</w:t>
            </w:r>
            <w:r w:rsidRPr="00A05698">
              <w:t xml:space="preserve"> : </w:t>
            </w:r>
          </w:p>
          <w:p w:rsidR="00060D92" w:rsidRPr="00A05698" w:rsidRDefault="00060D92" w:rsidP="00A76F4A">
            <w:pPr>
              <w:numPr>
                <w:ilvl w:val="0"/>
                <w:numId w:val="35"/>
              </w:numPr>
              <w:ind w:right="12"/>
              <w:jc w:val="both"/>
            </w:pPr>
            <w:r w:rsidRPr="00A05698">
              <w:t xml:space="preserve">Présentation du Consultant et son équipe, </w:t>
            </w:r>
          </w:p>
          <w:p w:rsidR="00060D92" w:rsidRPr="00A05698" w:rsidRDefault="00060D92" w:rsidP="00A76F4A">
            <w:pPr>
              <w:numPr>
                <w:ilvl w:val="0"/>
                <w:numId w:val="35"/>
              </w:numPr>
              <w:ind w:right="12"/>
              <w:jc w:val="both"/>
            </w:pPr>
            <w:r w:rsidRPr="00A05698">
              <w:t xml:space="preserve">Précision de l’objectif de la mission </w:t>
            </w:r>
          </w:p>
          <w:p w:rsidR="00060D92" w:rsidRPr="00A05698" w:rsidRDefault="00060D92" w:rsidP="00A76F4A">
            <w:pPr>
              <w:numPr>
                <w:ilvl w:val="0"/>
                <w:numId w:val="35"/>
              </w:numPr>
              <w:ind w:right="12"/>
              <w:jc w:val="both"/>
            </w:pPr>
            <w:r w:rsidRPr="00A05698">
              <w:t>Expression des besoins du consultant.</w:t>
            </w:r>
          </w:p>
        </w:tc>
      </w:tr>
      <w:tr w:rsidR="00060D92" w:rsidRPr="00A05698" w:rsidTr="000D6E80">
        <w:trPr>
          <w:trHeight w:val="600"/>
        </w:trPr>
        <w:tc>
          <w:tcPr>
            <w:tcW w:w="5000" w:type="pct"/>
            <w:gridSpan w:val="7"/>
            <w:tcBorders>
              <w:top w:val="single" w:sz="4" w:space="0" w:color="FFFFFF"/>
              <w:left w:val="single" w:sz="4" w:space="0" w:color="FFFFFF"/>
              <w:right w:val="single" w:sz="4" w:space="0" w:color="FFFFFF"/>
            </w:tcBorders>
            <w:shd w:val="clear" w:color="auto" w:fill="auto"/>
            <w:vAlign w:val="center"/>
          </w:tcPr>
          <w:p w:rsidR="00060D92" w:rsidRPr="00A05698" w:rsidRDefault="00060D92" w:rsidP="00A76F4A">
            <w:pPr>
              <w:ind w:right="12"/>
              <w:rPr>
                <w:b/>
              </w:rPr>
            </w:pPr>
            <w:r w:rsidRPr="00A05698">
              <w:t>POINTS DISCUTÉS :</w:t>
            </w:r>
          </w:p>
        </w:tc>
      </w:tr>
      <w:tr w:rsidR="00060D92" w:rsidRPr="00A05698" w:rsidTr="000D6E80">
        <w:trPr>
          <w:trHeight w:val="2786"/>
        </w:trPr>
        <w:tc>
          <w:tcPr>
            <w:tcW w:w="142" w:type="pct"/>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A76F4A">
            <w:pPr>
              <w:ind w:right="12"/>
            </w:pPr>
          </w:p>
        </w:tc>
        <w:tc>
          <w:tcPr>
            <w:tcW w:w="4858" w:type="pct"/>
            <w:gridSpan w:val="6"/>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1857BC">
            <w:pPr>
              <w:numPr>
                <w:ilvl w:val="0"/>
                <w:numId w:val="34"/>
              </w:numPr>
            </w:pPr>
            <w:r w:rsidRPr="00A05698">
              <w:t>La représentante de la FAO est revenue le rôle de la FAO dans le cadre du projet et en précisant l’objectif attendu dans le cadre de la mission et du CGES ;</w:t>
            </w:r>
          </w:p>
          <w:p w:rsidR="00060D92" w:rsidRPr="00A05698" w:rsidRDefault="00060D92" w:rsidP="001857BC">
            <w:pPr>
              <w:numPr>
                <w:ilvl w:val="0"/>
                <w:numId w:val="34"/>
              </w:numPr>
            </w:pPr>
            <w:r w:rsidRPr="00A05698">
              <w:t>Les aspects importants dans le cadre du projet qui faudra prendre en compte dans l’étude comme l’utilisation des pestes et pesticides, la gestion des productions de déchet polluant organique ;</w:t>
            </w:r>
          </w:p>
          <w:p w:rsidR="00060D92" w:rsidRPr="00A05698" w:rsidRDefault="00060D92" w:rsidP="001857BC">
            <w:pPr>
              <w:numPr>
                <w:ilvl w:val="0"/>
                <w:numId w:val="34"/>
              </w:numPr>
            </w:pPr>
            <w:r w:rsidRPr="00A05698">
              <w:t>Le planning de travail du Consultant ;</w:t>
            </w:r>
          </w:p>
          <w:p w:rsidR="00060D92" w:rsidRPr="00A05698" w:rsidRDefault="00060D92" w:rsidP="001857BC">
            <w:pPr>
              <w:numPr>
                <w:ilvl w:val="0"/>
                <w:numId w:val="34"/>
              </w:numPr>
            </w:pPr>
            <w:r w:rsidRPr="00A05698">
              <w:t>L’opérateur est revenu par rapport au calendrier des livrables des rapports ;</w:t>
            </w:r>
          </w:p>
          <w:p w:rsidR="00060D92" w:rsidRPr="00A05698" w:rsidRDefault="00060D92" w:rsidP="001857BC">
            <w:pPr>
              <w:numPr>
                <w:ilvl w:val="0"/>
                <w:numId w:val="34"/>
              </w:numPr>
            </w:pPr>
            <w:r w:rsidRPr="00A05698">
              <w:t>Le Consultant a demandé des précisions par rapport à la localisation, la répartition des différentes activités prévues et les ciblages des bénéficiaires du projet ;</w:t>
            </w:r>
          </w:p>
          <w:p w:rsidR="00060D92" w:rsidRPr="00A05698" w:rsidRDefault="00060D92" w:rsidP="001857BC">
            <w:pPr>
              <w:numPr>
                <w:ilvl w:val="0"/>
                <w:numId w:val="34"/>
              </w:numPr>
            </w:pPr>
            <w:r w:rsidRPr="00A05698">
              <w:t>L’expression des besoins en termes de documentation.</w:t>
            </w:r>
          </w:p>
          <w:p w:rsidR="00060D92" w:rsidRPr="00A05698" w:rsidRDefault="00060D92" w:rsidP="00A76F4A">
            <w:pPr>
              <w:ind w:left="720" w:right="12"/>
            </w:pPr>
          </w:p>
        </w:tc>
      </w:tr>
      <w:tr w:rsidR="00060D92" w:rsidRPr="00A05698" w:rsidTr="00755863">
        <w:trPr>
          <w:trHeight w:val="992"/>
        </w:trPr>
        <w:tc>
          <w:tcPr>
            <w:tcW w:w="142" w:type="pct"/>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A76F4A">
            <w:pPr>
              <w:ind w:right="12"/>
            </w:pPr>
          </w:p>
        </w:tc>
        <w:tc>
          <w:tcPr>
            <w:tcW w:w="4858" w:type="pct"/>
            <w:gridSpan w:val="6"/>
            <w:tcBorders>
              <w:top w:val="single" w:sz="4" w:space="0" w:color="FFFFFF"/>
              <w:left w:val="single" w:sz="4" w:space="0" w:color="FFFFFF"/>
              <w:bottom w:val="single" w:sz="4" w:space="0" w:color="FFFFFF"/>
              <w:right w:val="single" w:sz="4" w:space="0" w:color="FFFFFF"/>
            </w:tcBorders>
            <w:shd w:val="clear" w:color="auto" w:fill="auto"/>
          </w:tcPr>
          <w:p w:rsidR="00060D92" w:rsidRPr="00A05698" w:rsidRDefault="00060D92" w:rsidP="00A76F4A">
            <w:pPr>
              <w:ind w:right="12"/>
            </w:pPr>
            <w:r w:rsidRPr="00A05698">
              <w:t>DECISIONS PRISES :</w:t>
            </w:r>
          </w:p>
          <w:p w:rsidR="00060D92" w:rsidRPr="00A05698" w:rsidRDefault="00060D92" w:rsidP="00A76F4A">
            <w:pPr>
              <w:spacing w:before="120"/>
              <w:ind w:right="12"/>
            </w:pPr>
            <w:r w:rsidRPr="00A05698">
              <w:t>Plusieurs points ont été discutés et arrêtés durant cette séance de travail, à savoir :</w:t>
            </w:r>
          </w:p>
          <w:p w:rsidR="00060D92" w:rsidRPr="00A05698" w:rsidRDefault="00060D92" w:rsidP="00A76F4A">
            <w:pPr>
              <w:numPr>
                <w:ilvl w:val="0"/>
                <w:numId w:val="33"/>
              </w:numPr>
              <w:spacing w:before="120"/>
              <w:ind w:right="12"/>
              <w:jc w:val="both"/>
            </w:pPr>
            <w:r w:rsidRPr="00A05698">
              <w:t>La FAO soumettra au consultant le guide en matière des mesures de sauvegarde de la FAO (Instrument en matière de sauvegarde environnemental et social de la FAO) ;</w:t>
            </w:r>
          </w:p>
          <w:p w:rsidR="00060D92" w:rsidRPr="00A05698" w:rsidRDefault="00060D92" w:rsidP="00A76F4A">
            <w:pPr>
              <w:numPr>
                <w:ilvl w:val="0"/>
                <w:numId w:val="33"/>
              </w:numPr>
              <w:spacing w:before="120"/>
              <w:ind w:right="12"/>
              <w:jc w:val="both"/>
            </w:pPr>
            <w:r w:rsidRPr="00A05698">
              <w:t>Rencontrer ces différents acteurs ci-dessous pour avoir plus de donnée niveau opérationnel du projet :</w:t>
            </w:r>
          </w:p>
          <w:p w:rsidR="00060D92" w:rsidRPr="00A05698" w:rsidRDefault="00060D92" w:rsidP="00A76F4A">
            <w:pPr>
              <w:numPr>
                <w:ilvl w:val="0"/>
                <w:numId w:val="36"/>
              </w:numPr>
              <w:ind w:left="1751" w:right="12"/>
              <w:jc w:val="both"/>
            </w:pPr>
            <w:r w:rsidRPr="00A05698">
              <w:t>Mr ALFA, le coordinateur du projet PUSA en intérim ;</w:t>
            </w:r>
          </w:p>
          <w:p w:rsidR="00060D92" w:rsidRPr="00A05698" w:rsidRDefault="00060D92" w:rsidP="00A76F4A">
            <w:pPr>
              <w:numPr>
                <w:ilvl w:val="0"/>
                <w:numId w:val="36"/>
              </w:numPr>
              <w:ind w:left="1751" w:right="12"/>
              <w:jc w:val="both"/>
            </w:pPr>
            <w:r w:rsidRPr="00A05698">
              <w:t>Mr Gassama au niveau du ministère de l’Agriculture ;</w:t>
            </w:r>
          </w:p>
          <w:p w:rsidR="00060D92" w:rsidRPr="00A05698" w:rsidRDefault="00060D92" w:rsidP="00A76F4A">
            <w:pPr>
              <w:numPr>
                <w:ilvl w:val="0"/>
                <w:numId w:val="36"/>
              </w:numPr>
              <w:ind w:left="1751" w:right="12"/>
              <w:jc w:val="both"/>
            </w:pPr>
            <w:r w:rsidRPr="00A05698">
              <w:t>Mr Julio M. Ndiaye, directeur général de l’Agriculture ;</w:t>
            </w:r>
          </w:p>
          <w:p w:rsidR="00060D92" w:rsidRPr="00A05698" w:rsidRDefault="00060D92" w:rsidP="00A76F4A">
            <w:pPr>
              <w:numPr>
                <w:ilvl w:val="0"/>
                <w:numId w:val="33"/>
              </w:numPr>
              <w:spacing w:before="120"/>
              <w:ind w:right="12"/>
              <w:jc w:val="both"/>
            </w:pPr>
            <w:r w:rsidRPr="00A05698">
              <w:t>La FAO mettra à la disposition du Consultant tous les informations nécessaires pour le bon déroulement des activités de l’étude ;</w:t>
            </w:r>
          </w:p>
        </w:tc>
      </w:tr>
    </w:tbl>
    <w:p w:rsidR="00FF19FC" w:rsidRDefault="00FF19FC" w:rsidP="00A76F4A">
      <w:pPr>
        <w:autoSpaceDE w:val="0"/>
        <w:autoSpaceDN w:val="0"/>
        <w:adjustRightInd w:val="0"/>
        <w:ind w:right="12"/>
        <w:jc w:val="both"/>
      </w:pPr>
    </w:p>
    <w:p w:rsidR="00D76AAC" w:rsidRDefault="00D76AAC" w:rsidP="00A76F4A">
      <w:pPr>
        <w:spacing w:after="160" w:line="259" w:lineRule="auto"/>
        <w:ind w:right="12"/>
        <w:rPr>
          <w:b/>
          <w:bCs/>
          <w:kern w:val="32"/>
          <w:sz w:val="28"/>
          <w:szCs w:val="28"/>
        </w:rPr>
      </w:pPr>
      <w:r>
        <w:rPr>
          <w:sz w:val="28"/>
          <w:szCs w:val="28"/>
        </w:rPr>
        <w:br w:type="page"/>
      </w:r>
    </w:p>
    <w:p w:rsidR="00B81702" w:rsidRPr="00D47C37" w:rsidRDefault="00B81702" w:rsidP="00A76F4A">
      <w:pPr>
        <w:pStyle w:val="Cabealho1"/>
        <w:numPr>
          <w:ilvl w:val="0"/>
          <w:numId w:val="0"/>
        </w:numPr>
        <w:pBdr>
          <w:bottom w:val="thickThinSmallGap" w:sz="24" w:space="1" w:color="auto"/>
        </w:pBdr>
        <w:spacing w:after="120"/>
        <w:ind w:right="12"/>
        <w:rPr>
          <w:rFonts w:ascii="Times New Roman" w:hAnsi="Times New Roman"/>
          <w:sz w:val="24"/>
          <w:szCs w:val="24"/>
        </w:rPr>
      </w:pPr>
      <w:bookmarkStart w:id="649" w:name="_Toc75432394"/>
      <w:r w:rsidRPr="00D47C37">
        <w:rPr>
          <w:rFonts w:ascii="Times New Roman" w:hAnsi="Times New Roman"/>
          <w:sz w:val="24"/>
          <w:szCs w:val="24"/>
        </w:rPr>
        <w:lastRenderedPageBreak/>
        <w:t>ANNEXE 10. MODELE DE TDR POUR LES AEI</w:t>
      </w:r>
      <w:bookmarkEnd w:id="649"/>
    </w:p>
    <w:p w:rsidR="00B81702" w:rsidRPr="00D47C37" w:rsidRDefault="00B81702" w:rsidP="00A76F4A">
      <w:pPr>
        <w:spacing w:after="120"/>
        <w:ind w:right="12"/>
        <w:jc w:val="both"/>
        <w:rPr>
          <w:sz w:val="22"/>
          <w:szCs w:val="22"/>
        </w:rPr>
      </w:pPr>
      <w:bookmarkStart w:id="650" w:name="_Toc504992025"/>
      <w:bookmarkStart w:id="651" w:name="_Toc504995690"/>
      <w:bookmarkStart w:id="652" w:name="_Toc504997390"/>
      <w:bookmarkStart w:id="653" w:name="_Toc504998484"/>
      <w:bookmarkStart w:id="654" w:name="_Toc504998552"/>
      <w:bookmarkStart w:id="655" w:name="_Toc504999509"/>
      <w:bookmarkStart w:id="656" w:name="_Toc504999541"/>
      <w:bookmarkStart w:id="657" w:name="_Toc505000573"/>
      <w:bookmarkStart w:id="658" w:name="_Toc505004220"/>
      <w:bookmarkStart w:id="659" w:name="_Toc504998486"/>
      <w:bookmarkStart w:id="660" w:name="_Toc504998554"/>
      <w:bookmarkStart w:id="661" w:name="_Toc504999511"/>
      <w:bookmarkStart w:id="662" w:name="_Toc504999543"/>
      <w:bookmarkStart w:id="663" w:name="_Toc505000575"/>
      <w:bookmarkStart w:id="664" w:name="_Toc505004222"/>
      <w:bookmarkStart w:id="665" w:name="_Toc504998488"/>
      <w:bookmarkStart w:id="666" w:name="_Toc504998556"/>
      <w:bookmarkStart w:id="667" w:name="_Toc504999513"/>
      <w:bookmarkStart w:id="668" w:name="_Toc504999545"/>
      <w:bookmarkStart w:id="669" w:name="_Toc505000577"/>
      <w:bookmarkStart w:id="670" w:name="_Toc505004224"/>
      <w:bookmarkStart w:id="671" w:name="_Toc504992030"/>
      <w:bookmarkStart w:id="672" w:name="_Toc504995695"/>
      <w:bookmarkStart w:id="673" w:name="_Toc504997395"/>
      <w:bookmarkStart w:id="674" w:name="_Toc504998491"/>
      <w:bookmarkStart w:id="675" w:name="_Toc504998559"/>
      <w:bookmarkStart w:id="676" w:name="_Toc504999516"/>
      <w:bookmarkStart w:id="677" w:name="_Toc504999548"/>
      <w:bookmarkStart w:id="678" w:name="_Toc505000580"/>
      <w:bookmarkStart w:id="679" w:name="_Toc505004227"/>
      <w:bookmarkStart w:id="680" w:name="_Toc504995697"/>
      <w:bookmarkStart w:id="681" w:name="_Toc504997397"/>
      <w:bookmarkStart w:id="682" w:name="_Toc504998493"/>
      <w:bookmarkStart w:id="683" w:name="_Toc504998561"/>
      <w:bookmarkStart w:id="684" w:name="_Toc504999518"/>
      <w:bookmarkStart w:id="685" w:name="_Toc504999550"/>
      <w:bookmarkStart w:id="686" w:name="_Toc505000582"/>
      <w:bookmarkStart w:id="687" w:name="_Toc505004229"/>
      <w:bookmarkStart w:id="688" w:name="_Toc504995699"/>
      <w:bookmarkStart w:id="689" w:name="_Toc504997399"/>
      <w:bookmarkStart w:id="690" w:name="_Toc504998495"/>
      <w:bookmarkStart w:id="691" w:name="_Toc504998563"/>
      <w:bookmarkStart w:id="692" w:name="_Toc504999520"/>
      <w:bookmarkStart w:id="693" w:name="_Toc504999552"/>
      <w:bookmarkStart w:id="694" w:name="_Toc505000584"/>
      <w:bookmarkStart w:id="695" w:name="_Toc505004231"/>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D47C37">
        <w:rPr>
          <w:sz w:val="22"/>
          <w:szCs w:val="22"/>
        </w:rPr>
        <w:t>L’objectif de l’étude AEI consiste à mettre à la disposition du client et de l’entreprise de travaux un outil de gestion environnementale et sociale. Pour ce faire, les objectifs secondaires sont les suivants :</w:t>
      </w:r>
    </w:p>
    <w:p w:rsidR="00B81702" w:rsidRPr="00D47C37" w:rsidRDefault="00B81702" w:rsidP="00A76F4A">
      <w:pPr>
        <w:pStyle w:val="PargrafodaLista"/>
        <w:numPr>
          <w:ilvl w:val="0"/>
          <w:numId w:val="258"/>
        </w:numPr>
        <w:spacing w:after="0" w:line="240" w:lineRule="auto"/>
        <w:ind w:right="12"/>
        <w:jc w:val="both"/>
        <w:rPr>
          <w:rFonts w:ascii="Times New Roman" w:hAnsi="Times New Roman"/>
          <w:sz w:val="22"/>
          <w:szCs w:val="22"/>
        </w:rPr>
      </w:pPr>
      <w:r w:rsidRPr="00D47C37">
        <w:rPr>
          <w:rFonts w:ascii="Times New Roman" w:hAnsi="Times New Roman"/>
          <w:sz w:val="22"/>
          <w:szCs w:val="22"/>
        </w:rPr>
        <w:t>Identifier et évaluer les impacts environnementaux et sociaux prévisibles (positifs et négatifs) du projet proposé ;</w:t>
      </w:r>
    </w:p>
    <w:p w:rsidR="00B81702" w:rsidRPr="00D47C37" w:rsidRDefault="00B81702" w:rsidP="00A76F4A">
      <w:pPr>
        <w:pStyle w:val="PargrafodaLista"/>
        <w:numPr>
          <w:ilvl w:val="0"/>
          <w:numId w:val="258"/>
        </w:numPr>
        <w:spacing w:after="0" w:line="240" w:lineRule="auto"/>
        <w:ind w:right="12"/>
        <w:jc w:val="both"/>
        <w:rPr>
          <w:rFonts w:ascii="Times New Roman" w:hAnsi="Times New Roman"/>
          <w:sz w:val="22"/>
          <w:szCs w:val="22"/>
        </w:rPr>
      </w:pPr>
      <w:r w:rsidRPr="00D47C37">
        <w:rPr>
          <w:rFonts w:ascii="Times New Roman" w:hAnsi="Times New Roman"/>
          <w:sz w:val="22"/>
          <w:szCs w:val="22"/>
        </w:rPr>
        <w:t>Proposer des mesures d'atténuation aux impacts efficaces et à des coûts acceptables et des mesures de bonification des impacts positifs à mettre en œuvre pendant et après la mise en œuvre du projet proposé ;</w:t>
      </w:r>
    </w:p>
    <w:p w:rsidR="00B81702" w:rsidRPr="00D47C37" w:rsidRDefault="00B81702" w:rsidP="00A76F4A">
      <w:pPr>
        <w:pStyle w:val="PargrafodaLista"/>
        <w:numPr>
          <w:ilvl w:val="0"/>
          <w:numId w:val="258"/>
        </w:numPr>
        <w:spacing w:after="0" w:line="240" w:lineRule="auto"/>
        <w:ind w:right="12"/>
        <w:jc w:val="both"/>
        <w:rPr>
          <w:rFonts w:ascii="Times New Roman" w:hAnsi="Times New Roman"/>
          <w:sz w:val="22"/>
          <w:szCs w:val="22"/>
        </w:rPr>
      </w:pPr>
      <w:r w:rsidRPr="00D47C37">
        <w:rPr>
          <w:rFonts w:ascii="Times New Roman" w:hAnsi="Times New Roman"/>
          <w:sz w:val="22"/>
          <w:szCs w:val="22"/>
        </w:rPr>
        <w:t>Vérifier la conformité avec la législation nationale et les politiques de sauvegarde de la banque mondiale (selon le Cadre de gestion environnementale et sociale) ;</w:t>
      </w:r>
    </w:p>
    <w:p w:rsidR="00B81702" w:rsidRPr="00D47C37" w:rsidRDefault="00B81702" w:rsidP="00A76F4A">
      <w:pPr>
        <w:pStyle w:val="PargrafodaLista"/>
        <w:numPr>
          <w:ilvl w:val="0"/>
          <w:numId w:val="258"/>
        </w:numPr>
        <w:spacing w:after="0" w:line="240" w:lineRule="auto"/>
        <w:ind w:right="12"/>
        <w:jc w:val="both"/>
        <w:rPr>
          <w:rFonts w:ascii="Times New Roman" w:hAnsi="Times New Roman"/>
          <w:sz w:val="22"/>
          <w:szCs w:val="22"/>
        </w:rPr>
      </w:pPr>
      <w:r w:rsidRPr="00D47C37">
        <w:rPr>
          <w:rFonts w:ascii="Times New Roman" w:hAnsi="Times New Roman"/>
          <w:sz w:val="22"/>
          <w:szCs w:val="22"/>
        </w:rPr>
        <w:t xml:space="preserve">Préparer des données de référence pour le suivi et l'évaluation. </w:t>
      </w:r>
    </w:p>
    <w:p w:rsidR="00B81702" w:rsidRPr="001D3F35" w:rsidRDefault="00B81702" w:rsidP="00A76F4A">
      <w:pPr>
        <w:ind w:right="12"/>
        <w:rPr>
          <w:sz w:val="20"/>
          <w:szCs w:val="20"/>
        </w:rPr>
      </w:pPr>
      <w:bookmarkStart w:id="696" w:name="_Toc504995702"/>
      <w:bookmarkStart w:id="697" w:name="_Toc504997402"/>
      <w:bookmarkStart w:id="698" w:name="_Toc504998498"/>
      <w:bookmarkStart w:id="699" w:name="_Toc504998566"/>
      <w:bookmarkStart w:id="700" w:name="_Toc504999523"/>
      <w:bookmarkStart w:id="701" w:name="_Toc504999555"/>
      <w:bookmarkStart w:id="702" w:name="_Toc505000587"/>
      <w:bookmarkStart w:id="703" w:name="_Toc505004234"/>
      <w:bookmarkStart w:id="704" w:name="_Toc504998500"/>
      <w:bookmarkStart w:id="705" w:name="_Toc504998568"/>
      <w:bookmarkStart w:id="706" w:name="_Toc504999525"/>
      <w:bookmarkStart w:id="707" w:name="_Toc504999557"/>
      <w:bookmarkStart w:id="708" w:name="_Toc505000589"/>
      <w:bookmarkStart w:id="709" w:name="_Toc505004236"/>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rsidR="00B81702" w:rsidRPr="00D47C37" w:rsidRDefault="00B81702" w:rsidP="00A76F4A">
      <w:pPr>
        <w:pStyle w:val="PargrafodaLista"/>
        <w:spacing w:after="240"/>
        <w:ind w:left="0" w:right="12"/>
        <w:jc w:val="both"/>
        <w:outlineLvl w:val="0"/>
        <w:rPr>
          <w:rFonts w:ascii="Times New Roman" w:hAnsi="Times New Roman"/>
          <w:b/>
          <w:u w:val="single"/>
        </w:rPr>
      </w:pPr>
      <w:bookmarkStart w:id="710" w:name="_Toc16111291"/>
      <w:bookmarkStart w:id="711" w:name="_Toc75432395"/>
      <w:r w:rsidRPr="00D47C37">
        <w:rPr>
          <w:rFonts w:ascii="Times New Roman" w:hAnsi="Times New Roman"/>
          <w:b/>
          <w:u w:val="single"/>
        </w:rPr>
        <w:t>TÂCHES PRINCIPALES ET APPROCHE MÉTHODOLOGIQUE DANS LA PRÉPARATION DE</w:t>
      </w:r>
      <w:bookmarkEnd w:id="710"/>
      <w:r w:rsidRPr="00D47C37">
        <w:rPr>
          <w:rFonts w:ascii="Times New Roman" w:hAnsi="Times New Roman"/>
          <w:b/>
          <w:u w:val="single"/>
        </w:rPr>
        <w:t xml:space="preserve"> l’AEI</w:t>
      </w:r>
      <w:bookmarkEnd w:id="711"/>
    </w:p>
    <w:p w:rsidR="00B81702" w:rsidRPr="00D47C37" w:rsidRDefault="00721441" w:rsidP="00A76F4A">
      <w:pPr>
        <w:ind w:right="12"/>
        <w:jc w:val="both"/>
        <w:rPr>
          <w:sz w:val="22"/>
          <w:szCs w:val="22"/>
        </w:rPr>
      </w:pPr>
      <w:bookmarkStart w:id="712" w:name="_Toc504998503"/>
      <w:bookmarkStart w:id="713" w:name="_Toc504998571"/>
      <w:bookmarkStart w:id="714" w:name="_Toc504999528"/>
      <w:bookmarkStart w:id="715" w:name="_Toc504999560"/>
      <w:bookmarkStart w:id="716" w:name="_Toc505000592"/>
      <w:bookmarkStart w:id="717" w:name="_Toc505004239"/>
      <w:bookmarkStart w:id="718" w:name="_Toc504998504"/>
      <w:bookmarkStart w:id="719" w:name="_Toc504998572"/>
      <w:bookmarkStart w:id="720" w:name="_Toc504999529"/>
      <w:bookmarkStart w:id="721" w:name="_Toc504999561"/>
      <w:bookmarkStart w:id="722" w:name="_Toc505000593"/>
      <w:bookmarkStart w:id="723" w:name="_Toc505004240"/>
      <w:bookmarkEnd w:id="712"/>
      <w:bookmarkEnd w:id="713"/>
      <w:bookmarkEnd w:id="714"/>
      <w:bookmarkEnd w:id="715"/>
      <w:bookmarkEnd w:id="716"/>
      <w:bookmarkEnd w:id="717"/>
      <w:bookmarkEnd w:id="718"/>
      <w:bookmarkEnd w:id="719"/>
      <w:bookmarkEnd w:id="720"/>
      <w:bookmarkEnd w:id="721"/>
      <w:bookmarkEnd w:id="722"/>
      <w:bookmarkEnd w:id="723"/>
      <w:r w:rsidRPr="00D47C37">
        <w:rPr>
          <w:sz w:val="22"/>
          <w:szCs w:val="22"/>
        </w:rPr>
        <w:t xml:space="preserve">Les </w:t>
      </w:r>
      <w:r w:rsidR="00B81702" w:rsidRPr="00D47C37">
        <w:rPr>
          <w:sz w:val="22"/>
          <w:szCs w:val="22"/>
        </w:rPr>
        <w:t>tâches principales que le consultant suivra pour la réalisation de l’AEI</w:t>
      </w:r>
      <w:r w:rsidR="002A7542">
        <w:rPr>
          <w:sz w:val="22"/>
          <w:szCs w:val="22"/>
        </w:rPr>
        <w:t xml:space="preserve"> sont les suivantes</w:t>
      </w:r>
      <w:r w:rsidR="00B81702" w:rsidRPr="00D47C37">
        <w:rPr>
          <w:sz w:val="22"/>
          <w:szCs w:val="22"/>
        </w:rPr>
        <w:t> :</w:t>
      </w:r>
    </w:p>
    <w:p w:rsidR="00B81702" w:rsidRPr="00D47C37" w:rsidRDefault="00721441" w:rsidP="00C36BCC">
      <w:pPr>
        <w:pStyle w:val="PargrafodaLista"/>
        <w:numPr>
          <w:ilvl w:val="0"/>
          <w:numId w:val="276"/>
        </w:numPr>
        <w:spacing w:before="120" w:after="0"/>
        <w:ind w:left="567" w:right="12"/>
        <w:jc w:val="both"/>
        <w:rPr>
          <w:b/>
          <w:sz w:val="22"/>
          <w:szCs w:val="22"/>
        </w:rPr>
      </w:pPr>
      <w:r w:rsidRPr="00D47C37">
        <w:rPr>
          <w:rFonts w:ascii="Times New Roman" w:hAnsi="Times New Roman"/>
          <w:b/>
          <w:sz w:val="22"/>
          <w:szCs w:val="22"/>
        </w:rPr>
        <w:t>Cadrage</w:t>
      </w:r>
    </w:p>
    <w:p w:rsidR="00721441" w:rsidRPr="00D47C37" w:rsidRDefault="00721441" w:rsidP="00A76F4A">
      <w:pPr>
        <w:ind w:right="12"/>
        <w:jc w:val="both"/>
        <w:rPr>
          <w:sz w:val="22"/>
          <w:szCs w:val="22"/>
        </w:rPr>
      </w:pPr>
      <w:r w:rsidRPr="00D47C37">
        <w:rPr>
          <w:sz w:val="22"/>
          <w:szCs w:val="22"/>
        </w:rPr>
        <w:t>La phase de cadrage a pour but de s’assurer que le processus d’AEI cible effectivement tous les risques et les impacts environnementaux et sociaux significatifs potentiellement associés á la mise en œuvre du Projet. Le cadrage de l’étude consiste en l’examen des exigences juridiques, administratives et techniques relatives aux questions d’intégration environnementale du projet. Cette phase préliminaire considérera aussi bien les exigences locales que celles demandées par les partenaires financiers.</w:t>
      </w:r>
      <w:r w:rsidR="0047550F">
        <w:rPr>
          <w:sz w:val="22"/>
          <w:szCs w:val="22"/>
        </w:rPr>
        <w:t xml:space="preserve"> </w:t>
      </w:r>
      <w:r w:rsidRPr="00D47C37">
        <w:rPr>
          <w:sz w:val="22"/>
          <w:szCs w:val="22"/>
        </w:rPr>
        <w:t>Cette phase implique une prise en compte systématique des champs d’interaction possible entre le Projet et le milieu naturel et humain, afin d’identifier quelles interactions sont susceptibles de générer des risques et les impacts significatifs.</w:t>
      </w:r>
      <w:r w:rsidR="0047550F">
        <w:rPr>
          <w:sz w:val="22"/>
          <w:szCs w:val="22"/>
        </w:rPr>
        <w:t xml:space="preserve"> </w:t>
      </w:r>
      <w:r w:rsidRPr="00D47C37">
        <w:rPr>
          <w:sz w:val="22"/>
          <w:szCs w:val="22"/>
        </w:rPr>
        <w:t>Les résultats de la phase de cadrage sont présentés et les améliorations dans ces TdR préliminaires avant de leurs soumettre à l’approbation du gouvernement. Ils serviront de base à la planification de la suite des études d’AEI.</w:t>
      </w:r>
    </w:p>
    <w:p w:rsidR="00721441" w:rsidRPr="00D47C37" w:rsidRDefault="00721441" w:rsidP="00A76F4A">
      <w:pPr>
        <w:ind w:right="12"/>
        <w:jc w:val="both"/>
        <w:rPr>
          <w:sz w:val="22"/>
          <w:szCs w:val="22"/>
        </w:rPr>
      </w:pPr>
      <w:r w:rsidRPr="00D47C37">
        <w:rPr>
          <w:sz w:val="22"/>
          <w:szCs w:val="22"/>
        </w:rPr>
        <w:t>Le cadre de ces études sera revu et mis à jour en continu, à mesure que de nouvelles données ressortiront des études des sensibilités environnementales et sociales à l’état initial, et tout au long de l’</w:t>
      </w:r>
      <w:r w:rsidR="004A5A6F">
        <w:rPr>
          <w:sz w:val="22"/>
          <w:szCs w:val="22"/>
        </w:rPr>
        <w:t>AEIS</w:t>
      </w:r>
      <w:r w:rsidRPr="00D47C37">
        <w:rPr>
          <w:sz w:val="22"/>
          <w:szCs w:val="22"/>
        </w:rPr>
        <w:t>. Cette dernière tiendra également compte des résultats des consultations publics relatives au Projet.</w:t>
      </w:r>
    </w:p>
    <w:p w:rsidR="00721441" w:rsidRPr="00D47C37" w:rsidRDefault="00721441" w:rsidP="00C36BCC">
      <w:pPr>
        <w:pStyle w:val="PargrafodaLista"/>
        <w:numPr>
          <w:ilvl w:val="0"/>
          <w:numId w:val="276"/>
        </w:numPr>
        <w:spacing w:before="120"/>
        <w:ind w:left="567" w:right="12"/>
        <w:jc w:val="both"/>
        <w:rPr>
          <w:rFonts w:ascii="Times New Roman" w:hAnsi="Times New Roman"/>
          <w:b/>
          <w:sz w:val="22"/>
          <w:szCs w:val="22"/>
          <w:u w:val="single"/>
        </w:rPr>
      </w:pPr>
      <w:r w:rsidRPr="00D47C37">
        <w:rPr>
          <w:rFonts w:ascii="Times New Roman" w:hAnsi="Times New Roman"/>
          <w:b/>
          <w:sz w:val="22"/>
          <w:szCs w:val="22"/>
        </w:rPr>
        <w:t>Description du projet</w:t>
      </w:r>
    </w:p>
    <w:p w:rsidR="00721441" w:rsidRPr="00D47C37" w:rsidRDefault="00721441" w:rsidP="00A76F4A">
      <w:pPr>
        <w:ind w:right="12"/>
        <w:jc w:val="both"/>
        <w:rPr>
          <w:sz w:val="22"/>
          <w:szCs w:val="22"/>
        </w:rPr>
      </w:pPr>
      <w:r w:rsidRPr="00D47C37">
        <w:rPr>
          <w:sz w:val="22"/>
          <w:szCs w:val="22"/>
        </w:rPr>
        <w:t>Dans un premier temps le Consultant présentera une justification économique, sociale et/ou technique du projet ; il</w:t>
      </w:r>
      <w:r w:rsidR="004A5A6F">
        <w:rPr>
          <w:sz w:val="22"/>
          <w:szCs w:val="22"/>
        </w:rPr>
        <w:t>/</w:t>
      </w:r>
      <w:r w:rsidR="00EF4526">
        <w:rPr>
          <w:sz w:val="22"/>
          <w:szCs w:val="22"/>
        </w:rPr>
        <w:t>elle</w:t>
      </w:r>
      <w:r w:rsidRPr="00D47C37">
        <w:rPr>
          <w:sz w:val="22"/>
          <w:szCs w:val="22"/>
        </w:rPr>
        <w:t xml:space="preserve"> abordera par la suite la description de toutes les composantes du projet</w:t>
      </w:r>
      <w:r w:rsidR="00EF4526">
        <w:rPr>
          <w:sz w:val="22"/>
          <w:szCs w:val="22"/>
        </w:rPr>
        <w:t> </w:t>
      </w:r>
      <w:r w:rsidRPr="00D47C37">
        <w:rPr>
          <w:sz w:val="22"/>
          <w:szCs w:val="22"/>
        </w:rPr>
        <w:t>: ses spécificités techniques, les matériaux, les zones d’emprunts et carrières, l’utilisation des ressources naturelles (eau, sables, etc.), les besoins en énergie, le calendrier d’exécution, la main d’œuvre.</w:t>
      </w:r>
    </w:p>
    <w:p w:rsidR="00721441" w:rsidRPr="00D47C37" w:rsidRDefault="00721441" w:rsidP="00C36BCC">
      <w:pPr>
        <w:pStyle w:val="PargrafodaLista"/>
        <w:numPr>
          <w:ilvl w:val="0"/>
          <w:numId w:val="276"/>
        </w:numPr>
        <w:spacing w:before="120"/>
        <w:ind w:left="567" w:right="12"/>
        <w:jc w:val="both"/>
        <w:rPr>
          <w:rFonts w:ascii="Times New Roman" w:hAnsi="Times New Roman"/>
          <w:b/>
          <w:sz w:val="22"/>
          <w:szCs w:val="22"/>
          <w:u w:val="single"/>
        </w:rPr>
      </w:pPr>
      <w:r w:rsidRPr="00D47C37">
        <w:rPr>
          <w:rFonts w:ascii="Times New Roman" w:hAnsi="Times New Roman"/>
          <w:b/>
          <w:bCs/>
          <w:sz w:val="22"/>
          <w:szCs w:val="22"/>
        </w:rPr>
        <w:t>Définition de l’état initial environnemental et social du Projet</w:t>
      </w:r>
    </w:p>
    <w:p w:rsidR="00721441" w:rsidRDefault="00721441" w:rsidP="00A76F4A">
      <w:pPr>
        <w:ind w:right="12"/>
        <w:jc w:val="both"/>
        <w:rPr>
          <w:sz w:val="22"/>
          <w:szCs w:val="22"/>
        </w:rPr>
      </w:pPr>
      <w:r w:rsidRPr="00D47C37">
        <w:rPr>
          <w:sz w:val="22"/>
          <w:szCs w:val="22"/>
        </w:rPr>
        <w:t>Le</w:t>
      </w:r>
      <w:r w:rsidR="00EF4526">
        <w:rPr>
          <w:sz w:val="22"/>
          <w:szCs w:val="22"/>
        </w:rPr>
        <w:t>/la</w:t>
      </w:r>
      <w:r w:rsidRPr="00D47C37">
        <w:rPr>
          <w:sz w:val="22"/>
          <w:szCs w:val="22"/>
        </w:rPr>
        <w:t xml:space="preserve"> Consultant</w:t>
      </w:r>
      <w:r w:rsidR="00EF4526">
        <w:rPr>
          <w:sz w:val="22"/>
          <w:szCs w:val="22"/>
        </w:rPr>
        <w:t>(e)</w:t>
      </w:r>
      <w:r w:rsidRPr="00D47C37">
        <w:rPr>
          <w:sz w:val="22"/>
          <w:szCs w:val="22"/>
        </w:rPr>
        <w:t xml:space="preserve"> entreprendra la description et l’étude du milieu d’implantation; la notion de milieu est ici entendu dans son sens le plus large et concernera notamment le milieu biophysique mais également l’environnement socioéconomique et culturel ; en particulier elle impliquera les infrastructures et équipements collectifs, les équipements économiques, les villages et les modes de production, les sites remarquables, les zones boisés, les rites et pratiques culturelles, les usages des infrastructures, etc.</w:t>
      </w:r>
    </w:p>
    <w:p w:rsidR="00C06D4E" w:rsidRPr="00D47C37" w:rsidRDefault="00C06D4E" w:rsidP="00A76F4A">
      <w:pPr>
        <w:ind w:right="12"/>
        <w:jc w:val="both"/>
        <w:rPr>
          <w:sz w:val="22"/>
          <w:szCs w:val="22"/>
        </w:rPr>
      </w:pPr>
    </w:p>
    <w:p w:rsidR="006D3059" w:rsidRDefault="00C06D4E" w:rsidP="00A76F4A">
      <w:pPr>
        <w:ind w:right="12"/>
        <w:jc w:val="both"/>
        <w:rPr>
          <w:sz w:val="22"/>
          <w:szCs w:val="22"/>
        </w:rPr>
      </w:pPr>
      <w:r w:rsidRPr="00176649">
        <w:rPr>
          <w:sz w:val="22"/>
          <w:szCs w:val="22"/>
        </w:rPr>
        <w:t>Le</w:t>
      </w:r>
      <w:r>
        <w:rPr>
          <w:sz w:val="22"/>
          <w:szCs w:val="22"/>
        </w:rPr>
        <w:t>/la</w:t>
      </w:r>
      <w:r w:rsidRPr="00176649">
        <w:rPr>
          <w:sz w:val="22"/>
          <w:szCs w:val="22"/>
        </w:rPr>
        <w:t xml:space="preserve"> Consultant</w:t>
      </w:r>
      <w:r>
        <w:rPr>
          <w:sz w:val="22"/>
          <w:szCs w:val="22"/>
        </w:rPr>
        <w:t>(e)</w:t>
      </w:r>
      <w:r w:rsidRPr="00176649">
        <w:rPr>
          <w:sz w:val="22"/>
          <w:szCs w:val="22"/>
        </w:rPr>
        <w:t xml:space="preserve"> </w:t>
      </w:r>
      <w:r w:rsidR="00721441" w:rsidRPr="00D47C37">
        <w:rPr>
          <w:sz w:val="22"/>
          <w:szCs w:val="22"/>
        </w:rPr>
        <w:t xml:space="preserve">identifiera en outre les enjeux environnementaux et sociaux des milieux étudiés. C’est-à-dire pour les principales problématiques identifiées au cours de la phase de cadrage, le contexte environnemental et social existant sera étudié. L’accent sera mis sur les sensibilités environnementales et sociales potentiellement concernées dans la zone d’influence du Projet. Des études de terrain seront menées. </w:t>
      </w:r>
    </w:p>
    <w:p w:rsidR="00721441" w:rsidRPr="00D47C37" w:rsidRDefault="006D3059" w:rsidP="00A76F4A">
      <w:pPr>
        <w:spacing w:after="160" w:line="259" w:lineRule="auto"/>
        <w:ind w:right="12"/>
        <w:rPr>
          <w:sz w:val="22"/>
          <w:szCs w:val="22"/>
        </w:rPr>
      </w:pPr>
      <w:r>
        <w:rPr>
          <w:sz w:val="22"/>
          <w:szCs w:val="22"/>
        </w:rPr>
        <w:br w:type="page"/>
      </w:r>
      <w:r w:rsidR="00721441" w:rsidRPr="00D47C37">
        <w:rPr>
          <w:sz w:val="22"/>
          <w:szCs w:val="22"/>
        </w:rPr>
        <w:lastRenderedPageBreak/>
        <w:t>Les aspects environnementaux et sociaux à prendre en compte sont énumérés ci-dessous :</w:t>
      </w:r>
    </w:p>
    <w:p w:rsidR="00721441" w:rsidRPr="001D0CEB" w:rsidRDefault="00721441" w:rsidP="00A76F4A">
      <w:pPr>
        <w:pStyle w:val="PargrafodaLista"/>
        <w:numPr>
          <w:ilvl w:val="0"/>
          <w:numId w:val="262"/>
        </w:numPr>
        <w:autoSpaceDE w:val="0"/>
        <w:autoSpaceDN w:val="0"/>
        <w:adjustRightInd w:val="0"/>
        <w:spacing w:after="0" w:line="240" w:lineRule="auto"/>
        <w:ind w:left="360" w:right="12"/>
        <w:jc w:val="both"/>
        <w:rPr>
          <w:rFonts w:ascii="Times New Roman" w:hAnsi="Times New Roman"/>
          <w:lang w:eastAsia="en-US"/>
        </w:rPr>
      </w:pPr>
      <w:r w:rsidRPr="001D0CEB">
        <w:rPr>
          <w:rFonts w:ascii="Times New Roman" w:hAnsi="Times New Roman"/>
          <w:lang w:eastAsia="en-US"/>
        </w:rPr>
        <w:t>Milieu physique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Géologie et sols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Terrains et topographie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Hydrologie et hydrogéologie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Microclimat et climat mondial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Eaux superficielles (océan et eaux continentales) et eaux souterraines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Qualité de l’air ; et</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Bruit, vibrations, lumière.</w:t>
      </w:r>
    </w:p>
    <w:p w:rsidR="00721441" w:rsidRPr="001D0CEB" w:rsidRDefault="00721441" w:rsidP="00A76F4A">
      <w:pPr>
        <w:pStyle w:val="PargrafodaLista"/>
        <w:numPr>
          <w:ilvl w:val="0"/>
          <w:numId w:val="262"/>
        </w:numPr>
        <w:autoSpaceDE w:val="0"/>
        <w:autoSpaceDN w:val="0"/>
        <w:adjustRightInd w:val="0"/>
        <w:spacing w:after="0" w:line="240" w:lineRule="auto"/>
        <w:ind w:left="360" w:right="12"/>
        <w:jc w:val="both"/>
        <w:rPr>
          <w:rFonts w:ascii="Times New Roman" w:hAnsi="Times New Roman"/>
          <w:lang w:eastAsia="en-US"/>
        </w:rPr>
      </w:pPr>
      <w:r w:rsidRPr="001D0CEB">
        <w:rPr>
          <w:rFonts w:ascii="Times New Roman" w:hAnsi="Times New Roman"/>
          <w:lang w:eastAsia="en-US"/>
        </w:rPr>
        <w:t>Milieu biologique ou naturel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Habitats et écosystèmes aquatiques et terrestres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Faune, flore et biodiversité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Aires réservées, sacrées et protégées ; et</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Services rendus par les écosystèmes.</w:t>
      </w:r>
    </w:p>
    <w:p w:rsidR="00721441" w:rsidRPr="001D0CEB" w:rsidRDefault="00721441" w:rsidP="00A76F4A">
      <w:pPr>
        <w:pStyle w:val="PargrafodaLista"/>
        <w:numPr>
          <w:ilvl w:val="0"/>
          <w:numId w:val="262"/>
        </w:numPr>
        <w:autoSpaceDE w:val="0"/>
        <w:autoSpaceDN w:val="0"/>
        <w:adjustRightInd w:val="0"/>
        <w:spacing w:after="0" w:line="240" w:lineRule="auto"/>
        <w:ind w:left="360" w:right="12"/>
        <w:jc w:val="both"/>
        <w:rPr>
          <w:rFonts w:ascii="Times New Roman" w:hAnsi="Times New Roman"/>
          <w:lang w:eastAsia="en-US"/>
        </w:rPr>
      </w:pPr>
      <w:r w:rsidRPr="001D0CEB">
        <w:rPr>
          <w:rFonts w:ascii="Times New Roman" w:hAnsi="Times New Roman"/>
          <w:lang w:eastAsia="en-US"/>
        </w:rPr>
        <w:t>Milieu culturel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Patrimoine culturel matériel et immatériel, et sites d’intérêt archéologique, historique, traditionnel, culturel et esthétique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Traditions, pratiques et fêtes culturelles ; et</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Paysage et sites remarquables sur le plan esthétique.</w:t>
      </w:r>
    </w:p>
    <w:p w:rsidR="00721441" w:rsidRPr="001D0CEB" w:rsidRDefault="00721441" w:rsidP="00A76F4A">
      <w:pPr>
        <w:pStyle w:val="PargrafodaLista"/>
        <w:numPr>
          <w:ilvl w:val="0"/>
          <w:numId w:val="262"/>
        </w:numPr>
        <w:autoSpaceDE w:val="0"/>
        <w:autoSpaceDN w:val="0"/>
        <w:adjustRightInd w:val="0"/>
        <w:spacing w:after="0" w:line="240" w:lineRule="auto"/>
        <w:ind w:left="360" w:right="12"/>
        <w:jc w:val="both"/>
        <w:rPr>
          <w:rFonts w:ascii="Times New Roman" w:hAnsi="Times New Roman"/>
          <w:lang w:eastAsia="en-US"/>
        </w:rPr>
      </w:pPr>
      <w:r w:rsidRPr="001D0CEB">
        <w:rPr>
          <w:rFonts w:ascii="Times New Roman" w:hAnsi="Times New Roman"/>
          <w:lang w:eastAsia="en-US"/>
        </w:rPr>
        <w:t>Milieu social et socioéconomique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Populations et leurs habitations, terrains, autres ressources et biens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Caractéristiques et structures des communautés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Population et démographie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Santé, bien-être, sécurité et sûreté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Modes de vie incluant les moyens de subsistance, emploi et revenus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Activités économiques dont l’industrie et le commerce, le tourisme, la pêche, l’agriculture et l’exploitation forestière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Installations communautaires telles que les écoles, hôpitaux et centres de loisirs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Utilités et infrastructures (électricité, eau, assainissement, gestion des déchets, transport) ;</w:t>
      </w:r>
    </w:p>
    <w:p w:rsidR="00721441" w:rsidRPr="001D0CEB" w:rsidRDefault="00721441" w:rsidP="00A76F4A">
      <w:pPr>
        <w:pStyle w:val="PargrafodaLista"/>
        <w:numPr>
          <w:ilvl w:val="0"/>
          <w:numId w:val="263"/>
        </w:numPr>
        <w:autoSpaceDE w:val="0"/>
        <w:autoSpaceDN w:val="0"/>
        <w:adjustRightInd w:val="0"/>
        <w:spacing w:after="0" w:line="240" w:lineRule="auto"/>
        <w:ind w:left="1080" w:right="12"/>
        <w:jc w:val="both"/>
        <w:rPr>
          <w:rFonts w:ascii="Times New Roman" w:hAnsi="Times New Roman"/>
          <w:lang w:eastAsia="en-US"/>
        </w:rPr>
      </w:pPr>
      <w:r w:rsidRPr="001D0CEB">
        <w:rPr>
          <w:rFonts w:ascii="Times New Roman" w:hAnsi="Times New Roman"/>
          <w:lang w:eastAsia="en-US"/>
        </w:rPr>
        <w:t>Services sociaux tels que les soins médicaux, l’éducation et l’accès aux biens ; et</w:t>
      </w:r>
    </w:p>
    <w:p w:rsidR="00721441" w:rsidRPr="001D0CEB" w:rsidRDefault="00721441" w:rsidP="00A76F4A">
      <w:pPr>
        <w:pStyle w:val="Default"/>
        <w:numPr>
          <w:ilvl w:val="0"/>
          <w:numId w:val="263"/>
        </w:numPr>
        <w:ind w:left="1080" w:right="12"/>
        <w:jc w:val="both"/>
        <w:rPr>
          <w:rFonts w:ascii="Times New Roman" w:hAnsi="Times New Roman" w:cs="Times New Roman"/>
          <w:b/>
          <w:bCs/>
          <w:sz w:val="20"/>
          <w:szCs w:val="20"/>
        </w:rPr>
      </w:pPr>
      <w:r w:rsidRPr="001D0CEB">
        <w:rPr>
          <w:rFonts w:ascii="Times New Roman" w:hAnsi="Times New Roman" w:cs="Times New Roman"/>
          <w:sz w:val="20"/>
          <w:szCs w:val="20"/>
        </w:rPr>
        <w:t>Economies locale, régionale et nationale.</w:t>
      </w:r>
    </w:p>
    <w:p w:rsidR="00721441" w:rsidRPr="00D47C37" w:rsidRDefault="00721441" w:rsidP="00A76F4A">
      <w:pPr>
        <w:pStyle w:val="Default"/>
        <w:ind w:right="12"/>
        <w:jc w:val="both"/>
        <w:rPr>
          <w:rFonts w:ascii="Times New Roman" w:hAnsi="Times New Roman" w:cs="Times New Roman"/>
          <w:b/>
          <w:bCs/>
          <w:sz w:val="22"/>
          <w:szCs w:val="22"/>
        </w:rPr>
      </w:pPr>
    </w:p>
    <w:p w:rsidR="00721441" w:rsidRPr="00D47C37" w:rsidRDefault="00721441" w:rsidP="00A76F4A">
      <w:pPr>
        <w:pStyle w:val="PargrafodaLista"/>
        <w:numPr>
          <w:ilvl w:val="0"/>
          <w:numId w:val="276"/>
        </w:numPr>
        <w:autoSpaceDE w:val="0"/>
        <w:autoSpaceDN w:val="0"/>
        <w:adjustRightInd w:val="0"/>
        <w:spacing w:after="0"/>
        <w:ind w:right="12"/>
        <w:jc w:val="both"/>
        <w:rPr>
          <w:b/>
          <w:bCs/>
          <w:sz w:val="22"/>
          <w:szCs w:val="22"/>
        </w:rPr>
      </w:pPr>
      <w:r w:rsidRPr="00D47C37">
        <w:rPr>
          <w:rFonts w:ascii="Times New Roman" w:hAnsi="Times New Roman"/>
          <w:b/>
          <w:sz w:val="22"/>
          <w:szCs w:val="22"/>
        </w:rPr>
        <w:t>La délimitation du périmètre de l’étude</w:t>
      </w:r>
    </w:p>
    <w:p w:rsidR="00721441" w:rsidRDefault="00721441" w:rsidP="00A76F4A">
      <w:pPr>
        <w:ind w:right="12"/>
        <w:jc w:val="both"/>
        <w:rPr>
          <w:sz w:val="22"/>
          <w:szCs w:val="22"/>
        </w:rPr>
      </w:pPr>
      <w:r w:rsidRPr="00D47C37">
        <w:rPr>
          <w:sz w:val="22"/>
          <w:szCs w:val="22"/>
        </w:rPr>
        <w:t>Cette phase sera consacrée à l’élaboration d’une proposition de délimitation des limites de l’étude : les limites de l’étude circonscrit, notamment, l’étendue spatiale (site du projet, zone d’influence direct et zone d’influence indirect) ainsi que temporelle de l’étude. La délimitation des zones d’influences du projet doit inclus les sites d’extraction (carrières, emprunts et gîtes).</w:t>
      </w:r>
    </w:p>
    <w:p w:rsidR="00721441" w:rsidRPr="00950C9A" w:rsidRDefault="00721441" w:rsidP="00A76F4A">
      <w:pPr>
        <w:pStyle w:val="PargrafodaLista"/>
        <w:numPr>
          <w:ilvl w:val="0"/>
          <w:numId w:val="276"/>
        </w:numPr>
        <w:autoSpaceDE w:val="0"/>
        <w:autoSpaceDN w:val="0"/>
        <w:adjustRightInd w:val="0"/>
        <w:spacing w:after="0"/>
        <w:ind w:right="12"/>
        <w:jc w:val="both"/>
        <w:rPr>
          <w:rFonts w:ascii="Times New Roman" w:hAnsi="Times New Roman"/>
          <w:b/>
          <w:bCs/>
          <w:sz w:val="22"/>
          <w:szCs w:val="22"/>
        </w:rPr>
      </w:pPr>
      <w:r w:rsidRPr="00D47C37">
        <w:rPr>
          <w:rFonts w:ascii="Times New Roman" w:hAnsi="Times New Roman"/>
          <w:b/>
          <w:sz w:val="22"/>
          <w:szCs w:val="22"/>
        </w:rPr>
        <w:t>L’analyse des risques et impacts environnementaux et sociaux</w:t>
      </w:r>
    </w:p>
    <w:p w:rsidR="00721441" w:rsidRPr="00D47C37" w:rsidRDefault="00721441" w:rsidP="00A76F4A">
      <w:pPr>
        <w:ind w:right="12"/>
        <w:jc w:val="both"/>
        <w:rPr>
          <w:sz w:val="22"/>
          <w:szCs w:val="22"/>
        </w:rPr>
      </w:pPr>
      <w:r w:rsidRPr="00D47C37">
        <w:rPr>
          <w:sz w:val="22"/>
          <w:szCs w:val="22"/>
        </w:rPr>
        <w:t>Cette étape vise à prévoir la manière dont les conditions environnementales et sociales divergeront de l’état initial sous l’influence du Projet dans ses phases de construction, d’exploitation, voire de démantèlement, de désactivation et de réhabilitation de site.</w:t>
      </w:r>
    </w:p>
    <w:p w:rsidR="00721441" w:rsidRPr="00D47C37" w:rsidRDefault="00721441" w:rsidP="00A76F4A">
      <w:pPr>
        <w:ind w:right="12"/>
        <w:jc w:val="both"/>
        <w:rPr>
          <w:sz w:val="22"/>
          <w:szCs w:val="22"/>
        </w:rPr>
      </w:pPr>
      <w:r w:rsidRPr="00D47C37">
        <w:rPr>
          <w:sz w:val="22"/>
          <w:szCs w:val="22"/>
        </w:rPr>
        <w:t>Cette étape sera réalisée en deux phases celle de l’identification et celle de l’analyse proprement dite.</w:t>
      </w:r>
    </w:p>
    <w:p w:rsidR="00721441" w:rsidRPr="00D47C37" w:rsidRDefault="00721441" w:rsidP="00A76F4A">
      <w:pPr>
        <w:ind w:right="12"/>
        <w:jc w:val="both"/>
        <w:rPr>
          <w:sz w:val="22"/>
          <w:szCs w:val="22"/>
        </w:rPr>
      </w:pPr>
      <w:r w:rsidRPr="0091142F">
        <w:rPr>
          <w:sz w:val="22"/>
          <w:szCs w:val="22"/>
        </w:rPr>
        <w:t>L’identification</w:t>
      </w:r>
      <w:r w:rsidRPr="00D47C37">
        <w:rPr>
          <w:sz w:val="22"/>
          <w:szCs w:val="22"/>
        </w:rPr>
        <w:t xml:space="preserve"> consiste en l’inventaire de tous les impacts potentiels du projet. Cet inventaire repose sur au moins deux critères de documentation existante sur la matière et les expériences antérieures.</w:t>
      </w:r>
    </w:p>
    <w:p w:rsidR="00721441" w:rsidRPr="00D47C37" w:rsidRDefault="00721441" w:rsidP="00A76F4A">
      <w:pPr>
        <w:ind w:right="12"/>
        <w:jc w:val="both"/>
        <w:rPr>
          <w:sz w:val="22"/>
          <w:szCs w:val="22"/>
        </w:rPr>
      </w:pPr>
      <w:r w:rsidRPr="00D47C37">
        <w:rPr>
          <w:sz w:val="22"/>
          <w:szCs w:val="22"/>
        </w:rPr>
        <w:t>Les données quantitatives et qualitatives sur la nature, l’intensité, l’étendue géographique, la durée et la probabilité de changement seront collectées et chaque impact et risque sera évalué en vue d’en déterminer la sévérité et probabilité vis-à-vis du milieu naturel et humain.</w:t>
      </w:r>
    </w:p>
    <w:p w:rsidR="00721441" w:rsidRPr="00D47C37" w:rsidRDefault="00721441" w:rsidP="00A76F4A">
      <w:pPr>
        <w:ind w:right="12"/>
        <w:jc w:val="both"/>
        <w:rPr>
          <w:sz w:val="22"/>
          <w:szCs w:val="22"/>
        </w:rPr>
      </w:pPr>
      <w:r w:rsidRPr="0091142F">
        <w:rPr>
          <w:sz w:val="22"/>
          <w:szCs w:val="22"/>
        </w:rPr>
        <w:t>La phase d’analyse</w:t>
      </w:r>
      <w:r w:rsidRPr="00D47C37">
        <w:rPr>
          <w:sz w:val="22"/>
          <w:szCs w:val="22"/>
        </w:rPr>
        <w:t xml:space="preserve"> quant à elle comprendra l’évaluation des impacts c’est à dire l’appréciation de la valeur de chaque impact. Par la suite, seuls les impacts importants seront retenus comme impact du projet. Le consultant doit donner une attention particulier (le consultant doit proposer des solutions et recommandations) sur les impacts liés au fait que les canalisations en amiante-ciment seront mises hors service et resterons enterre.</w:t>
      </w:r>
    </w:p>
    <w:p w:rsidR="00721441" w:rsidRPr="00D47C37" w:rsidRDefault="00721441" w:rsidP="00A76F4A">
      <w:pPr>
        <w:ind w:right="12"/>
        <w:jc w:val="both"/>
        <w:rPr>
          <w:sz w:val="22"/>
          <w:szCs w:val="22"/>
        </w:rPr>
      </w:pPr>
      <w:r w:rsidRPr="00D47C37">
        <w:rPr>
          <w:sz w:val="22"/>
          <w:szCs w:val="22"/>
        </w:rPr>
        <w:t xml:space="preserve">L’évaluation des impacts du projet consiste en l’appréciation de l’importance des impacts probables. Il s’agira notamment d’identifier les impacts et risques majeurs (les plus importants et ceux susceptibles de causer les dommages les plus graves) ; cependant l’étude traitera de tous les impacts potentiels pour </w:t>
      </w:r>
      <w:r w:rsidRPr="00D47C37">
        <w:rPr>
          <w:sz w:val="22"/>
          <w:szCs w:val="22"/>
        </w:rPr>
        <w:lastRenderedPageBreak/>
        <w:t>déterminer lesquels sont susceptibles d’être significatifs et justifiant donc des mesures de gestion environnementale et sociale.</w:t>
      </w:r>
    </w:p>
    <w:p w:rsidR="00721441" w:rsidRPr="00D47C37" w:rsidRDefault="00721441" w:rsidP="00A76F4A">
      <w:pPr>
        <w:autoSpaceDE w:val="0"/>
        <w:autoSpaceDN w:val="0"/>
        <w:adjustRightInd w:val="0"/>
        <w:spacing w:after="120"/>
        <w:ind w:right="12"/>
        <w:jc w:val="both"/>
        <w:rPr>
          <w:sz w:val="22"/>
          <w:szCs w:val="22"/>
        </w:rPr>
      </w:pPr>
      <w:r w:rsidRPr="00D47C37">
        <w:rPr>
          <w:sz w:val="22"/>
          <w:szCs w:val="22"/>
        </w:rPr>
        <w:t>Le Consultant mènera une analyse des dangers et risques éventuels liés au projet.</w:t>
      </w:r>
    </w:p>
    <w:p w:rsidR="00721441" w:rsidRPr="00D47C37" w:rsidRDefault="00721441" w:rsidP="00A76F4A">
      <w:pPr>
        <w:autoSpaceDE w:val="0"/>
        <w:autoSpaceDN w:val="0"/>
        <w:adjustRightInd w:val="0"/>
        <w:spacing w:before="120" w:after="120"/>
        <w:ind w:right="12"/>
        <w:jc w:val="both"/>
        <w:rPr>
          <w:sz w:val="22"/>
          <w:szCs w:val="22"/>
        </w:rPr>
      </w:pPr>
      <w:r w:rsidRPr="00D47C37">
        <w:rPr>
          <w:sz w:val="22"/>
          <w:szCs w:val="22"/>
        </w:rPr>
        <w:t>Cette appréciation sera effectuée sur la base des éléments suivants :</w:t>
      </w:r>
    </w:p>
    <w:p w:rsidR="00721441" w:rsidRPr="00D47C37" w:rsidRDefault="00721441" w:rsidP="00A76F4A">
      <w:pPr>
        <w:pStyle w:val="PargrafodaLista"/>
        <w:numPr>
          <w:ilvl w:val="0"/>
          <w:numId w:val="260"/>
        </w:numPr>
        <w:autoSpaceDE w:val="0"/>
        <w:autoSpaceDN w:val="0"/>
        <w:adjustRightInd w:val="0"/>
        <w:spacing w:after="0" w:line="240" w:lineRule="auto"/>
        <w:ind w:left="1041" w:right="12" w:hanging="491"/>
        <w:jc w:val="both"/>
        <w:rPr>
          <w:rFonts w:ascii="Times New Roman" w:hAnsi="Times New Roman"/>
          <w:sz w:val="22"/>
          <w:szCs w:val="22"/>
          <w:lang w:eastAsia="en-US"/>
        </w:rPr>
      </w:pPr>
      <w:r w:rsidRPr="00D47C37">
        <w:rPr>
          <w:rFonts w:ascii="Times New Roman" w:hAnsi="Times New Roman"/>
          <w:sz w:val="22"/>
          <w:szCs w:val="22"/>
          <w:lang w:eastAsia="en-US"/>
        </w:rPr>
        <w:t xml:space="preserve">l’étendue </w:t>
      </w:r>
    </w:p>
    <w:p w:rsidR="00721441" w:rsidRPr="00D47C37" w:rsidRDefault="00721441" w:rsidP="00A76F4A">
      <w:pPr>
        <w:pStyle w:val="PargrafodaLista"/>
        <w:numPr>
          <w:ilvl w:val="0"/>
          <w:numId w:val="260"/>
        </w:numPr>
        <w:autoSpaceDE w:val="0"/>
        <w:autoSpaceDN w:val="0"/>
        <w:adjustRightInd w:val="0"/>
        <w:spacing w:after="0" w:line="240" w:lineRule="auto"/>
        <w:ind w:left="1041" w:right="12" w:hanging="491"/>
        <w:jc w:val="both"/>
        <w:rPr>
          <w:rFonts w:ascii="Times New Roman" w:hAnsi="Times New Roman"/>
          <w:sz w:val="22"/>
          <w:szCs w:val="22"/>
          <w:lang w:eastAsia="en-US"/>
        </w:rPr>
      </w:pPr>
      <w:r w:rsidRPr="00D47C37">
        <w:rPr>
          <w:rFonts w:ascii="Times New Roman" w:hAnsi="Times New Roman"/>
          <w:sz w:val="22"/>
          <w:szCs w:val="22"/>
          <w:lang w:eastAsia="en-US"/>
        </w:rPr>
        <w:t xml:space="preserve">la durée : permanente ou temporaire ou encore semi-permanente </w:t>
      </w:r>
    </w:p>
    <w:p w:rsidR="00721441" w:rsidRPr="00D47C37" w:rsidRDefault="00721441" w:rsidP="00A76F4A">
      <w:pPr>
        <w:pStyle w:val="PargrafodaLista"/>
        <w:numPr>
          <w:ilvl w:val="0"/>
          <w:numId w:val="260"/>
        </w:numPr>
        <w:autoSpaceDE w:val="0"/>
        <w:autoSpaceDN w:val="0"/>
        <w:adjustRightInd w:val="0"/>
        <w:spacing w:after="0" w:line="240" w:lineRule="auto"/>
        <w:ind w:left="1041" w:right="12" w:hanging="491"/>
        <w:jc w:val="both"/>
        <w:rPr>
          <w:rFonts w:ascii="Times New Roman" w:hAnsi="Times New Roman"/>
          <w:sz w:val="22"/>
          <w:szCs w:val="22"/>
          <w:lang w:eastAsia="en-US"/>
        </w:rPr>
      </w:pPr>
      <w:r w:rsidRPr="00D47C37">
        <w:rPr>
          <w:rFonts w:ascii="Times New Roman" w:hAnsi="Times New Roman"/>
          <w:sz w:val="22"/>
          <w:szCs w:val="22"/>
          <w:lang w:eastAsia="en-US"/>
        </w:rPr>
        <w:t xml:space="preserve">l’amplitude </w:t>
      </w:r>
    </w:p>
    <w:p w:rsidR="00721441" w:rsidRPr="00D47C37" w:rsidRDefault="00721441" w:rsidP="00A76F4A">
      <w:pPr>
        <w:pStyle w:val="PargrafodaLista"/>
        <w:numPr>
          <w:ilvl w:val="0"/>
          <w:numId w:val="260"/>
        </w:numPr>
        <w:autoSpaceDE w:val="0"/>
        <w:autoSpaceDN w:val="0"/>
        <w:adjustRightInd w:val="0"/>
        <w:spacing w:after="0" w:line="240" w:lineRule="auto"/>
        <w:ind w:left="1041" w:right="12" w:hanging="491"/>
        <w:jc w:val="both"/>
        <w:rPr>
          <w:rFonts w:ascii="Times New Roman" w:hAnsi="Times New Roman"/>
          <w:sz w:val="22"/>
          <w:szCs w:val="22"/>
          <w:lang w:eastAsia="en-US"/>
        </w:rPr>
      </w:pPr>
      <w:r w:rsidRPr="00D47C37">
        <w:rPr>
          <w:rFonts w:ascii="Times New Roman" w:hAnsi="Times New Roman"/>
          <w:sz w:val="22"/>
          <w:szCs w:val="22"/>
          <w:lang w:eastAsia="en-US"/>
        </w:rPr>
        <w:t xml:space="preserve">la probabilité </w:t>
      </w:r>
    </w:p>
    <w:p w:rsidR="00721441" w:rsidRPr="00D47C37" w:rsidRDefault="00721441" w:rsidP="00A76F4A">
      <w:pPr>
        <w:pStyle w:val="PargrafodaLista"/>
        <w:numPr>
          <w:ilvl w:val="0"/>
          <w:numId w:val="260"/>
        </w:numPr>
        <w:autoSpaceDE w:val="0"/>
        <w:autoSpaceDN w:val="0"/>
        <w:adjustRightInd w:val="0"/>
        <w:spacing w:after="0" w:line="240" w:lineRule="auto"/>
        <w:ind w:left="1041" w:right="12" w:hanging="491"/>
        <w:jc w:val="both"/>
        <w:rPr>
          <w:rFonts w:ascii="Times New Roman" w:hAnsi="Times New Roman"/>
          <w:sz w:val="22"/>
          <w:szCs w:val="22"/>
          <w:lang w:eastAsia="en-US"/>
        </w:rPr>
      </w:pPr>
      <w:r w:rsidRPr="00D47C37">
        <w:rPr>
          <w:rFonts w:ascii="Times New Roman" w:hAnsi="Times New Roman"/>
          <w:sz w:val="22"/>
          <w:szCs w:val="22"/>
          <w:lang w:eastAsia="en-US"/>
        </w:rPr>
        <w:t xml:space="preserve">l’importance de la composante affectée </w:t>
      </w:r>
    </w:p>
    <w:p w:rsidR="00721441" w:rsidRPr="00D47C37" w:rsidRDefault="00721441" w:rsidP="00A76F4A">
      <w:pPr>
        <w:autoSpaceDE w:val="0"/>
        <w:autoSpaceDN w:val="0"/>
        <w:adjustRightInd w:val="0"/>
        <w:spacing w:before="120" w:after="120"/>
        <w:ind w:right="12"/>
        <w:jc w:val="both"/>
        <w:rPr>
          <w:sz w:val="22"/>
          <w:szCs w:val="22"/>
        </w:rPr>
      </w:pPr>
      <w:r w:rsidRPr="00D47C37">
        <w:rPr>
          <w:sz w:val="22"/>
          <w:szCs w:val="22"/>
        </w:rPr>
        <w:t>D’autre part, le Consultant identifiera les types d’impact : direct</w:t>
      </w:r>
      <w:r w:rsidR="0059663C">
        <w:rPr>
          <w:sz w:val="22"/>
          <w:szCs w:val="22"/>
        </w:rPr>
        <w:t>s</w:t>
      </w:r>
      <w:r w:rsidRPr="00D47C37">
        <w:rPr>
          <w:sz w:val="22"/>
          <w:szCs w:val="22"/>
        </w:rPr>
        <w:t xml:space="preserve"> ou indirect</w:t>
      </w:r>
      <w:r w:rsidR="0059663C">
        <w:rPr>
          <w:sz w:val="22"/>
          <w:szCs w:val="22"/>
        </w:rPr>
        <w:t>s</w:t>
      </w:r>
      <w:r w:rsidRPr="00D47C37">
        <w:rPr>
          <w:sz w:val="22"/>
          <w:szCs w:val="22"/>
        </w:rPr>
        <w:t>.</w:t>
      </w:r>
    </w:p>
    <w:p w:rsidR="00721441" w:rsidRPr="00D47C37" w:rsidRDefault="00721441" w:rsidP="00A76F4A">
      <w:pPr>
        <w:ind w:right="12"/>
        <w:jc w:val="both"/>
        <w:rPr>
          <w:sz w:val="22"/>
          <w:szCs w:val="22"/>
        </w:rPr>
      </w:pPr>
      <w:r w:rsidRPr="00D47C37">
        <w:rPr>
          <w:sz w:val="22"/>
          <w:szCs w:val="22"/>
        </w:rPr>
        <w:t>Au plan social, dans un document séparé, les études mettront en évidence, notamment les impacts :</w:t>
      </w:r>
    </w:p>
    <w:p w:rsidR="00721441" w:rsidRPr="00D47C37" w:rsidRDefault="00721441" w:rsidP="00A76F4A">
      <w:pPr>
        <w:pStyle w:val="PargrafodaLista"/>
        <w:numPr>
          <w:ilvl w:val="0"/>
          <w:numId w:val="261"/>
        </w:numPr>
        <w:autoSpaceDE w:val="0"/>
        <w:autoSpaceDN w:val="0"/>
        <w:adjustRightInd w:val="0"/>
        <w:spacing w:after="0" w:line="240" w:lineRule="auto"/>
        <w:ind w:left="1134" w:right="12" w:hanging="491"/>
        <w:jc w:val="both"/>
        <w:rPr>
          <w:rFonts w:ascii="Times New Roman" w:hAnsi="Times New Roman"/>
          <w:sz w:val="22"/>
          <w:szCs w:val="22"/>
          <w:lang w:eastAsia="en-US"/>
        </w:rPr>
      </w:pPr>
      <w:r w:rsidRPr="00D47C37">
        <w:rPr>
          <w:rFonts w:ascii="Times New Roman" w:hAnsi="Times New Roman"/>
          <w:sz w:val="22"/>
          <w:szCs w:val="22"/>
          <w:lang w:eastAsia="en-US"/>
        </w:rPr>
        <w:t xml:space="preserve">Sur la santé : la qualité des milieux, l’inflation de vecteurs, les modifications des comportements des populations … </w:t>
      </w:r>
    </w:p>
    <w:p w:rsidR="00721441" w:rsidRPr="00D47C37" w:rsidRDefault="00721441" w:rsidP="00A76F4A">
      <w:pPr>
        <w:pStyle w:val="PargrafodaLista"/>
        <w:numPr>
          <w:ilvl w:val="0"/>
          <w:numId w:val="261"/>
        </w:numPr>
        <w:autoSpaceDE w:val="0"/>
        <w:autoSpaceDN w:val="0"/>
        <w:adjustRightInd w:val="0"/>
        <w:spacing w:after="0" w:line="240" w:lineRule="auto"/>
        <w:ind w:left="1134" w:right="12" w:hanging="491"/>
        <w:jc w:val="both"/>
        <w:rPr>
          <w:rFonts w:ascii="Times New Roman" w:hAnsi="Times New Roman"/>
          <w:sz w:val="22"/>
          <w:szCs w:val="22"/>
          <w:lang w:eastAsia="en-US"/>
        </w:rPr>
      </w:pPr>
      <w:r w:rsidRPr="00D47C37">
        <w:rPr>
          <w:rFonts w:ascii="Times New Roman" w:hAnsi="Times New Roman"/>
          <w:sz w:val="22"/>
          <w:szCs w:val="22"/>
          <w:lang w:eastAsia="en-US"/>
        </w:rPr>
        <w:t xml:space="preserve">Sur la sécurité : probabilité d’accident, augmentation des flux, densité de population vulnérable, taux de délinquance, etc. </w:t>
      </w:r>
    </w:p>
    <w:p w:rsidR="00721441" w:rsidRPr="00D47C37" w:rsidRDefault="00721441" w:rsidP="00A76F4A">
      <w:pPr>
        <w:pStyle w:val="PargrafodaLista"/>
        <w:numPr>
          <w:ilvl w:val="0"/>
          <w:numId w:val="261"/>
        </w:numPr>
        <w:autoSpaceDE w:val="0"/>
        <w:autoSpaceDN w:val="0"/>
        <w:adjustRightInd w:val="0"/>
        <w:spacing w:after="0" w:line="240" w:lineRule="auto"/>
        <w:ind w:left="1134" w:right="12" w:hanging="491"/>
        <w:jc w:val="both"/>
        <w:rPr>
          <w:rFonts w:ascii="Times New Roman" w:hAnsi="Times New Roman"/>
          <w:sz w:val="22"/>
          <w:szCs w:val="22"/>
          <w:lang w:eastAsia="en-US"/>
        </w:rPr>
      </w:pPr>
      <w:r w:rsidRPr="00D47C37">
        <w:rPr>
          <w:rFonts w:ascii="Times New Roman" w:hAnsi="Times New Roman"/>
          <w:sz w:val="22"/>
          <w:szCs w:val="22"/>
          <w:lang w:eastAsia="en-US"/>
        </w:rPr>
        <w:t xml:space="preserve">Sur le revenu : perturbations d’activités génératrices de revenus … </w:t>
      </w:r>
    </w:p>
    <w:p w:rsidR="00721441" w:rsidRPr="00D47C37" w:rsidRDefault="00721441" w:rsidP="00A76F4A">
      <w:pPr>
        <w:ind w:right="12"/>
        <w:jc w:val="both"/>
        <w:rPr>
          <w:sz w:val="22"/>
          <w:szCs w:val="22"/>
        </w:rPr>
      </w:pPr>
      <w:r w:rsidRPr="00D47C37">
        <w:rPr>
          <w:sz w:val="22"/>
          <w:szCs w:val="22"/>
        </w:rPr>
        <w:t>Sur les aspects culturels et sur d’éventuelles modifications des paysages.</w:t>
      </w:r>
    </w:p>
    <w:p w:rsidR="00721441" w:rsidRPr="00D47C37" w:rsidRDefault="00721441" w:rsidP="00A76F4A">
      <w:pPr>
        <w:ind w:right="12"/>
        <w:jc w:val="both"/>
        <w:rPr>
          <w:sz w:val="22"/>
          <w:szCs w:val="22"/>
        </w:rPr>
      </w:pPr>
      <w:r w:rsidRPr="00D47C37">
        <w:rPr>
          <w:sz w:val="22"/>
          <w:szCs w:val="22"/>
        </w:rPr>
        <w:t>Cette phase de l’étude visera également à identifier, analyser et évaluer les risques et opportunités liés au changement climatique dans toutes les zones d’influences du projet et en cas de besoin proposé de mesures maximisations des opportunités et minimiser les risques. L’identifier les impacts potentiels positifs du Projet, et comment les optimiser sera la préoccupation du consultant.</w:t>
      </w:r>
    </w:p>
    <w:p w:rsidR="00721441" w:rsidRPr="00D47C37" w:rsidRDefault="00721441" w:rsidP="00A76F4A">
      <w:pPr>
        <w:ind w:right="12"/>
        <w:jc w:val="both"/>
        <w:rPr>
          <w:sz w:val="22"/>
          <w:szCs w:val="22"/>
        </w:rPr>
      </w:pPr>
      <w:r w:rsidRPr="00D47C37">
        <w:rPr>
          <w:sz w:val="22"/>
          <w:szCs w:val="22"/>
        </w:rPr>
        <w:t>Les risques liés au changement climatique seront analysés. Un plan de contingence pour la prévention et la gestion des risques incluant des mesures d’atténuation et d’adaptation au changement climatique sera proposé.</w:t>
      </w:r>
    </w:p>
    <w:p w:rsidR="00721441" w:rsidRPr="00D47C37" w:rsidRDefault="00721441" w:rsidP="00A76F4A">
      <w:pPr>
        <w:ind w:right="12"/>
        <w:jc w:val="both"/>
        <w:rPr>
          <w:sz w:val="22"/>
          <w:szCs w:val="22"/>
        </w:rPr>
      </w:pPr>
      <w:r w:rsidRPr="00D47C37">
        <w:rPr>
          <w:sz w:val="22"/>
          <w:szCs w:val="22"/>
        </w:rPr>
        <w:t>Les impacts liés aux sites d’emprunt seront analysés.</w:t>
      </w:r>
    </w:p>
    <w:p w:rsidR="00721441" w:rsidRPr="00D47C37" w:rsidRDefault="00721441" w:rsidP="00A76F4A">
      <w:pPr>
        <w:pStyle w:val="Default"/>
        <w:ind w:right="12"/>
        <w:jc w:val="both"/>
        <w:rPr>
          <w:rFonts w:ascii="Times New Roman" w:hAnsi="Times New Roman" w:cs="Times New Roman"/>
          <w:b/>
          <w:bCs/>
          <w:sz w:val="22"/>
          <w:szCs w:val="22"/>
        </w:rPr>
      </w:pPr>
    </w:p>
    <w:p w:rsidR="00721441" w:rsidRPr="00D47C37" w:rsidRDefault="00721441" w:rsidP="00A76F4A">
      <w:pPr>
        <w:pStyle w:val="Default"/>
        <w:numPr>
          <w:ilvl w:val="0"/>
          <w:numId w:val="276"/>
        </w:numPr>
        <w:ind w:right="12"/>
        <w:jc w:val="both"/>
        <w:rPr>
          <w:rFonts w:ascii="Times New Roman" w:hAnsi="Times New Roman" w:cs="Times New Roman"/>
          <w:b/>
          <w:bCs/>
          <w:sz w:val="22"/>
          <w:szCs w:val="22"/>
        </w:rPr>
      </w:pPr>
      <w:r w:rsidRPr="00D47C37">
        <w:rPr>
          <w:rFonts w:ascii="Times New Roman" w:hAnsi="Times New Roman" w:cs="Times New Roman"/>
          <w:b/>
          <w:bCs/>
          <w:sz w:val="22"/>
          <w:szCs w:val="22"/>
        </w:rPr>
        <w:t>Mesures d’atténuation</w:t>
      </w:r>
    </w:p>
    <w:p w:rsidR="00721441" w:rsidRPr="00D47C37" w:rsidRDefault="00721441" w:rsidP="00A76F4A">
      <w:pPr>
        <w:ind w:right="12"/>
        <w:jc w:val="both"/>
        <w:rPr>
          <w:sz w:val="22"/>
          <w:szCs w:val="22"/>
        </w:rPr>
      </w:pPr>
      <w:r w:rsidRPr="00D47C37">
        <w:rPr>
          <w:sz w:val="22"/>
          <w:szCs w:val="22"/>
        </w:rPr>
        <w:t>Les impacts significatifs feront l’objet de propositions de mesures d’atténuation et, éventuellement, de mesures d’accompagnement. Ces mesures viseront à réduire l’importance des impacts potentiels identifiés pour les ramener à des niveaux biologiques, biophysiques, sociaux, économiques, culturels acceptables sinon à les éviter.</w:t>
      </w:r>
    </w:p>
    <w:p w:rsidR="00721441" w:rsidRPr="00D47C37" w:rsidRDefault="00721441" w:rsidP="00A76F4A">
      <w:pPr>
        <w:ind w:right="12"/>
        <w:jc w:val="both"/>
        <w:rPr>
          <w:sz w:val="22"/>
          <w:szCs w:val="22"/>
        </w:rPr>
      </w:pPr>
      <w:r w:rsidRPr="00D47C37">
        <w:rPr>
          <w:sz w:val="22"/>
          <w:szCs w:val="22"/>
        </w:rPr>
        <w:t>Elles peuvent consister en des mesures techniques, sociales, économiques, institutionnelles, etc. Elles seront classées par ordre de préférence en mesures de prévention ou de minimisation, mesures de réparation et en cas d’impacts non réductibles il pourrait être envisagé de procéder à des mesures de compensation.</w:t>
      </w:r>
    </w:p>
    <w:p w:rsidR="00721441" w:rsidRPr="00D47C37" w:rsidRDefault="00721441" w:rsidP="00A76F4A">
      <w:pPr>
        <w:ind w:right="12"/>
        <w:jc w:val="both"/>
        <w:rPr>
          <w:sz w:val="22"/>
          <w:szCs w:val="22"/>
        </w:rPr>
      </w:pPr>
      <w:r w:rsidRPr="00D47C37">
        <w:rPr>
          <w:sz w:val="22"/>
          <w:szCs w:val="22"/>
        </w:rPr>
        <w:t>Des mesures seront identifiées, et validées en accord avec l’équipe technique du Projet et toutes les parties prenantes dans le processus notamment, l’AAAC (l’Autorité d’Évaluation Environnementale Compétente), la Banque Mondiale et autres partenaires, en vue de prévenir, réduire ou gérer les effets négatifs, ou en cas d’impossibilité, en compenser les effets.</w:t>
      </w:r>
    </w:p>
    <w:p w:rsidR="00721441" w:rsidRPr="00D47C37" w:rsidRDefault="00721441" w:rsidP="00A76F4A">
      <w:pPr>
        <w:ind w:right="12"/>
        <w:jc w:val="both"/>
        <w:rPr>
          <w:sz w:val="22"/>
          <w:szCs w:val="22"/>
        </w:rPr>
      </w:pPr>
      <w:r w:rsidRPr="00D47C37">
        <w:rPr>
          <w:sz w:val="22"/>
          <w:szCs w:val="22"/>
        </w:rPr>
        <w:t>Ces mesures d’atténuation pourront comprendre des modifications de conception ou de dimensionnement du Projet, des prescriptions de gestion relatives aux phases de construction ou d’exploitation, voire d’autres types de mesures pour minimiser les effets négatifs et optimiser les effets positifs du Projet sur l’environnement naturel et humain.</w:t>
      </w:r>
    </w:p>
    <w:p w:rsidR="00721441" w:rsidRPr="00D47C37" w:rsidRDefault="00721441" w:rsidP="00A76F4A">
      <w:pPr>
        <w:pStyle w:val="Default"/>
        <w:ind w:right="12"/>
        <w:jc w:val="both"/>
        <w:rPr>
          <w:rFonts w:ascii="Times New Roman" w:hAnsi="Times New Roman" w:cs="Times New Roman"/>
          <w:b/>
          <w:bCs/>
          <w:sz w:val="22"/>
          <w:szCs w:val="22"/>
        </w:rPr>
      </w:pPr>
    </w:p>
    <w:p w:rsidR="00721441" w:rsidRPr="00D47C37" w:rsidRDefault="00721441" w:rsidP="00A76F4A">
      <w:pPr>
        <w:pStyle w:val="Default"/>
        <w:numPr>
          <w:ilvl w:val="0"/>
          <w:numId w:val="276"/>
        </w:numPr>
        <w:ind w:right="12"/>
        <w:jc w:val="both"/>
        <w:rPr>
          <w:rFonts w:ascii="Times New Roman" w:hAnsi="Times New Roman" w:cs="Times New Roman"/>
          <w:b/>
          <w:bCs/>
          <w:sz w:val="22"/>
          <w:szCs w:val="22"/>
        </w:rPr>
      </w:pPr>
      <w:r w:rsidRPr="00D47C37">
        <w:rPr>
          <w:rFonts w:ascii="Times New Roman" w:hAnsi="Times New Roman" w:cs="Times New Roman"/>
          <w:b/>
          <w:bCs/>
          <w:sz w:val="22"/>
          <w:szCs w:val="22"/>
        </w:rPr>
        <w:t>Plan de Gestion Environnementale et Sociale (PGES)</w:t>
      </w:r>
    </w:p>
    <w:p w:rsidR="00721441" w:rsidRPr="00D47C37" w:rsidRDefault="00721441" w:rsidP="00A76F4A">
      <w:pPr>
        <w:ind w:right="12"/>
        <w:jc w:val="both"/>
        <w:rPr>
          <w:sz w:val="22"/>
          <w:szCs w:val="22"/>
        </w:rPr>
      </w:pPr>
      <w:r w:rsidRPr="00D47C37">
        <w:rPr>
          <w:sz w:val="22"/>
          <w:szCs w:val="22"/>
        </w:rPr>
        <w:t xml:space="preserve">Les résultats de la présente d’Analyse environnemental initial résulteront en : </w:t>
      </w:r>
    </w:p>
    <w:p w:rsidR="00721441" w:rsidRPr="00D47C37" w:rsidRDefault="00721441" w:rsidP="00A76F4A">
      <w:pPr>
        <w:pStyle w:val="PargrafodaLista"/>
        <w:numPr>
          <w:ilvl w:val="0"/>
          <w:numId w:val="259"/>
        </w:numPr>
        <w:autoSpaceDE w:val="0"/>
        <w:autoSpaceDN w:val="0"/>
        <w:adjustRightInd w:val="0"/>
        <w:spacing w:after="0" w:line="240" w:lineRule="auto"/>
        <w:ind w:left="332" w:right="12"/>
        <w:jc w:val="both"/>
        <w:rPr>
          <w:rFonts w:ascii="Times New Roman" w:hAnsi="Times New Roman"/>
          <w:color w:val="000000"/>
          <w:sz w:val="22"/>
          <w:szCs w:val="22"/>
          <w:lang w:eastAsia="en-US"/>
        </w:rPr>
      </w:pPr>
      <w:r w:rsidRPr="00D47C37">
        <w:rPr>
          <w:rFonts w:ascii="Times New Roman" w:hAnsi="Times New Roman"/>
          <w:color w:val="000000"/>
          <w:sz w:val="22"/>
          <w:szCs w:val="22"/>
          <w:lang w:eastAsia="en-US"/>
        </w:rPr>
        <w:t>Une étude environnementale incluant un Plan de Gestion Environnementale et Sociale (PGES) du projet : les mesures d’atténuation, les mesures de gestion des risques d’accompagnement du projet seront agencées de manière cohérente et opérationnelle dans le cadre de ce (PGES), et le PGES organise l’ensemble des mesures identifiées pour en faire un programme opérationnel à l’intention de l’entreprise adjudicataire du marché de travaux.</w:t>
      </w:r>
    </w:p>
    <w:p w:rsidR="00721441" w:rsidRPr="00D47C37" w:rsidRDefault="00721441" w:rsidP="00A76F4A">
      <w:pPr>
        <w:ind w:right="12"/>
        <w:jc w:val="both"/>
        <w:rPr>
          <w:sz w:val="22"/>
          <w:szCs w:val="22"/>
        </w:rPr>
      </w:pPr>
      <w:r w:rsidRPr="00D47C37">
        <w:rPr>
          <w:sz w:val="22"/>
          <w:szCs w:val="22"/>
        </w:rPr>
        <w:lastRenderedPageBreak/>
        <w:t>Le PGES comprendra notamment : le descriptif technique des mesures, le calendrier, les critères de performance, les procédures de mise en œuvre, les acteurs impliqués, les besoins en formation et les coûts de mise en œuvre et de suivi.</w:t>
      </w:r>
    </w:p>
    <w:p w:rsidR="00721441" w:rsidRPr="00D47C37" w:rsidRDefault="00721441" w:rsidP="00A76F4A">
      <w:pPr>
        <w:ind w:right="12"/>
        <w:jc w:val="both"/>
        <w:rPr>
          <w:sz w:val="22"/>
          <w:szCs w:val="22"/>
        </w:rPr>
      </w:pPr>
      <w:r w:rsidRPr="00D47C37">
        <w:rPr>
          <w:sz w:val="22"/>
          <w:szCs w:val="22"/>
        </w:rPr>
        <w:t>Toutes les mesures d’atténuation seront organisées logiquement dans un Plan de Gestion Environnementale et Sociale (PGES). Ce PGES sera considéré comme le recueil des engagements pris par les parties prenantes pour gérer les effets environnementaux et sociaux du Projet.</w:t>
      </w:r>
    </w:p>
    <w:p w:rsidR="00721441" w:rsidRPr="00D47C37" w:rsidRDefault="00721441" w:rsidP="00A76F4A">
      <w:pPr>
        <w:ind w:right="12"/>
        <w:jc w:val="both"/>
        <w:rPr>
          <w:sz w:val="22"/>
          <w:szCs w:val="22"/>
        </w:rPr>
      </w:pPr>
      <w:r w:rsidRPr="00D47C37">
        <w:rPr>
          <w:sz w:val="22"/>
          <w:szCs w:val="22"/>
        </w:rPr>
        <w:t>Le PGES décrira également comment les mesures seront appliquées en phase de préparation, de construction, d’exploitation et de désactivation. Il présentera en détail les responsabilités et ressources à mettre en œuvre, le calendrier, les campagnes de surveillance et d’audit à mener pour que tous les engagements relatifs à l’atténuation des impacts soient dûment remplis.</w:t>
      </w:r>
    </w:p>
    <w:p w:rsidR="00721441" w:rsidRPr="00D47C37" w:rsidRDefault="00721441" w:rsidP="00A76F4A">
      <w:pPr>
        <w:ind w:right="12"/>
        <w:jc w:val="both"/>
        <w:rPr>
          <w:sz w:val="22"/>
          <w:szCs w:val="22"/>
        </w:rPr>
      </w:pPr>
      <w:r w:rsidRPr="00D47C37">
        <w:rPr>
          <w:sz w:val="22"/>
          <w:szCs w:val="22"/>
        </w:rPr>
        <w:t>Il prendra en considération également les besoins en matière de formation et de renforcement des capacités des parties prenantes impliquées dans le Projet, notamment la main d’œuvre mais aussi d’autres parties prenantes éventuelles – autorités locales par exemple.</w:t>
      </w:r>
    </w:p>
    <w:p w:rsidR="00721441" w:rsidRPr="00591801" w:rsidRDefault="00721441" w:rsidP="00A76F4A">
      <w:pPr>
        <w:ind w:right="12"/>
        <w:jc w:val="both"/>
        <w:rPr>
          <w:sz w:val="22"/>
          <w:szCs w:val="22"/>
        </w:rPr>
      </w:pPr>
      <w:r w:rsidRPr="00D47C37">
        <w:rPr>
          <w:sz w:val="22"/>
          <w:szCs w:val="22"/>
        </w:rPr>
        <w:t>Le Consultant développera un plan de communication et un mécanisme de gestion des plaintes qui sont d’importance capitale pour le succès du projet.</w:t>
      </w:r>
    </w:p>
    <w:p w:rsidR="00721441" w:rsidRPr="00D47C37" w:rsidRDefault="00721441" w:rsidP="00A76F4A">
      <w:pPr>
        <w:pStyle w:val="Default"/>
        <w:ind w:right="12"/>
        <w:jc w:val="both"/>
        <w:rPr>
          <w:rFonts w:ascii="Times New Roman" w:hAnsi="Times New Roman" w:cs="Times New Roman"/>
          <w:b/>
          <w:bCs/>
          <w:sz w:val="22"/>
          <w:szCs w:val="22"/>
        </w:rPr>
      </w:pPr>
    </w:p>
    <w:p w:rsidR="00721441" w:rsidRDefault="00721441" w:rsidP="00A76F4A">
      <w:pPr>
        <w:pStyle w:val="Default"/>
        <w:numPr>
          <w:ilvl w:val="0"/>
          <w:numId w:val="276"/>
        </w:numPr>
        <w:ind w:right="12"/>
        <w:jc w:val="both"/>
        <w:rPr>
          <w:rFonts w:ascii="Times New Roman" w:hAnsi="Times New Roman" w:cs="Times New Roman"/>
          <w:b/>
          <w:bCs/>
          <w:sz w:val="22"/>
          <w:szCs w:val="22"/>
        </w:rPr>
      </w:pPr>
      <w:r w:rsidRPr="00D47C37">
        <w:rPr>
          <w:rFonts w:ascii="Times New Roman" w:hAnsi="Times New Roman" w:cs="Times New Roman"/>
          <w:b/>
          <w:bCs/>
          <w:sz w:val="22"/>
          <w:szCs w:val="22"/>
        </w:rPr>
        <w:t>Consultation et communication avec les parties prenantes</w:t>
      </w:r>
    </w:p>
    <w:p w:rsidR="00721441" w:rsidRDefault="00721441" w:rsidP="00A76F4A">
      <w:pPr>
        <w:ind w:right="12"/>
        <w:jc w:val="both"/>
        <w:rPr>
          <w:sz w:val="22"/>
          <w:szCs w:val="22"/>
        </w:rPr>
      </w:pPr>
      <w:r w:rsidRPr="00D47C37">
        <w:rPr>
          <w:sz w:val="22"/>
          <w:szCs w:val="22"/>
        </w:rPr>
        <w:t>La consultation du public est un élément essentiel du processus d’évaluation environnementale et un moyen de s’assurer que le projet intègre les préoccupations du public. Lors de la conduite de l’AEI, le</w:t>
      </w:r>
      <w:r w:rsidR="00EF2460">
        <w:rPr>
          <w:sz w:val="22"/>
          <w:szCs w:val="22"/>
        </w:rPr>
        <w:t>/la</w:t>
      </w:r>
      <w:r w:rsidRPr="00D47C37">
        <w:rPr>
          <w:sz w:val="22"/>
          <w:szCs w:val="22"/>
        </w:rPr>
        <w:t xml:space="preserve"> Consultant</w:t>
      </w:r>
      <w:r w:rsidR="00EF2460">
        <w:rPr>
          <w:sz w:val="22"/>
          <w:szCs w:val="22"/>
        </w:rPr>
        <w:t>(e)</w:t>
      </w:r>
      <w:r w:rsidRPr="00D47C37">
        <w:rPr>
          <w:sz w:val="22"/>
          <w:szCs w:val="22"/>
        </w:rPr>
        <w:t xml:space="preserve"> devra respecter les directives de la république de Guinée Bissau en matière de consultations et de participation des communautés impliquées, des organisations régionales et nationales intéressées, des ONG, des utilisateurs de la ressource et les services étatiques concernés. Plus particulièrement, ces directives exigent que </w:t>
      </w:r>
      <w:r w:rsidR="00D87E7F" w:rsidRPr="00176649">
        <w:rPr>
          <w:sz w:val="22"/>
          <w:szCs w:val="22"/>
        </w:rPr>
        <w:t>le</w:t>
      </w:r>
      <w:r w:rsidR="00D87E7F">
        <w:rPr>
          <w:sz w:val="22"/>
          <w:szCs w:val="22"/>
        </w:rPr>
        <w:t>/la</w:t>
      </w:r>
      <w:r w:rsidR="00D87E7F" w:rsidRPr="00176649">
        <w:rPr>
          <w:sz w:val="22"/>
          <w:szCs w:val="22"/>
        </w:rPr>
        <w:t xml:space="preserve"> </w:t>
      </w:r>
      <w:r w:rsidR="00D87E7F">
        <w:rPr>
          <w:sz w:val="22"/>
          <w:szCs w:val="22"/>
        </w:rPr>
        <w:t>c</w:t>
      </w:r>
      <w:r w:rsidR="00D87E7F" w:rsidRPr="00176649">
        <w:rPr>
          <w:sz w:val="22"/>
          <w:szCs w:val="22"/>
        </w:rPr>
        <w:t>onsultant</w:t>
      </w:r>
      <w:r w:rsidR="00D87E7F">
        <w:rPr>
          <w:sz w:val="22"/>
          <w:szCs w:val="22"/>
        </w:rPr>
        <w:t xml:space="preserve">(e) </w:t>
      </w:r>
      <w:r w:rsidRPr="00D47C37">
        <w:rPr>
          <w:sz w:val="22"/>
          <w:szCs w:val="22"/>
        </w:rPr>
        <w:t>fasse preuve de compréhension à l’égard des droits, intérêts, valeurs et préoccupations des acteurs et qu’il</w:t>
      </w:r>
      <w:r w:rsidR="00243040">
        <w:rPr>
          <w:sz w:val="22"/>
          <w:szCs w:val="22"/>
        </w:rPr>
        <w:t>/elle</w:t>
      </w:r>
      <w:r w:rsidRPr="00D47C37">
        <w:rPr>
          <w:sz w:val="22"/>
          <w:szCs w:val="22"/>
        </w:rPr>
        <w:t xml:space="preserve"> reconnaisse et respecte ceux-ci dans la planification et la mise en œuvre des activités du projet. Pour cette raison, des séances d’information seront organisées avec les autorités locales et les populations riveraines afin de leur présenter le projet dans un résumé simple et de recueillir leurs avis et suggestions afin de les prendre en compte si possible.</w:t>
      </w:r>
    </w:p>
    <w:p w:rsidR="00243040" w:rsidRPr="00D47C37" w:rsidRDefault="00243040" w:rsidP="00A76F4A">
      <w:pPr>
        <w:ind w:right="12"/>
        <w:jc w:val="both"/>
        <w:rPr>
          <w:sz w:val="22"/>
          <w:szCs w:val="22"/>
        </w:rPr>
      </w:pPr>
    </w:p>
    <w:p w:rsidR="00721441" w:rsidRPr="00D47C37" w:rsidRDefault="00721441" w:rsidP="00A76F4A">
      <w:pPr>
        <w:ind w:right="12"/>
        <w:jc w:val="both"/>
        <w:rPr>
          <w:sz w:val="22"/>
          <w:szCs w:val="22"/>
        </w:rPr>
      </w:pPr>
      <w:r w:rsidRPr="00D47C37">
        <w:rPr>
          <w:sz w:val="22"/>
          <w:szCs w:val="22"/>
        </w:rPr>
        <w:t>En effet, la consultation des parties prenantes constitue un élément clé de l’étude et devra se dérouler pendant toute la phase de réalisation de l’AEI. Elle devra permettre d’évaluer l’acceptabilité du projet par les populations riveraines, et préparer la mise en œuvre d’un plan de communication pour éviter d’éventuels conflits sociaux et faciliter l’acceptation du projet par les populations ; et à ce titre, un accent particulier devra être mis sur le volet information et sensibilisation. Ainsi, l’étude devra développer un plan de consultation du public. A cet effet, le consultant devra démontrer l’étendue des consultations qu’il aura menées pour recueillir l’avis des acteurs concernés sur la réalisation du projet et sur les mesures à prendre.</w:t>
      </w:r>
    </w:p>
    <w:p w:rsidR="00721441" w:rsidRPr="00D47C37" w:rsidRDefault="00721441" w:rsidP="00A76F4A">
      <w:pPr>
        <w:ind w:right="12"/>
        <w:jc w:val="both"/>
        <w:rPr>
          <w:sz w:val="22"/>
          <w:szCs w:val="22"/>
        </w:rPr>
      </w:pPr>
      <w:r w:rsidRPr="00D47C37">
        <w:rPr>
          <w:sz w:val="22"/>
          <w:szCs w:val="22"/>
        </w:rPr>
        <w:t xml:space="preserve">Le rapport devra refléter clairement un résumé des préoccupations majeures soulevées par les populations, les réponses que leur ont été fournies, et lesquelles de ces préoccupations ont été intégrées dans l’analyse des impacts et surtout l’identification et la détermination des coûts des mesures d’atténuation, de compensation ou de bonification. Le plan de consultation avec les méthodes/outils utilisés, les procès-verbaux, de même que la liste des personnes consultées devra être mis en annexe au rapport de l’AEI. </w:t>
      </w:r>
    </w:p>
    <w:p w:rsidR="00721441" w:rsidRPr="00D47C37" w:rsidRDefault="00721441" w:rsidP="00A76F4A">
      <w:pPr>
        <w:pStyle w:val="Default"/>
        <w:ind w:right="12"/>
        <w:jc w:val="both"/>
        <w:rPr>
          <w:rFonts w:ascii="Times New Roman" w:hAnsi="Times New Roman" w:cs="Times New Roman"/>
          <w:b/>
          <w:bCs/>
          <w:sz w:val="22"/>
          <w:szCs w:val="22"/>
        </w:rPr>
      </w:pPr>
    </w:p>
    <w:p w:rsidR="00721441" w:rsidRPr="00D47C37" w:rsidRDefault="00721441" w:rsidP="00A76F4A">
      <w:pPr>
        <w:pStyle w:val="Default"/>
        <w:numPr>
          <w:ilvl w:val="0"/>
          <w:numId w:val="276"/>
        </w:numPr>
        <w:ind w:right="12"/>
        <w:jc w:val="both"/>
        <w:rPr>
          <w:rFonts w:ascii="Times New Roman" w:hAnsi="Times New Roman" w:cs="Times New Roman"/>
          <w:b/>
          <w:bCs/>
          <w:sz w:val="22"/>
          <w:szCs w:val="22"/>
        </w:rPr>
      </w:pPr>
      <w:r w:rsidRPr="00D47C37">
        <w:rPr>
          <w:rFonts w:ascii="Times New Roman" w:hAnsi="Times New Roman" w:cs="Times New Roman"/>
          <w:b/>
          <w:bCs/>
          <w:sz w:val="22"/>
          <w:szCs w:val="22"/>
        </w:rPr>
        <w:t>Finalisation, remise officielle et approbation réglementaire du rapport final</w:t>
      </w:r>
    </w:p>
    <w:p w:rsidR="00721441" w:rsidRPr="00D47C37" w:rsidRDefault="00721441" w:rsidP="00A76F4A">
      <w:pPr>
        <w:ind w:right="12"/>
        <w:jc w:val="both"/>
        <w:rPr>
          <w:sz w:val="22"/>
          <w:szCs w:val="22"/>
        </w:rPr>
      </w:pPr>
      <w:r w:rsidRPr="00D47C37">
        <w:rPr>
          <w:sz w:val="22"/>
          <w:szCs w:val="22"/>
        </w:rPr>
        <w:t>Cette dernière étape est la finalisation du rapport d’AEI devant être remise aux autorités concernées (Ministère délégué à l’Environnement et la Banque mondiale) et diffusé au public et aux autres parties prenantes extérieures, pour consultation et commentaires éventuels.</w:t>
      </w:r>
    </w:p>
    <w:p w:rsidR="00721441" w:rsidRDefault="00721441" w:rsidP="00A76F4A">
      <w:pPr>
        <w:ind w:right="12"/>
        <w:jc w:val="both"/>
        <w:rPr>
          <w:sz w:val="22"/>
          <w:szCs w:val="22"/>
        </w:rPr>
      </w:pPr>
      <w:r w:rsidRPr="00D47C37">
        <w:rPr>
          <w:sz w:val="22"/>
          <w:szCs w:val="22"/>
        </w:rPr>
        <w:t>Le Certificat de Conformité officiel d’approbation de l’AEI pourra refléter les remarques et attentes de l’autorité compétente ainsi que les points reportés dans le PV de l’audience publique.</w:t>
      </w:r>
    </w:p>
    <w:p w:rsidR="00C36BCC" w:rsidRDefault="00C36BCC" w:rsidP="00A76F4A">
      <w:pPr>
        <w:ind w:right="12"/>
        <w:jc w:val="both"/>
        <w:rPr>
          <w:sz w:val="22"/>
          <w:szCs w:val="22"/>
        </w:rPr>
      </w:pPr>
    </w:p>
    <w:p w:rsidR="00C36BCC" w:rsidRDefault="00C36BCC" w:rsidP="00A76F4A">
      <w:pPr>
        <w:ind w:right="12"/>
        <w:jc w:val="both"/>
        <w:rPr>
          <w:sz w:val="22"/>
          <w:szCs w:val="22"/>
        </w:rPr>
      </w:pPr>
    </w:p>
    <w:p w:rsidR="00C36BCC" w:rsidRPr="00591801" w:rsidRDefault="00C36BCC" w:rsidP="00A76F4A">
      <w:pPr>
        <w:ind w:right="12"/>
        <w:jc w:val="both"/>
        <w:rPr>
          <w:sz w:val="22"/>
          <w:szCs w:val="22"/>
        </w:rPr>
      </w:pPr>
    </w:p>
    <w:p w:rsidR="00B81702" w:rsidRPr="00D47C37" w:rsidRDefault="00B81702" w:rsidP="00A76F4A">
      <w:pPr>
        <w:pStyle w:val="PargrafodaLista"/>
        <w:spacing w:before="240" w:after="240"/>
        <w:ind w:left="360" w:right="12"/>
        <w:jc w:val="both"/>
        <w:outlineLvl w:val="1"/>
        <w:rPr>
          <w:rFonts w:ascii="Times New Roman" w:hAnsi="Times New Roman"/>
          <w:b/>
          <w:sz w:val="22"/>
          <w:szCs w:val="22"/>
        </w:rPr>
      </w:pPr>
      <w:bookmarkStart w:id="724" w:name="_Toc504998506"/>
      <w:bookmarkStart w:id="725" w:name="_Toc504998574"/>
      <w:bookmarkStart w:id="726" w:name="_Toc504999531"/>
      <w:bookmarkStart w:id="727" w:name="_Toc504999563"/>
      <w:bookmarkStart w:id="728" w:name="_Toc505000595"/>
      <w:bookmarkStart w:id="729" w:name="_Toc505004242"/>
      <w:bookmarkStart w:id="730" w:name="_Toc16111293"/>
      <w:bookmarkStart w:id="731" w:name="_Toc75432396"/>
      <w:bookmarkEnd w:id="724"/>
      <w:bookmarkEnd w:id="725"/>
      <w:bookmarkEnd w:id="726"/>
      <w:bookmarkEnd w:id="727"/>
      <w:bookmarkEnd w:id="728"/>
      <w:bookmarkEnd w:id="729"/>
      <w:r w:rsidRPr="00D47C37">
        <w:rPr>
          <w:rFonts w:ascii="Times New Roman" w:hAnsi="Times New Roman"/>
          <w:b/>
          <w:sz w:val="22"/>
          <w:szCs w:val="22"/>
        </w:rPr>
        <w:lastRenderedPageBreak/>
        <w:t>Format de présentation de l’</w:t>
      </w:r>
      <w:bookmarkEnd w:id="730"/>
      <w:r w:rsidRPr="00D47C37">
        <w:rPr>
          <w:rFonts w:ascii="Times New Roman" w:hAnsi="Times New Roman"/>
          <w:b/>
          <w:sz w:val="22"/>
          <w:szCs w:val="22"/>
        </w:rPr>
        <w:t>Analyse environnemental initial (AEI)</w:t>
      </w:r>
      <w:bookmarkEnd w:id="731"/>
    </w:p>
    <w:p w:rsidR="00B81702" w:rsidRPr="00D47C37" w:rsidRDefault="00B81702" w:rsidP="00A76F4A">
      <w:pPr>
        <w:ind w:right="12"/>
        <w:jc w:val="both"/>
        <w:rPr>
          <w:sz w:val="22"/>
          <w:szCs w:val="22"/>
        </w:rPr>
      </w:pPr>
      <w:r w:rsidRPr="00D47C37">
        <w:rPr>
          <w:sz w:val="22"/>
          <w:szCs w:val="22"/>
        </w:rPr>
        <w:t>Le consultant produira un rapport d’AEI complet, respectant les normes de forme, et comportant obligatoirement les sections suivantes :</w:t>
      </w:r>
    </w:p>
    <w:p w:rsidR="00B81702" w:rsidRPr="00D47C37" w:rsidRDefault="00B81702" w:rsidP="00A76F4A">
      <w:pPr>
        <w:numPr>
          <w:ilvl w:val="0"/>
          <w:numId w:val="264"/>
        </w:numPr>
        <w:ind w:right="12"/>
        <w:jc w:val="both"/>
        <w:rPr>
          <w:sz w:val="22"/>
          <w:szCs w:val="22"/>
        </w:rPr>
      </w:pPr>
      <w:bookmarkStart w:id="732" w:name="_Toc16111294"/>
      <w:r w:rsidRPr="00D47C37">
        <w:rPr>
          <w:sz w:val="22"/>
          <w:szCs w:val="22"/>
        </w:rPr>
        <w:t>Page de garde</w:t>
      </w:r>
    </w:p>
    <w:p w:rsidR="00B81702" w:rsidRPr="00D47C37" w:rsidRDefault="00B81702" w:rsidP="00A76F4A">
      <w:pPr>
        <w:numPr>
          <w:ilvl w:val="0"/>
          <w:numId w:val="264"/>
        </w:numPr>
        <w:ind w:right="12"/>
        <w:jc w:val="both"/>
        <w:rPr>
          <w:sz w:val="22"/>
          <w:szCs w:val="22"/>
        </w:rPr>
      </w:pPr>
      <w:r w:rsidRPr="00D47C37">
        <w:rPr>
          <w:sz w:val="22"/>
          <w:szCs w:val="22"/>
        </w:rPr>
        <w:t>Table des matières</w:t>
      </w:r>
    </w:p>
    <w:p w:rsidR="00B81702" w:rsidRPr="00D47C37" w:rsidRDefault="00B81702" w:rsidP="00A76F4A">
      <w:pPr>
        <w:numPr>
          <w:ilvl w:val="0"/>
          <w:numId w:val="264"/>
        </w:numPr>
        <w:ind w:right="12"/>
        <w:jc w:val="both"/>
        <w:rPr>
          <w:sz w:val="22"/>
          <w:szCs w:val="22"/>
        </w:rPr>
      </w:pPr>
      <w:r w:rsidRPr="00D47C37">
        <w:rPr>
          <w:rFonts w:eastAsia="Calibri"/>
          <w:sz w:val="22"/>
          <w:szCs w:val="22"/>
        </w:rPr>
        <w:t>Liste des abréviations et acronymes ;</w:t>
      </w:r>
    </w:p>
    <w:p w:rsidR="00B81702" w:rsidRPr="00D47C37" w:rsidRDefault="00B81702" w:rsidP="00A76F4A">
      <w:pPr>
        <w:numPr>
          <w:ilvl w:val="0"/>
          <w:numId w:val="264"/>
        </w:numPr>
        <w:ind w:right="12"/>
        <w:jc w:val="both"/>
        <w:rPr>
          <w:sz w:val="22"/>
          <w:szCs w:val="22"/>
        </w:rPr>
      </w:pPr>
      <w:r w:rsidRPr="00D47C37">
        <w:rPr>
          <w:sz w:val="22"/>
          <w:szCs w:val="22"/>
        </w:rPr>
        <w:t>Résumé de l’étude en Portugais, en français ;</w:t>
      </w:r>
    </w:p>
    <w:p w:rsidR="00B81702" w:rsidRPr="00D47C37" w:rsidRDefault="00B81702" w:rsidP="00A76F4A">
      <w:pPr>
        <w:numPr>
          <w:ilvl w:val="0"/>
          <w:numId w:val="264"/>
        </w:numPr>
        <w:ind w:right="12"/>
        <w:jc w:val="both"/>
        <w:rPr>
          <w:sz w:val="22"/>
          <w:szCs w:val="22"/>
        </w:rPr>
      </w:pPr>
      <w:r w:rsidRPr="00D47C37">
        <w:rPr>
          <w:sz w:val="22"/>
          <w:szCs w:val="22"/>
        </w:rPr>
        <w:t>Introduction et justification de l’étude ;</w:t>
      </w:r>
    </w:p>
    <w:p w:rsidR="00B81702" w:rsidRPr="00D47C37" w:rsidRDefault="00B81702" w:rsidP="00A76F4A">
      <w:pPr>
        <w:numPr>
          <w:ilvl w:val="0"/>
          <w:numId w:val="264"/>
        </w:numPr>
        <w:ind w:right="12"/>
        <w:jc w:val="both"/>
        <w:rPr>
          <w:sz w:val="22"/>
          <w:szCs w:val="22"/>
        </w:rPr>
      </w:pPr>
      <w:r w:rsidRPr="00D47C37">
        <w:rPr>
          <w:sz w:val="22"/>
          <w:szCs w:val="22"/>
        </w:rPr>
        <w:t>Description du projet ;</w:t>
      </w:r>
    </w:p>
    <w:p w:rsidR="00B81702" w:rsidRPr="00D47C37" w:rsidRDefault="00B81702" w:rsidP="00A76F4A">
      <w:pPr>
        <w:numPr>
          <w:ilvl w:val="0"/>
          <w:numId w:val="264"/>
        </w:numPr>
        <w:ind w:right="12"/>
        <w:jc w:val="both"/>
        <w:rPr>
          <w:sz w:val="22"/>
          <w:szCs w:val="22"/>
        </w:rPr>
      </w:pPr>
      <w:r w:rsidRPr="00D47C37">
        <w:rPr>
          <w:sz w:val="22"/>
          <w:szCs w:val="22"/>
        </w:rPr>
        <w:t>Description et analyse de tous les éléments socioculturels et ressources naturelles susceptibles d’être affectés par le projet ;</w:t>
      </w:r>
    </w:p>
    <w:p w:rsidR="00B81702" w:rsidRPr="00D47C37" w:rsidRDefault="00B81702" w:rsidP="00A76F4A">
      <w:pPr>
        <w:numPr>
          <w:ilvl w:val="0"/>
          <w:numId w:val="264"/>
        </w:numPr>
        <w:ind w:right="12"/>
        <w:jc w:val="both"/>
        <w:rPr>
          <w:sz w:val="22"/>
          <w:szCs w:val="22"/>
        </w:rPr>
      </w:pPr>
      <w:r w:rsidRPr="00D47C37">
        <w:rPr>
          <w:sz w:val="22"/>
          <w:szCs w:val="22"/>
        </w:rPr>
        <w:t>Identification et évaluation des effets possibles de la mise en œuvre du projet sur l’environnement naturel et humain ;</w:t>
      </w:r>
    </w:p>
    <w:p w:rsidR="00B81702" w:rsidRPr="00D47C37" w:rsidRDefault="00B81702" w:rsidP="00A76F4A">
      <w:pPr>
        <w:numPr>
          <w:ilvl w:val="0"/>
          <w:numId w:val="264"/>
        </w:numPr>
        <w:ind w:right="12"/>
        <w:jc w:val="both"/>
        <w:rPr>
          <w:sz w:val="22"/>
          <w:szCs w:val="22"/>
        </w:rPr>
      </w:pPr>
      <w:r w:rsidRPr="00D47C37">
        <w:rPr>
          <w:sz w:val="22"/>
          <w:szCs w:val="22"/>
        </w:rPr>
        <w:t>Identification des mesures prévues pour éviter, réduire ou éliminer les effets dommageables du projet sur l’environnement ;</w:t>
      </w:r>
    </w:p>
    <w:p w:rsidR="00B81702" w:rsidRPr="00D47C37" w:rsidRDefault="00B81702" w:rsidP="00A76F4A">
      <w:pPr>
        <w:numPr>
          <w:ilvl w:val="0"/>
          <w:numId w:val="264"/>
        </w:numPr>
        <w:ind w:right="12"/>
        <w:jc w:val="both"/>
        <w:rPr>
          <w:sz w:val="22"/>
          <w:szCs w:val="22"/>
        </w:rPr>
      </w:pPr>
      <w:r w:rsidRPr="00D47C37">
        <w:rPr>
          <w:sz w:val="22"/>
          <w:szCs w:val="22"/>
        </w:rPr>
        <w:t xml:space="preserve">Plan de gestion environnementale et sociale (PGES) comportant : </w:t>
      </w:r>
    </w:p>
    <w:p w:rsidR="00B81702" w:rsidRPr="00D47C37" w:rsidRDefault="00B81702" w:rsidP="00A76F4A">
      <w:pPr>
        <w:pStyle w:val="Corpodetexto"/>
        <w:numPr>
          <w:ilvl w:val="0"/>
          <w:numId w:val="268"/>
        </w:numPr>
        <w:spacing w:before="0" w:after="0" w:line="276" w:lineRule="auto"/>
        <w:ind w:left="993" w:right="12" w:hanging="284"/>
        <w:jc w:val="both"/>
        <w:rPr>
          <w:rFonts w:ascii="Times New Roman" w:eastAsia="Calibri" w:hAnsi="Times New Roman"/>
          <w:sz w:val="22"/>
          <w:szCs w:val="22"/>
        </w:rPr>
      </w:pPr>
      <w:r w:rsidRPr="00D47C37">
        <w:rPr>
          <w:rFonts w:ascii="Times New Roman" w:eastAsia="Calibri" w:hAnsi="Times New Roman"/>
          <w:sz w:val="22"/>
          <w:szCs w:val="22"/>
        </w:rPr>
        <w:t>les mécanismes de surveillance du projet et de suivi environnemental,</w:t>
      </w:r>
    </w:p>
    <w:p w:rsidR="00B81702" w:rsidRPr="00D47C37" w:rsidRDefault="00B81702" w:rsidP="00A76F4A">
      <w:pPr>
        <w:pStyle w:val="Corpodetexto"/>
        <w:numPr>
          <w:ilvl w:val="0"/>
          <w:numId w:val="268"/>
        </w:numPr>
        <w:spacing w:before="0" w:after="0" w:line="276" w:lineRule="auto"/>
        <w:ind w:left="993" w:right="12" w:hanging="284"/>
        <w:jc w:val="both"/>
        <w:rPr>
          <w:rFonts w:ascii="Times New Roman" w:eastAsia="Calibri" w:hAnsi="Times New Roman"/>
          <w:sz w:val="22"/>
          <w:szCs w:val="22"/>
        </w:rPr>
      </w:pPr>
      <w:r w:rsidRPr="00D47C37">
        <w:rPr>
          <w:rFonts w:ascii="Times New Roman" w:eastAsia="Calibri" w:hAnsi="Times New Roman"/>
          <w:sz w:val="22"/>
          <w:szCs w:val="22"/>
        </w:rPr>
        <w:t>les mesures d’atténuation environnementale et estimation des coûts de ces mesures </w:t>
      </w:r>
    </w:p>
    <w:p w:rsidR="00B81702" w:rsidRPr="00D47C37" w:rsidRDefault="00B81702" w:rsidP="00A76F4A">
      <w:pPr>
        <w:pStyle w:val="Corpodetexto"/>
        <w:numPr>
          <w:ilvl w:val="0"/>
          <w:numId w:val="268"/>
        </w:numPr>
        <w:spacing w:before="0" w:after="0" w:line="276" w:lineRule="auto"/>
        <w:ind w:left="993" w:right="12" w:hanging="284"/>
        <w:jc w:val="both"/>
        <w:rPr>
          <w:rFonts w:ascii="Times New Roman" w:eastAsia="Calibri" w:hAnsi="Times New Roman"/>
          <w:sz w:val="22"/>
          <w:szCs w:val="22"/>
        </w:rPr>
      </w:pPr>
      <w:r w:rsidRPr="00D47C37">
        <w:rPr>
          <w:rFonts w:ascii="Times New Roman" w:eastAsia="Calibri" w:hAnsi="Times New Roman"/>
          <w:sz w:val="22"/>
          <w:szCs w:val="22"/>
        </w:rPr>
        <w:t>le renforcement de capacités et formation institutionnelle pour superviser le PGES;</w:t>
      </w:r>
    </w:p>
    <w:p w:rsidR="00B81702" w:rsidRPr="00D47C37" w:rsidRDefault="00B81702" w:rsidP="00A76F4A">
      <w:pPr>
        <w:pStyle w:val="Corpodetexto"/>
        <w:numPr>
          <w:ilvl w:val="0"/>
          <w:numId w:val="266"/>
        </w:numPr>
        <w:tabs>
          <w:tab w:val="clear" w:pos="720"/>
          <w:tab w:val="num" w:pos="540"/>
        </w:tabs>
        <w:spacing w:before="0" w:after="0" w:line="276" w:lineRule="auto"/>
        <w:ind w:left="540" w:right="12" w:hanging="180"/>
        <w:jc w:val="both"/>
        <w:rPr>
          <w:rFonts w:ascii="Times New Roman" w:eastAsia="Calibri" w:hAnsi="Times New Roman"/>
          <w:sz w:val="22"/>
          <w:szCs w:val="22"/>
        </w:rPr>
      </w:pPr>
      <w:r w:rsidRPr="00D47C37">
        <w:rPr>
          <w:rFonts w:ascii="Times New Roman" w:eastAsia="Calibri" w:hAnsi="Times New Roman"/>
          <w:sz w:val="22"/>
          <w:szCs w:val="22"/>
        </w:rPr>
        <w:t>Annexes :</w:t>
      </w:r>
    </w:p>
    <w:p w:rsidR="00B81702" w:rsidRPr="00D47C37" w:rsidRDefault="00B81702" w:rsidP="00A76F4A">
      <w:pPr>
        <w:pStyle w:val="Corpodetexto"/>
        <w:numPr>
          <w:ilvl w:val="0"/>
          <w:numId w:val="267"/>
        </w:numPr>
        <w:tabs>
          <w:tab w:val="clear" w:pos="1440"/>
          <w:tab w:val="num" w:pos="900"/>
        </w:tabs>
        <w:spacing w:before="0" w:after="0" w:line="276" w:lineRule="auto"/>
        <w:ind w:left="900" w:right="12" w:hanging="180"/>
        <w:jc w:val="both"/>
        <w:rPr>
          <w:rFonts w:ascii="Times New Roman" w:eastAsia="Calibri" w:hAnsi="Times New Roman"/>
          <w:sz w:val="22"/>
          <w:szCs w:val="22"/>
        </w:rPr>
      </w:pPr>
      <w:r w:rsidRPr="00D47C37">
        <w:rPr>
          <w:rFonts w:ascii="Times New Roman" w:eastAsia="Calibri" w:hAnsi="Times New Roman"/>
          <w:sz w:val="22"/>
          <w:szCs w:val="22"/>
        </w:rPr>
        <w:t>Programme de sensibilisation et d’information ainsi que les procès-verbaux des réunions tenues avec les populations, les organisations non gouvernementales, les syndicats, les leaders d’opinions et autres groupes organisés, concernés par le projet ;</w:t>
      </w:r>
    </w:p>
    <w:p w:rsidR="00B81702" w:rsidRPr="00D47C37" w:rsidRDefault="00B81702" w:rsidP="00A76F4A">
      <w:pPr>
        <w:pStyle w:val="Corpodetexto"/>
        <w:numPr>
          <w:ilvl w:val="0"/>
          <w:numId w:val="267"/>
        </w:numPr>
        <w:tabs>
          <w:tab w:val="clear" w:pos="1440"/>
          <w:tab w:val="num" w:pos="900"/>
        </w:tabs>
        <w:spacing w:before="0" w:after="0" w:line="276" w:lineRule="auto"/>
        <w:ind w:left="900" w:right="12" w:hanging="180"/>
        <w:jc w:val="both"/>
        <w:rPr>
          <w:rFonts w:ascii="Times New Roman" w:eastAsia="Calibri" w:hAnsi="Times New Roman"/>
          <w:sz w:val="22"/>
          <w:szCs w:val="22"/>
        </w:rPr>
      </w:pPr>
      <w:r w:rsidRPr="00D47C37">
        <w:rPr>
          <w:rFonts w:ascii="Times New Roman" w:eastAsia="Calibri" w:hAnsi="Times New Roman"/>
          <w:sz w:val="22"/>
          <w:szCs w:val="22"/>
        </w:rPr>
        <w:t>Listes des personnes consultées ;</w:t>
      </w:r>
    </w:p>
    <w:p w:rsidR="00B81702" w:rsidRPr="00D47C37" w:rsidRDefault="00B81702" w:rsidP="00A76F4A">
      <w:pPr>
        <w:pStyle w:val="Corpodetexto"/>
        <w:numPr>
          <w:ilvl w:val="0"/>
          <w:numId w:val="267"/>
        </w:numPr>
        <w:tabs>
          <w:tab w:val="clear" w:pos="1440"/>
          <w:tab w:val="num" w:pos="900"/>
        </w:tabs>
        <w:spacing w:before="0" w:after="0" w:line="276" w:lineRule="auto"/>
        <w:ind w:left="900" w:right="12" w:hanging="180"/>
        <w:jc w:val="both"/>
        <w:rPr>
          <w:rFonts w:ascii="Times New Roman" w:eastAsia="Calibri" w:hAnsi="Times New Roman"/>
          <w:sz w:val="22"/>
          <w:szCs w:val="22"/>
        </w:rPr>
      </w:pPr>
      <w:r w:rsidRPr="00D47C37">
        <w:rPr>
          <w:rFonts w:ascii="Times New Roman" w:eastAsia="Calibri" w:hAnsi="Times New Roman"/>
          <w:sz w:val="22"/>
          <w:szCs w:val="22"/>
        </w:rPr>
        <w:t>Termes de Référence de l’étude ;</w:t>
      </w:r>
    </w:p>
    <w:p w:rsidR="00B81702" w:rsidRDefault="00B81702" w:rsidP="00A76F4A">
      <w:pPr>
        <w:pStyle w:val="Corpodetexto"/>
        <w:numPr>
          <w:ilvl w:val="0"/>
          <w:numId w:val="267"/>
        </w:numPr>
        <w:tabs>
          <w:tab w:val="clear" w:pos="1440"/>
          <w:tab w:val="num" w:pos="900"/>
        </w:tabs>
        <w:spacing w:before="0" w:after="0" w:line="276" w:lineRule="auto"/>
        <w:ind w:left="900" w:right="12" w:hanging="180"/>
        <w:jc w:val="both"/>
        <w:rPr>
          <w:rFonts w:ascii="Times New Roman" w:eastAsia="Calibri" w:hAnsi="Times New Roman"/>
          <w:sz w:val="22"/>
          <w:szCs w:val="22"/>
        </w:rPr>
      </w:pPr>
      <w:r w:rsidRPr="00D47C37">
        <w:rPr>
          <w:rFonts w:ascii="Times New Roman" w:eastAsia="Calibri" w:hAnsi="Times New Roman"/>
          <w:sz w:val="22"/>
          <w:szCs w:val="22"/>
        </w:rPr>
        <w:t>Références bibliographiques ;</w:t>
      </w:r>
    </w:p>
    <w:p w:rsidR="001857BC" w:rsidRPr="00D47C37" w:rsidRDefault="001857BC" w:rsidP="001857BC">
      <w:pPr>
        <w:pStyle w:val="Corpodetexto"/>
        <w:spacing w:before="0" w:after="0" w:line="276" w:lineRule="auto"/>
        <w:ind w:left="900" w:right="12"/>
        <w:jc w:val="both"/>
        <w:rPr>
          <w:rFonts w:ascii="Times New Roman" w:eastAsia="Calibri" w:hAnsi="Times New Roman"/>
          <w:sz w:val="22"/>
          <w:szCs w:val="22"/>
        </w:rPr>
      </w:pPr>
    </w:p>
    <w:p w:rsidR="00B81702" w:rsidRPr="001D0CEB" w:rsidRDefault="00B81702" w:rsidP="00A76F4A">
      <w:pPr>
        <w:pStyle w:val="Default"/>
        <w:spacing w:after="120"/>
        <w:ind w:left="360" w:right="12"/>
        <w:jc w:val="both"/>
        <w:rPr>
          <w:rFonts w:ascii="Times New Roman" w:hAnsi="Times New Roman"/>
          <w:b/>
          <w:sz w:val="22"/>
          <w:szCs w:val="22"/>
        </w:rPr>
      </w:pPr>
      <w:bookmarkStart w:id="733" w:name="_Toc16111296"/>
      <w:bookmarkEnd w:id="732"/>
      <w:r w:rsidRPr="001D0CEB">
        <w:rPr>
          <w:rFonts w:ascii="Times New Roman" w:hAnsi="Times New Roman"/>
          <w:b/>
          <w:sz w:val="22"/>
          <w:szCs w:val="22"/>
        </w:rPr>
        <w:t>COMPOSITION DE L’EQUIPE DU CONSULTANT</w:t>
      </w:r>
      <w:bookmarkEnd w:id="733"/>
    </w:p>
    <w:p w:rsidR="00B81702" w:rsidRPr="00543178" w:rsidRDefault="00B81702" w:rsidP="00A76F4A">
      <w:pPr>
        <w:ind w:right="12"/>
        <w:jc w:val="both"/>
        <w:rPr>
          <w:sz w:val="22"/>
          <w:szCs w:val="22"/>
        </w:rPr>
      </w:pPr>
      <w:r w:rsidRPr="00543178">
        <w:rPr>
          <w:sz w:val="22"/>
          <w:szCs w:val="22"/>
        </w:rPr>
        <w:t xml:space="preserve">Le Consultant mettra en place les ressources humaines nécessaires au niveau quantité et qualité pour réaliser un travail d’excellence qualité. La composition de l’équipe et la durée d’intervention de chacun des membres sont laissées à l’appréciation du Consultant. Toutefois, les compétences minimales suivantes sont requises dans l’équipe : </w:t>
      </w:r>
    </w:p>
    <w:p w:rsidR="00B81702" w:rsidRPr="00543178" w:rsidRDefault="00B81702" w:rsidP="00A76F4A">
      <w:pPr>
        <w:numPr>
          <w:ilvl w:val="0"/>
          <w:numId w:val="264"/>
        </w:numPr>
        <w:ind w:right="12"/>
        <w:jc w:val="both"/>
        <w:rPr>
          <w:sz w:val="22"/>
          <w:szCs w:val="22"/>
        </w:rPr>
      </w:pPr>
      <w:r w:rsidRPr="00543178">
        <w:rPr>
          <w:sz w:val="22"/>
          <w:szCs w:val="22"/>
        </w:rPr>
        <w:t>Un Chef de mission, expert en gestion de l’environnement (Bac+5), justifiante des compétences et d’une bonne expérience dans la gestion participative. Il devra impérativement avoir mené au moins cinq (10) études d’importance comparable. Il devra justifier d’au moins cinq (10) ans d’expérience générale ;</w:t>
      </w:r>
    </w:p>
    <w:p w:rsidR="00B81702" w:rsidRPr="00543178" w:rsidRDefault="00B81702" w:rsidP="00A76F4A">
      <w:pPr>
        <w:numPr>
          <w:ilvl w:val="0"/>
          <w:numId w:val="264"/>
        </w:numPr>
        <w:ind w:right="12"/>
        <w:jc w:val="both"/>
        <w:rPr>
          <w:sz w:val="22"/>
          <w:szCs w:val="22"/>
        </w:rPr>
      </w:pPr>
      <w:r w:rsidRPr="00543178">
        <w:rPr>
          <w:sz w:val="22"/>
          <w:szCs w:val="22"/>
        </w:rPr>
        <w:t>un Ingénieur du Génie Civil (Bac + 5) ayant au moins cinq (5) d’expérience ;</w:t>
      </w:r>
    </w:p>
    <w:p w:rsidR="00B81702" w:rsidRPr="00543178" w:rsidRDefault="00B81702" w:rsidP="00A76F4A">
      <w:pPr>
        <w:numPr>
          <w:ilvl w:val="0"/>
          <w:numId w:val="264"/>
        </w:numPr>
        <w:ind w:right="12"/>
        <w:jc w:val="both"/>
        <w:rPr>
          <w:sz w:val="22"/>
          <w:szCs w:val="22"/>
        </w:rPr>
      </w:pPr>
      <w:r w:rsidRPr="00543178">
        <w:rPr>
          <w:sz w:val="22"/>
          <w:szCs w:val="22"/>
        </w:rPr>
        <w:t>une socio économiste justifiant d’au moins cinq ans d’expérience dans ce domaine.</w:t>
      </w:r>
    </w:p>
    <w:p w:rsidR="00B81702" w:rsidRPr="00543178" w:rsidRDefault="00B81702" w:rsidP="00A76F4A">
      <w:pPr>
        <w:numPr>
          <w:ilvl w:val="0"/>
          <w:numId w:val="264"/>
        </w:numPr>
        <w:ind w:right="12"/>
        <w:jc w:val="both"/>
        <w:rPr>
          <w:sz w:val="22"/>
          <w:szCs w:val="22"/>
        </w:rPr>
      </w:pPr>
      <w:r w:rsidRPr="00543178">
        <w:rPr>
          <w:sz w:val="22"/>
          <w:szCs w:val="22"/>
        </w:rPr>
        <w:t>Une juriste justifiant d’au moins cinq ans d’expérience dans ce domaine.</w:t>
      </w:r>
    </w:p>
    <w:p w:rsidR="00B81702" w:rsidRPr="00543178" w:rsidRDefault="00B81702" w:rsidP="00A76F4A">
      <w:pPr>
        <w:autoSpaceDE w:val="0"/>
        <w:autoSpaceDN w:val="0"/>
        <w:adjustRightInd w:val="0"/>
        <w:spacing w:before="240" w:after="120"/>
        <w:ind w:right="12"/>
        <w:jc w:val="both"/>
        <w:rPr>
          <w:b/>
          <w:sz w:val="22"/>
          <w:szCs w:val="22"/>
        </w:rPr>
      </w:pPr>
      <w:bookmarkStart w:id="734" w:name="_Toc504991705"/>
      <w:bookmarkStart w:id="735" w:name="_Toc504992040"/>
      <w:bookmarkStart w:id="736" w:name="_Toc504995709"/>
      <w:bookmarkStart w:id="737" w:name="_Toc504991706"/>
      <w:bookmarkStart w:id="738" w:name="_Toc504992041"/>
      <w:bookmarkStart w:id="739" w:name="_Toc504995710"/>
      <w:bookmarkEnd w:id="734"/>
      <w:bookmarkEnd w:id="735"/>
      <w:bookmarkEnd w:id="736"/>
      <w:bookmarkEnd w:id="737"/>
      <w:bookmarkEnd w:id="738"/>
      <w:bookmarkEnd w:id="739"/>
      <w:r w:rsidRPr="00543178">
        <w:rPr>
          <w:b/>
          <w:color w:val="000000"/>
          <w:sz w:val="22"/>
          <w:szCs w:val="22"/>
        </w:rPr>
        <w:t>Format des Rapports</w:t>
      </w:r>
    </w:p>
    <w:p w:rsidR="00B81702" w:rsidRPr="00543178" w:rsidRDefault="00B81702" w:rsidP="00A76F4A">
      <w:pPr>
        <w:spacing w:after="120"/>
        <w:ind w:right="12"/>
        <w:jc w:val="both"/>
        <w:rPr>
          <w:color w:val="000000"/>
          <w:sz w:val="22"/>
          <w:szCs w:val="22"/>
        </w:rPr>
      </w:pPr>
      <w:r w:rsidRPr="00543178">
        <w:rPr>
          <w:color w:val="000000"/>
          <w:sz w:val="22"/>
          <w:szCs w:val="22"/>
        </w:rPr>
        <w:t>Selon la loi sur l’évaluation environnementale, chaque dossier de l’AEI, soit provisoire et/ou version définitive, comprendra de façon séparée (i) un Résumé Non Technique - RNT, (ii) Rapport Technique et ses annexes – RT.</w:t>
      </w:r>
    </w:p>
    <w:p w:rsidR="00B81702" w:rsidRPr="00543178" w:rsidRDefault="00B81702" w:rsidP="00A76F4A">
      <w:pPr>
        <w:spacing w:after="120"/>
        <w:ind w:right="12"/>
        <w:jc w:val="both"/>
        <w:rPr>
          <w:sz w:val="22"/>
          <w:szCs w:val="22"/>
        </w:rPr>
      </w:pPr>
      <w:r w:rsidRPr="00543178">
        <w:rPr>
          <w:color w:val="000000"/>
          <w:sz w:val="22"/>
          <w:szCs w:val="22"/>
        </w:rPr>
        <w:t>Pour le Rapport Technique, il comprendra un résumé analytique, en français, anglais et portugais, récapitulant les principales découvertes ou principes majeurs du document.</w:t>
      </w:r>
    </w:p>
    <w:p w:rsidR="00B81702" w:rsidRPr="00543178" w:rsidRDefault="00B81702" w:rsidP="00A76F4A">
      <w:pPr>
        <w:spacing w:after="120"/>
        <w:ind w:right="12"/>
        <w:jc w:val="both"/>
        <w:rPr>
          <w:sz w:val="22"/>
          <w:szCs w:val="22"/>
        </w:rPr>
      </w:pPr>
      <w:r w:rsidRPr="00543178">
        <w:rPr>
          <w:color w:val="000000"/>
          <w:sz w:val="22"/>
          <w:szCs w:val="22"/>
        </w:rPr>
        <w:t>Chaque document à livrer, soit provisoire et/ou version définitive, sera fourni en cinq exemplaires sur papier avec une copie sur Clé USB ou CD sous formats Word 2016 et PDF.</w:t>
      </w:r>
    </w:p>
    <w:p w:rsidR="00B81702" w:rsidRPr="00543178" w:rsidRDefault="00B81702" w:rsidP="00A76F4A">
      <w:pPr>
        <w:spacing w:after="120"/>
        <w:ind w:right="12"/>
        <w:jc w:val="both"/>
        <w:rPr>
          <w:sz w:val="22"/>
          <w:szCs w:val="22"/>
        </w:rPr>
      </w:pPr>
      <w:r w:rsidRPr="00543178">
        <w:rPr>
          <w:color w:val="000000"/>
          <w:sz w:val="22"/>
          <w:szCs w:val="22"/>
        </w:rPr>
        <w:lastRenderedPageBreak/>
        <w:t>Il faut noter que tous les documents qui seront soumis à AAAC pour la validation selon la loi nº 10/2010 de 24 septembre doit être traduit en langues portugaise.</w:t>
      </w:r>
    </w:p>
    <w:p w:rsidR="00B81702" w:rsidRPr="00543178" w:rsidRDefault="00B81702" w:rsidP="00A76F4A">
      <w:pPr>
        <w:spacing w:after="120"/>
        <w:ind w:right="12"/>
        <w:jc w:val="both"/>
        <w:rPr>
          <w:sz w:val="22"/>
          <w:szCs w:val="22"/>
        </w:rPr>
      </w:pPr>
      <w:r w:rsidRPr="00543178">
        <w:rPr>
          <w:color w:val="000000"/>
          <w:sz w:val="22"/>
          <w:szCs w:val="22"/>
        </w:rPr>
        <w:t>A titre de rappel, chaque document doit se conformer aux exigences des politiques et de la législation du Gouvernement de Guinée-Bissau et des politiques de sauvegarde de la Banque Mondiale.</w:t>
      </w:r>
    </w:p>
    <w:p w:rsidR="00B81702" w:rsidRPr="00A05698" w:rsidRDefault="00B81702" w:rsidP="00E72CB1">
      <w:pPr>
        <w:autoSpaceDE w:val="0"/>
        <w:autoSpaceDN w:val="0"/>
        <w:adjustRightInd w:val="0"/>
        <w:jc w:val="both"/>
      </w:pPr>
    </w:p>
    <w:p w:rsidR="00FF19FC" w:rsidRPr="00A05698" w:rsidRDefault="00FF19FC" w:rsidP="004F4212">
      <w:pPr>
        <w:autoSpaceDE w:val="0"/>
        <w:autoSpaceDN w:val="0"/>
        <w:adjustRightInd w:val="0"/>
        <w:ind w:left="709"/>
        <w:jc w:val="both"/>
      </w:pPr>
    </w:p>
    <w:sectPr w:rsidR="00FF19FC" w:rsidRPr="00A05698" w:rsidSect="00D47C37">
      <w:pgSz w:w="11906" w:h="16838"/>
      <w:pgMar w:top="1411" w:right="1411" w:bottom="1411" w:left="1411" w:header="317"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203" w:rsidRDefault="004E1203" w:rsidP="00A45EEC">
      <w:r>
        <w:separator/>
      </w:r>
    </w:p>
  </w:endnote>
  <w:endnote w:type="continuationSeparator" w:id="0">
    <w:p w:rsidR="004E1203" w:rsidRDefault="004E1203" w:rsidP="00A45EEC">
      <w:r>
        <w:continuationSeparator/>
      </w:r>
    </w:p>
  </w:endnote>
  <w:endnote w:type="continuationNotice" w:id="1">
    <w:p w:rsidR="004E1203" w:rsidRDefault="004E1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Gras">
    <w:charset w:val="00"/>
    <w:family w:val="roman"/>
    <w:pitch w:val="variable"/>
    <w:sig w:usb0="E0002AEF" w:usb1="C0007841" w:usb2="00000009" w:usb3="00000000" w:csb0="000001FF" w:csb1="00000000"/>
  </w:font>
  <w:font w:name="Myriad Pro Black">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Myriad Web Pro">
    <w:altName w:val="Times New Roman"/>
    <w:panose1 w:val="020B0503030403020204"/>
    <w:charset w:val="00"/>
    <w:family w:val="swiss"/>
    <w:pitch w:val="variable"/>
    <w:sig w:usb0="8000002F" w:usb1="5000204A" w:usb2="00000000" w:usb3="00000000" w:csb0="00000093" w:csb1="00000000"/>
  </w:font>
  <w:font w:name="Yu Mincho">
    <w:charset w:val="80"/>
    <w:family w:val="roman"/>
    <w:pitch w:val="variable"/>
    <w:sig w:usb0="800002E7" w:usb1="2AC7FCFF" w:usb2="00000012" w:usb3="00000000" w:csb0="0002009F" w:csb1="00000000"/>
  </w:font>
  <w:font w:name="AMERICAN TYPEWRITER SEMIBOLD">
    <w:charset w:val="4D"/>
    <w:family w:val="roman"/>
    <w:pitch w:val="variable"/>
    <w:sig w:usb0="A000006F" w:usb1="00000019" w:usb2="00000000" w:usb3="00000000" w:csb0="00000111"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hicago">
    <w:altName w:val="Arial"/>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altName w:val="Symbol"/>
    <w:charset w:val="02"/>
    <w:family w:val="auto"/>
    <w:pitch w:val="variable"/>
    <w:sig w:usb0="00000000" w:usb1="10000000" w:usb2="00000000" w:usb3="00000000" w:csb0="80000000" w:csb1="00000000"/>
  </w:font>
  <w:font w:name="CourierNew">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Mincho">
    <w:altName w:val="Malgun Gothic Semilight"/>
    <w:panose1 w:val="020B0500000000000000"/>
    <w:charset w:val="80"/>
    <w:family w:val="roman"/>
    <w:notTrueType/>
    <w:pitch w:val="fixed"/>
    <w:sig w:usb0="00000000" w:usb1="08070000" w:usb2="00000010" w:usb3="00000000" w:csb0="00020000" w:csb1="00000000"/>
  </w:font>
  <w:font w:name="inherit;Times New 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D8" w:rsidRDefault="007125D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642" w:rsidRPr="00DC55B2" w:rsidRDefault="00293642" w:rsidP="0079113A">
    <w:pPr>
      <w:pStyle w:val="Rodap"/>
      <w:pBdr>
        <w:bottom w:val="single" w:sz="4" w:space="1" w:color="auto"/>
      </w:pBdr>
      <w:jc w:val="right"/>
      <w:rPr>
        <w:color w:val="5B9BD5" w:themeColor="accent1"/>
        <w:u w:val="single"/>
      </w:rPr>
    </w:pPr>
    <w:r>
      <w:rPr>
        <w:noProof/>
        <w:color w:val="000000" w:themeColor="text1"/>
        <w:sz w:val="32"/>
        <w:szCs w:val="32"/>
        <w:lang w:val="pt-PT" w:eastAsia="pt-PT"/>
      </w:rPr>
      <w:drawing>
        <wp:anchor distT="0" distB="0" distL="114300" distR="114300" simplePos="0" relativeHeight="251658253" behindDoc="1" locked="0" layoutInCell="1" allowOverlap="1" wp14:anchorId="0A391C36" wp14:editId="4BFBEB8E">
          <wp:simplePos x="0" y="0"/>
          <wp:positionH relativeFrom="leftMargin">
            <wp:posOffset>220490</wp:posOffset>
          </wp:positionH>
          <wp:positionV relativeFrom="page">
            <wp:posOffset>10072290</wp:posOffset>
          </wp:positionV>
          <wp:extent cx="535940" cy="447040"/>
          <wp:effectExtent l="0" t="0" r="0" b="0"/>
          <wp:wrapTight wrapText="bothSides">
            <wp:wrapPolygon edited="0">
              <wp:start x="4607" y="0"/>
              <wp:lineTo x="0" y="3682"/>
              <wp:lineTo x="0" y="17489"/>
              <wp:lineTo x="4607" y="20250"/>
              <wp:lineTo x="6910" y="20250"/>
              <wp:lineTo x="14588" y="20250"/>
              <wp:lineTo x="15355" y="20250"/>
              <wp:lineTo x="20730" y="16568"/>
              <wp:lineTo x="20730" y="11966"/>
              <wp:lineTo x="19962" y="0"/>
              <wp:lineTo x="4607" y="0"/>
            </wp:wrapPolygon>
          </wp:wrapTight>
          <wp:docPr id="4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 cstate="email">
                    <a:extLst>
                      <a:ext uri="{28A0092B-C50C-407E-A947-70E740481C1C}">
                        <a14:useLocalDpi xmlns:a14="http://schemas.microsoft.com/office/drawing/2010/main"/>
                      </a:ext>
                    </a:extLst>
                  </a:blip>
                  <a:stretch>
                    <a:fillRect/>
                  </a:stretch>
                </pic:blipFill>
                <pic:spPr>
                  <a:xfrm>
                    <a:off x="0" y="0"/>
                    <a:ext cx="535940" cy="447040"/>
                  </a:xfrm>
                  <a:prstGeom prst="rect">
                    <a:avLst/>
                  </a:prstGeom>
                </pic:spPr>
              </pic:pic>
            </a:graphicData>
          </a:graphic>
          <wp14:sizeRelH relativeFrom="margin">
            <wp14:pctWidth>0</wp14:pctWidth>
          </wp14:sizeRelH>
          <wp14:sizeRelV relativeFrom="margin">
            <wp14:pctHeight>0</wp14:pctHeight>
          </wp14:sizeRelV>
        </wp:anchor>
      </w:drawing>
    </w:r>
    <w:r w:rsidRPr="00DC55B2">
      <w:rPr>
        <w:color w:val="5B9BD5" w:themeColor="accent1"/>
        <w:u w:val="single"/>
      </w:rPr>
      <w:t xml:space="preserve">Page </w:t>
    </w:r>
    <w:r w:rsidRPr="00DC55B2">
      <w:rPr>
        <w:color w:val="5B9BD5" w:themeColor="accent1"/>
        <w:u w:val="single"/>
      </w:rPr>
      <w:fldChar w:fldCharType="begin"/>
    </w:r>
    <w:r>
      <w:rPr>
        <w:color w:val="5B9BD5" w:themeColor="accent1"/>
        <w:u w:val="single"/>
      </w:rPr>
      <w:instrText>PAGE</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2623EB">
      <w:rPr>
        <w:noProof/>
        <w:color w:val="5B9BD5" w:themeColor="accent1"/>
        <w:u w:val="single"/>
      </w:rPr>
      <w:t>84</w:t>
    </w:r>
    <w:r w:rsidRPr="00DC55B2">
      <w:rPr>
        <w:color w:val="5B9BD5" w:themeColor="accent1"/>
        <w:u w:val="single"/>
      </w:rPr>
      <w:fldChar w:fldCharType="end"/>
    </w:r>
    <w:r w:rsidRPr="00DC55B2">
      <w:rPr>
        <w:color w:val="5B9BD5" w:themeColor="accent1"/>
        <w:u w:val="single"/>
      </w:rPr>
      <w:t xml:space="preserve"> sur </w:t>
    </w:r>
    <w:r w:rsidRPr="00DC55B2">
      <w:rPr>
        <w:color w:val="5B9BD5" w:themeColor="accent1"/>
        <w:u w:val="single"/>
      </w:rPr>
      <w:fldChar w:fldCharType="begin"/>
    </w:r>
    <w:r>
      <w:rPr>
        <w:color w:val="5B9BD5" w:themeColor="accent1"/>
        <w:u w:val="single"/>
      </w:rPr>
      <w:instrText>NUMPAGES</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2623EB">
      <w:rPr>
        <w:noProof/>
        <w:color w:val="5B9BD5" w:themeColor="accent1"/>
        <w:u w:val="single"/>
      </w:rPr>
      <w:t>86</w:t>
    </w:r>
    <w:r w:rsidRPr="00DC55B2">
      <w:rPr>
        <w:color w:val="5B9BD5" w:themeColor="accent1"/>
        <w:u w:val="single"/>
      </w:rPr>
      <w:fldChar w:fldCharType="end"/>
    </w:r>
  </w:p>
  <w:p w:rsidR="00293642" w:rsidRPr="00242805" w:rsidRDefault="00293642" w:rsidP="0079113A">
    <w:pPr>
      <w:pStyle w:val="Rodap"/>
    </w:pPr>
  </w:p>
  <w:p w:rsidR="00293642" w:rsidRPr="0022298A" w:rsidRDefault="00293642" w:rsidP="00242A77">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D8" w:rsidRDefault="007125D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642" w:rsidRPr="00DC55B2" w:rsidRDefault="00293642" w:rsidP="00242805">
    <w:pPr>
      <w:pStyle w:val="Rodap"/>
      <w:pBdr>
        <w:bottom w:val="single" w:sz="4" w:space="1" w:color="auto"/>
      </w:pBdr>
      <w:jc w:val="right"/>
      <w:rPr>
        <w:color w:val="5B9BD5" w:themeColor="accent1"/>
        <w:u w:val="single"/>
      </w:rPr>
    </w:pPr>
    <w:r>
      <w:rPr>
        <w:noProof/>
        <w:color w:val="000000" w:themeColor="text1"/>
        <w:sz w:val="32"/>
        <w:szCs w:val="32"/>
        <w:lang w:val="pt-PT" w:eastAsia="pt-PT"/>
      </w:rPr>
      <w:drawing>
        <wp:anchor distT="0" distB="0" distL="114300" distR="114300" simplePos="0" relativeHeight="251658256" behindDoc="1" locked="0" layoutInCell="1" allowOverlap="1" wp14:anchorId="78038FD7" wp14:editId="3BB22278">
          <wp:simplePos x="0" y="0"/>
          <wp:positionH relativeFrom="leftMargin">
            <wp:posOffset>220345</wp:posOffset>
          </wp:positionH>
          <wp:positionV relativeFrom="page">
            <wp:posOffset>10062210</wp:posOffset>
          </wp:positionV>
          <wp:extent cx="535940" cy="447040"/>
          <wp:effectExtent l="0" t="0" r="0" b="0"/>
          <wp:wrapTight wrapText="bothSides">
            <wp:wrapPolygon edited="0">
              <wp:start x="4607" y="0"/>
              <wp:lineTo x="0" y="3682"/>
              <wp:lineTo x="0" y="17489"/>
              <wp:lineTo x="4607" y="20250"/>
              <wp:lineTo x="6910" y="20250"/>
              <wp:lineTo x="14588" y="20250"/>
              <wp:lineTo x="15355" y="20250"/>
              <wp:lineTo x="20730" y="16568"/>
              <wp:lineTo x="20730" y="11966"/>
              <wp:lineTo x="19962" y="0"/>
              <wp:lineTo x="4607" y="0"/>
            </wp:wrapPolygon>
          </wp:wrapTight>
          <wp:docPr id="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 cstate="email">
                    <a:extLst>
                      <a:ext uri="{28A0092B-C50C-407E-A947-70E740481C1C}">
                        <a14:useLocalDpi xmlns:a14="http://schemas.microsoft.com/office/drawing/2010/main"/>
                      </a:ext>
                    </a:extLst>
                  </a:blip>
                  <a:stretch>
                    <a:fillRect/>
                  </a:stretch>
                </pic:blipFill>
                <pic:spPr>
                  <a:xfrm>
                    <a:off x="0" y="0"/>
                    <a:ext cx="535940" cy="44704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32"/>
        <w:szCs w:val="32"/>
        <w:lang w:val="pt-PT" w:eastAsia="pt-PT"/>
      </w:rPr>
      <w:drawing>
        <wp:anchor distT="0" distB="0" distL="114300" distR="114300" simplePos="0" relativeHeight="251658240" behindDoc="1" locked="0" layoutInCell="1" allowOverlap="1" wp14:anchorId="3BE1223F" wp14:editId="46EB9DC2">
          <wp:simplePos x="0" y="0"/>
          <wp:positionH relativeFrom="leftMargin">
            <wp:posOffset>220490</wp:posOffset>
          </wp:positionH>
          <wp:positionV relativeFrom="page">
            <wp:posOffset>10072290</wp:posOffset>
          </wp:positionV>
          <wp:extent cx="535940" cy="447040"/>
          <wp:effectExtent l="0" t="0" r="0" b="0"/>
          <wp:wrapTight wrapText="bothSides">
            <wp:wrapPolygon edited="0">
              <wp:start x="4607" y="0"/>
              <wp:lineTo x="0" y="3682"/>
              <wp:lineTo x="0" y="17489"/>
              <wp:lineTo x="4607" y="20250"/>
              <wp:lineTo x="6910" y="20250"/>
              <wp:lineTo x="14588" y="20250"/>
              <wp:lineTo x="15355" y="20250"/>
              <wp:lineTo x="20730" y="16568"/>
              <wp:lineTo x="20730" y="11966"/>
              <wp:lineTo x="19962" y="0"/>
              <wp:lineTo x="4607" y="0"/>
            </wp:wrapPolygon>
          </wp:wrapTight>
          <wp:docPr id="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 cstate="email">
                    <a:extLst>
                      <a:ext uri="{28A0092B-C50C-407E-A947-70E740481C1C}">
                        <a14:useLocalDpi xmlns:a14="http://schemas.microsoft.com/office/drawing/2010/main"/>
                      </a:ext>
                    </a:extLst>
                  </a:blip>
                  <a:stretch>
                    <a:fillRect/>
                  </a:stretch>
                </pic:blipFill>
                <pic:spPr>
                  <a:xfrm>
                    <a:off x="0" y="0"/>
                    <a:ext cx="535940" cy="447040"/>
                  </a:xfrm>
                  <a:prstGeom prst="rect">
                    <a:avLst/>
                  </a:prstGeom>
                </pic:spPr>
              </pic:pic>
            </a:graphicData>
          </a:graphic>
          <wp14:sizeRelH relativeFrom="margin">
            <wp14:pctWidth>0</wp14:pctWidth>
          </wp14:sizeRelH>
          <wp14:sizeRelV relativeFrom="margin">
            <wp14:pctHeight>0</wp14:pctHeight>
          </wp14:sizeRelV>
        </wp:anchor>
      </w:drawing>
    </w:r>
    <w:r w:rsidRPr="00DC55B2">
      <w:rPr>
        <w:color w:val="5B9BD5" w:themeColor="accent1"/>
        <w:u w:val="single"/>
      </w:rPr>
      <w:t xml:space="preserve">Page </w:t>
    </w:r>
    <w:r w:rsidRPr="00DC55B2">
      <w:rPr>
        <w:color w:val="5B9BD5" w:themeColor="accent1"/>
        <w:u w:val="single"/>
      </w:rPr>
      <w:fldChar w:fldCharType="begin"/>
    </w:r>
    <w:r>
      <w:rPr>
        <w:color w:val="5B9BD5" w:themeColor="accent1"/>
        <w:u w:val="single"/>
      </w:rPr>
      <w:instrText>PAGE</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2623EB">
      <w:rPr>
        <w:noProof/>
        <w:color w:val="5B9BD5" w:themeColor="accent1"/>
        <w:u w:val="single"/>
      </w:rPr>
      <w:t>106</w:t>
    </w:r>
    <w:r w:rsidRPr="00DC55B2">
      <w:rPr>
        <w:color w:val="5B9BD5" w:themeColor="accent1"/>
        <w:u w:val="single"/>
      </w:rPr>
      <w:fldChar w:fldCharType="end"/>
    </w:r>
    <w:r w:rsidRPr="00DC55B2">
      <w:rPr>
        <w:color w:val="5B9BD5" w:themeColor="accent1"/>
        <w:u w:val="single"/>
      </w:rPr>
      <w:t xml:space="preserve"> sur </w:t>
    </w:r>
    <w:r w:rsidRPr="00DC55B2">
      <w:rPr>
        <w:color w:val="5B9BD5" w:themeColor="accent1"/>
        <w:u w:val="single"/>
      </w:rPr>
      <w:fldChar w:fldCharType="begin"/>
    </w:r>
    <w:r>
      <w:rPr>
        <w:color w:val="5B9BD5" w:themeColor="accent1"/>
        <w:u w:val="single"/>
      </w:rPr>
      <w:instrText>NUMPAGES</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2623EB">
      <w:rPr>
        <w:noProof/>
        <w:color w:val="5B9BD5" w:themeColor="accent1"/>
        <w:u w:val="single"/>
      </w:rPr>
      <w:t>106</w:t>
    </w:r>
    <w:r w:rsidRPr="00DC55B2">
      <w:rPr>
        <w:color w:val="5B9BD5" w:themeColor="accent1"/>
        <w:u w:val="single"/>
      </w:rPr>
      <w:fldChar w:fldCharType="end"/>
    </w:r>
  </w:p>
  <w:p w:rsidR="00293642" w:rsidRPr="00242805" w:rsidRDefault="00293642" w:rsidP="00242805">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642" w:rsidRPr="00DC55B2" w:rsidRDefault="00293642" w:rsidP="008829BD">
    <w:pPr>
      <w:pStyle w:val="Rodap"/>
      <w:pBdr>
        <w:bottom w:val="single" w:sz="4" w:space="1" w:color="auto"/>
      </w:pBdr>
      <w:jc w:val="right"/>
      <w:rPr>
        <w:color w:val="5B9BD5" w:themeColor="accent1"/>
        <w:u w:val="single"/>
      </w:rPr>
    </w:pPr>
    <w:r>
      <w:rPr>
        <w:noProof/>
        <w:color w:val="000000" w:themeColor="text1"/>
        <w:sz w:val="32"/>
        <w:szCs w:val="32"/>
        <w:lang w:val="pt-PT" w:eastAsia="pt-PT"/>
      </w:rPr>
      <w:drawing>
        <wp:anchor distT="0" distB="0" distL="114300" distR="114300" simplePos="0" relativeHeight="251658255" behindDoc="1" locked="0" layoutInCell="1" allowOverlap="1" wp14:anchorId="48B49518" wp14:editId="52C88971">
          <wp:simplePos x="0" y="0"/>
          <wp:positionH relativeFrom="leftMargin">
            <wp:posOffset>220490</wp:posOffset>
          </wp:positionH>
          <wp:positionV relativeFrom="page">
            <wp:posOffset>10072290</wp:posOffset>
          </wp:positionV>
          <wp:extent cx="535940" cy="447040"/>
          <wp:effectExtent l="0" t="0" r="0" b="0"/>
          <wp:wrapTight wrapText="bothSides">
            <wp:wrapPolygon edited="0">
              <wp:start x="4607" y="0"/>
              <wp:lineTo x="0" y="3682"/>
              <wp:lineTo x="0" y="17489"/>
              <wp:lineTo x="4607" y="20250"/>
              <wp:lineTo x="6910" y="20250"/>
              <wp:lineTo x="14588" y="20250"/>
              <wp:lineTo x="15355" y="20250"/>
              <wp:lineTo x="20730" y="16568"/>
              <wp:lineTo x="20730" y="11966"/>
              <wp:lineTo x="19962" y="0"/>
              <wp:lineTo x="4607" y="0"/>
            </wp:wrapPolygon>
          </wp:wrapTight>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LOGO.tif"/>
                  <pic:cNvPicPr/>
                </pic:nvPicPr>
                <pic:blipFill>
                  <a:blip r:embed="rId1" cstate="email">
                    <a:extLst>
                      <a:ext uri="{28A0092B-C50C-407E-A947-70E740481C1C}">
                        <a14:useLocalDpi xmlns:a14="http://schemas.microsoft.com/office/drawing/2010/main"/>
                      </a:ext>
                    </a:extLst>
                  </a:blip>
                  <a:stretch>
                    <a:fillRect/>
                  </a:stretch>
                </pic:blipFill>
                <pic:spPr>
                  <a:xfrm>
                    <a:off x="0" y="0"/>
                    <a:ext cx="535940" cy="447040"/>
                  </a:xfrm>
                  <a:prstGeom prst="rect">
                    <a:avLst/>
                  </a:prstGeom>
                </pic:spPr>
              </pic:pic>
            </a:graphicData>
          </a:graphic>
          <wp14:sizeRelH relativeFrom="margin">
            <wp14:pctWidth>0</wp14:pctWidth>
          </wp14:sizeRelH>
          <wp14:sizeRelV relativeFrom="margin">
            <wp14:pctHeight>0</wp14:pctHeight>
          </wp14:sizeRelV>
        </wp:anchor>
      </w:drawing>
    </w:r>
    <w:r w:rsidRPr="00DC55B2">
      <w:rPr>
        <w:color w:val="5B9BD5" w:themeColor="accent1"/>
        <w:u w:val="single"/>
      </w:rPr>
      <w:t xml:space="preserve">Page </w:t>
    </w:r>
    <w:r w:rsidRPr="00DC55B2">
      <w:rPr>
        <w:color w:val="5B9BD5" w:themeColor="accent1"/>
        <w:u w:val="single"/>
      </w:rPr>
      <w:fldChar w:fldCharType="begin"/>
    </w:r>
    <w:r>
      <w:rPr>
        <w:color w:val="5B9BD5" w:themeColor="accent1"/>
        <w:u w:val="single"/>
      </w:rPr>
      <w:instrText>PAGE</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2623EB">
      <w:rPr>
        <w:noProof/>
        <w:color w:val="5B9BD5" w:themeColor="accent1"/>
        <w:u w:val="single"/>
      </w:rPr>
      <w:t>240</w:t>
    </w:r>
    <w:r w:rsidRPr="00DC55B2">
      <w:rPr>
        <w:color w:val="5B9BD5" w:themeColor="accent1"/>
        <w:u w:val="single"/>
      </w:rPr>
      <w:fldChar w:fldCharType="end"/>
    </w:r>
    <w:r w:rsidRPr="00DC55B2">
      <w:rPr>
        <w:color w:val="5B9BD5" w:themeColor="accent1"/>
        <w:u w:val="single"/>
      </w:rPr>
      <w:t xml:space="preserve"> sur </w:t>
    </w:r>
    <w:r w:rsidRPr="00DC55B2">
      <w:rPr>
        <w:color w:val="5B9BD5" w:themeColor="accent1"/>
        <w:u w:val="single"/>
      </w:rPr>
      <w:fldChar w:fldCharType="begin"/>
    </w:r>
    <w:r>
      <w:rPr>
        <w:color w:val="5B9BD5" w:themeColor="accent1"/>
        <w:u w:val="single"/>
      </w:rPr>
      <w:instrText>NUMPAGES</w:instrText>
    </w:r>
    <w:r w:rsidRPr="00DC55B2">
      <w:rPr>
        <w:color w:val="5B9BD5" w:themeColor="accent1"/>
        <w:u w:val="single"/>
      </w:rPr>
      <w:instrText xml:space="preserve">  \* Arabic  \* MERGEFORMAT</w:instrText>
    </w:r>
    <w:r w:rsidRPr="00DC55B2">
      <w:rPr>
        <w:color w:val="5B9BD5" w:themeColor="accent1"/>
        <w:u w:val="single"/>
      </w:rPr>
      <w:fldChar w:fldCharType="separate"/>
    </w:r>
    <w:r w:rsidR="002623EB">
      <w:rPr>
        <w:noProof/>
        <w:color w:val="5B9BD5" w:themeColor="accent1"/>
        <w:u w:val="single"/>
      </w:rPr>
      <w:t>241</w:t>
    </w:r>
    <w:r w:rsidRPr="00DC55B2">
      <w:rPr>
        <w:color w:val="5B9BD5" w:themeColor="accent1"/>
        <w:u w:val="single"/>
      </w:rPr>
      <w:fldChar w:fldCharType="end"/>
    </w:r>
  </w:p>
  <w:p w:rsidR="00293642" w:rsidRPr="00242805" w:rsidRDefault="00293642" w:rsidP="008829BD">
    <w:pPr>
      <w:pStyle w:val="Rodap"/>
    </w:pPr>
  </w:p>
  <w:p w:rsidR="00293642" w:rsidRPr="008829BD" w:rsidRDefault="00293642" w:rsidP="008829B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203" w:rsidRDefault="004E1203" w:rsidP="00A45EEC">
      <w:r>
        <w:separator/>
      </w:r>
    </w:p>
  </w:footnote>
  <w:footnote w:type="continuationSeparator" w:id="0">
    <w:p w:rsidR="004E1203" w:rsidRDefault="004E1203" w:rsidP="00A45EEC">
      <w:r>
        <w:continuationSeparator/>
      </w:r>
    </w:p>
  </w:footnote>
  <w:footnote w:type="continuationNotice" w:id="1">
    <w:p w:rsidR="004E1203" w:rsidRDefault="004E1203"/>
  </w:footnote>
  <w:footnote w:id="2">
    <w:p w:rsidR="00293642" w:rsidRDefault="00293642" w:rsidP="00B805ED">
      <w:pPr>
        <w:pStyle w:val="Textodenotaderodap"/>
      </w:pPr>
      <w:r>
        <w:rPr>
          <w:rStyle w:val="Refdenotaderodap"/>
        </w:rPr>
        <w:footnoteRef/>
      </w:r>
      <w:r>
        <w:t xml:space="preserve"> </w:t>
      </w:r>
      <w:hyperlink r:id="rId1" w:history="1">
        <w:r w:rsidRPr="00BD6C86">
          <w:rPr>
            <w:rStyle w:val="Hiperligao"/>
          </w:rPr>
          <w:t>http://documents1.worldbank.org/curated/en/509041468321553133/pdf/929700WP0Box380Soc0Protection0Brief.pdf</w:t>
        </w:r>
      </w:hyperlink>
    </w:p>
    <w:p w:rsidR="00293642" w:rsidRPr="00102AC0" w:rsidRDefault="00293642" w:rsidP="00B805ED">
      <w:pPr>
        <w:pStyle w:val="Textodenotaderodap"/>
        <w:ind w:left="0" w:firstLine="0"/>
      </w:pPr>
    </w:p>
  </w:footnote>
  <w:footnote w:id="3">
    <w:p w:rsidR="00F92390" w:rsidRPr="00264468" w:rsidRDefault="00F92390" w:rsidP="00F92390">
      <w:pPr>
        <w:pStyle w:val="Textodenotaderodap"/>
      </w:pPr>
      <w:r w:rsidRPr="00264468">
        <w:rPr>
          <w:rStyle w:val="Refdenotaderodap"/>
        </w:rPr>
        <w:footnoteRef/>
      </w:r>
      <w:r w:rsidRPr="00264468">
        <w:t xml:space="preserve"> </w:t>
      </w:r>
      <w:r w:rsidRPr="008371D1">
        <w:t>Les données seront ventilées par sexe</w:t>
      </w:r>
    </w:p>
  </w:footnote>
  <w:footnote w:id="4">
    <w:p w:rsidR="00293642" w:rsidRPr="006F6BFB" w:rsidRDefault="00293642" w:rsidP="00374A0D">
      <w:pPr>
        <w:pStyle w:val="Textodecomentrio"/>
      </w:pPr>
      <w:r>
        <w:rPr>
          <w:rStyle w:val="Refdenotaderodap"/>
        </w:rPr>
        <w:footnoteRef/>
      </w:r>
      <w:r>
        <w:t xml:space="preserve"> </w:t>
      </w:r>
      <w:r w:rsidRPr="006F6BFB">
        <w:t>Le</w:t>
      </w:r>
      <w:r w:rsidRPr="008371D1">
        <w:t xml:space="preserve"> projet doit cartographier les services VBG disponibles dans tous les sites de mise en œuvre du projet</w:t>
      </w:r>
      <w:r w:rsidRPr="006F6BFB">
        <w:t xml:space="preserve">, dans ce cas dans tout le pays. </w:t>
      </w:r>
    </w:p>
    <w:p w:rsidR="00293642" w:rsidRPr="00BA27CE" w:rsidRDefault="00293642" w:rsidP="00374A0D">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D8" w:rsidRDefault="007125D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642" w:rsidRPr="00D65289" w:rsidRDefault="00293642" w:rsidP="00046A91">
    <w:pPr>
      <w:pStyle w:val="Cabealho"/>
      <w:spacing w:after="0" w:line="240" w:lineRule="auto"/>
      <w:jc w:val="center"/>
      <w:rPr>
        <w:rFonts w:ascii="Times New Roman" w:hAnsi="Times New Roman"/>
        <w:b/>
        <w:sz w:val="18"/>
        <w:szCs w:val="18"/>
      </w:rPr>
    </w:pPr>
    <w:r>
      <w:rPr>
        <w:noProof/>
        <w:lang w:val="pt-PT" w:eastAsia="pt-PT"/>
      </w:rPr>
      <mc:AlternateContent>
        <mc:Choice Requires="wps">
          <w:drawing>
            <wp:anchor distT="0" distB="0" distL="114300" distR="114300" simplePos="0" relativeHeight="251658241" behindDoc="0" locked="0" layoutInCell="1" allowOverlap="1" wp14:anchorId="31AFA8A3" wp14:editId="3AE54FF4">
              <wp:simplePos x="0" y="0"/>
              <wp:positionH relativeFrom="page">
                <wp:posOffset>149860</wp:posOffset>
              </wp:positionH>
              <wp:positionV relativeFrom="paragraph">
                <wp:posOffset>-149639</wp:posOffset>
              </wp:positionV>
              <wp:extent cx="7383491" cy="658495"/>
              <wp:effectExtent l="38100" t="0" r="27305" b="27305"/>
              <wp:wrapNone/>
              <wp:docPr id="62" name="Parchemin vertical 62"/>
              <wp:cNvGraphicFramePr/>
              <a:graphic xmlns:a="http://schemas.openxmlformats.org/drawingml/2006/main">
                <a:graphicData uri="http://schemas.microsoft.com/office/word/2010/wordprocessingShape">
                  <wps:wsp>
                    <wps:cNvSpPr/>
                    <wps:spPr>
                      <a:xfrm>
                        <a:off x="0" y="0"/>
                        <a:ext cx="7383491" cy="658495"/>
                      </a:xfrm>
                      <a:prstGeom prst="verticalScroll">
                        <a:avLst/>
                      </a:prstGeom>
                      <a:noFill/>
                    </wps:spPr>
                    <wps:style>
                      <a:lnRef idx="2">
                        <a:schemeClr val="dk1"/>
                      </a:lnRef>
                      <a:fillRef idx="1">
                        <a:schemeClr val="lt1"/>
                      </a:fillRef>
                      <a:effectRef idx="0">
                        <a:schemeClr val="dk1"/>
                      </a:effectRef>
                      <a:fontRef idx="minor">
                        <a:schemeClr val="dk1"/>
                      </a:fontRef>
                    </wps:style>
                    <wps:txbx>
                      <w:txbxContent>
                        <w:p w:rsidR="00293642" w:rsidRPr="008B31D5" w:rsidRDefault="00293642" w:rsidP="00046A91">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AFA8A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62" o:spid="_x0000_s1045" type="#_x0000_t97" style="position:absolute;left:0;text-align:left;margin-left:11.8pt;margin-top:-11.8pt;width:581.4pt;height:5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" filled="f" strokecolor="black [3200]" strokeweight="1pt">
              <v:stroke joinstyle="miter"/>
              <v:textbox>
                <w:txbxContent>
                  <w:p w14:paraId="68378C16" w14:textId="77777777" w:rsidR="00293642" w:rsidRPr="008B31D5" w:rsidRDefault="00293642" w:rsidP="00046A91">
                    <w:pPr>
                      <w:jc w:val="center"/>
                      <w:rPr>
                        <w:color w:val="FFFFFF" w:themeColor="background1"/>
                        <w14:textFill>
                          <w14:noFill/>
                        </w14:textFill>
                      </w:rPr>
                    </w:pPr>
                  </w:p>
                </w:txbxContent>
              </v:textbox>
              <w10:wrap anchorx="page"/>
            </v:shape>
          </w:pict>
        </mc:Fallback>
      </mc:AlternateContent>
    </w:r>
    <w:r w:rsidRPr="00591F2C">
      <w:rPr>
        <w:rFonts w:ascii="Times New Roman" w:hAnsi="Times New Roman"/>
        <w:b/>
        <w:sz w:val="18"/>
        <w:szCs w:val="18"/>
      </w:rPr>
      <w:t xml:space="preserve">EVALUATION ENVIRONNEMENTALE </w:t>
    </w:r>
    <w:r>
      <w:rPr>
        <w:rFonts w:ascii="Times New Roman" w:hAnsi="Times New Roman"/>
        <w:b/>
        <w:sz w:val="18"/>
        <w:szCs w:val="18"/>
      </w:rPr>
      <w:t>STRATEGIQUE (EES) </w:t>
    </w:r>
  </w:p>
  <w:p w:rsidR="00293642" w:rsidRPr="00D65289" w:rsidRDefault="00293642" w:rsidP="00046A91">
    <w:pPr>
      <w:pStyle w:val="Cabealho"/>
      <w:spacing w:after="0" w:line="240" w:lineRule="auto"/>
      <w:jc w:val="center"/>
      <w:rPr>
        <w:rFonts w:ascii="Times New Roman" w:hAnsi="Times New Roman"/>
        <w:b/>
        <w:bCs/>
        <w:sz w:val="28"/>
        <w:szCs w:val="28"/>
      </w:rPr>
    </w:pPr>
    <w:r w:rsidRPr="00D65289">
      <w:rPr>
        <w:rFonts w:ascii="Times New Roman" w:hAnsi="Times New Roman"/>
        <w:b/>
        <w:bCs/>
        <w:iCs/>
        <w:sz w:val="28"/>
        <w:szCs w:val="28"/>
      </w:rPr>
      <w:t>Projet de Sécurité Alimentaire d'Urgence en Guinée Bissau</w:t>
    </w:r>
    <w:r>
      <w:rPr>
        <w:rFonts w:ascii="Times New Roman" w:hAnsi="Times New Roman"/>
        <w:b/>
        <w:bCs/>
        <w:iCs/>
        <w:sz w:val="28"/>
        <w:szCs w:val="28"/>
      </w:rPr>
      <w:t xml:space="preserve"> (PUSA)</w:t>
    </w:r>
    <w:r w:rsidRPr="00D65289">
      <w:rPr>
        <w:rFonts w:ascii="Times New Roman" w:hAnsi="Times New Roman"/>
        <w:b/>
        <w:noProof/>
        <w:sz w:val="28"/>
        <w:szCs w:val="28"/>
      </w:rPr>
      <w:t xml:space="preserve"> </w:t>
    </w:r>
  </w:p>
  <w:p w:rsidR="00293642" w:rsidRPr="00046A91" w:rsidRDefault="00293642" w:rsidP="00046A91">
    <w:pPr>
      <w:pStyle w:val="Cabealho"/>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RAPPORT CGES FINAL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642" w:rsidRPr="00A64AE4" w:rsidRDefault="00293642" w:rsidP="00242A77">
    <w:pPr>
      <w:pStyle w:val="Cabealho"/>
      <w:jc w:val="right"/>
      <w:rPr>
        <w:rFonts w:ascii="Times New Roman" w:hAnsi="Times New Roman"/>
        <w:color w:val="70AD47"/>
        <w14:shadow w14:blurRad="63500" w14:dist="50800" w14:dir="135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642" w:rsidRPr="00D65289" w:rsidRDefault="00293642" w:rsidP="00A507D5">
    <w:pPr>
      <w:pStyle w:val="Cabealho"/>
      <w:spacing w:after="0" w:line="240" w:lineRule="auto"/>
      <w:jc w:val="center"/>
      <w:rPr>
        <w:rFonts w:ascii="Times New Roman" w:hAnsi="Times New Roman"/>
        <w:b/>
        <w:sz w:val="18"/>
        <w:szCs w:val="18"/>
      </w:rPr>
    </w:pPr>
    <w:r>
      <w:rPr>
        <w:noProof/>
        <w:lang w:val="pt-PT" w:eastAsia="pt-PT"/>
      </w:rPr>
      <mc:AlternateContent>
        <mc:Choice Requires="wps">
          <w:drawing>
            <wp:anchor distT="0" distB="0" distL="114300" distR="114300" simplePos="0" relativeHeight="251658244" behindDoc="0" locked="0" layoutInCell="1" allowOverlap="1" wp14:anchorId="1A88794F" wp14:editId="00A2938F">
              <wp:simplePos x="0" y="0"/>
              <wp:positionH relativeFrom="page">
                <wp:posOffset>168910</wp:posOffset>
              </wp:positionH>
              <wp:positionV relativeFrom="paragraph">
                <wp:posOffset>-139700</wp:posOffset>
              </wp:positionV>
              <wp:extent cx="7383145" cy="658495"/>
              <wp:effectExtent l="38100" t="0" r="27305" b="27305"/>
              <wp:wrapNone/>
              <wp:docPr id="203" name="Parchemin vertical 203"/>
              <wp:cNvGraphicFramePr/>
              <a:graphic xmlns:a="http://schemas.openxmlformats.org/drawingml/2006/main">
                <a:graphicData uri="http://schemas.microsoft.com/office/word/2010/wordprocessingShape">
                  <wps:wsp>
                    <wps:cNvSpPr/>
                    <wps:spPr>
                      <a:xfrm>
                        <a:off x="0" y="0"/>
                        <a:ext cx="7383145" cy="658495"/>
                      </a:xfrm>
                      <a:prstGeom prst="verticalScroll">
                        <a:avLst/>
                      </a:prstGeom>
                      <a:noFill/>
                    </wps:spPr>
                    <wps:style>
                      <a:lnRef idx="2">
                        <a:schemeClr val="dk1"/>
                      </a:lnRef>
                      <a:fillRef idx="1">
                        <a:schemeClr val="lt1"/>
                      </a:fillRef>
                      <a:effectRef idx="0">
                        <a:schemeClr val="dk1"/>
                      </a:effectRef>
                      <a:fontRef idx="minor">
                        <a:schemeClr val="dk1"/>
                      </a:fontRef>
                    </wps:style>
                    <wps:txbx>
                      <w:txbxContent>
                        <w:p w:rsidR="00293642" w:rsidRPr="008B31D5" w:rsidRDefault="00293642" w:rsidP="00355F7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88794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203" o:spid="_x0000_s1046" type="#_x0000_t97" style="position:absolute;left:0;text-align:left;margin-left:13.3pt;margin-top:-11pt;width:581.35pt;height:51.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" filled="f" strokecolor="black [3200]" strokeweight="1pt">
              <v:stroke joinstyle="miter"/>
              <v:textbox>
                <w:txbxContent>
                  <w:p w14:paraId="24B3FE2D" w14:textId="77777777" w:rsidR="00293642" w:rsidRPr="008B31D5" w:rsidRDefault="00293642" w:rsidP="00355F7F">
                    <w:pPr>
                      <w:rPr>
                        <w:color w:val="FFFFFF" w:themeColor="background1"/>
                        <w14:textFill>
                          <w14:noFill/>
                        </w14:textFill>
                      </w:rPr>
                    </w:pPr>
                  </w:p>
                </w:txbxContent>
              </v:textbox>
              <w10:wrap anchorx="page"/>
            </v:shape>
          </w:pict>
        </mc:Fallback>
      </mc:AlternateContent>
    </w:r>
    <w:r w:rsidRPr="00591F2C">
      <w:rPr>
        <w:rFonts w:ascii="Times New Roman" w:hAnsi="Times New Roman"/>
        <w:b/>
        <w:sz w:val="18"/>
        <w:szCs w:val="18"/>
      </w:rPr>
      <w:t xml:space="preserve">EVALUATION ENVIRONNEMENTALE </w:t>
    </w:r>
    <w:r>
      <w:rPr>
        <w:rFonts w:ascii="Times New Roman" w:hAnsi="Times New Roman"/>
        <w:b/>
        <w:sz w:val="18"/>
        <w:szCs w:val="18"/>
      </w:rPr>
      <w:t>STRATEGIQUE (EES) </w:t>
    </w:r>
  </w:p>
  <w:p w:rsidR="00293642" w:rsidRPr="00A507D5" w:rsidRDefault="00293642" w:rsidP="00A507D5">
    <w:pPr>
      <w:pStyle w:val="Cabealho"/>
      <w:spacing w:after="0" w:line="240" w:lineRule="auto"/>
      <w:jc w:val="right"/>
      <w:rPr>
        <w:rFonts w:ascii="Times New Roman" w:hAnsi="Times New Roman"/>
        <w:b/>
        <w:bCs/>
        <w:sz w:val="28"/>
        <w:szCs w:val="28"/>
      </w:rPr>
    </w:pPr>
    <w:r w:rsidRPr="00D65289">
      <w:rPr>
        <w:rFonts w:ascii="Times New Roman" w:hAnsi="Times New Roman"/>
        <w:b/>
        <w:bCs/>
        <w:iCs/>
        <w:sz w:val="28"/>
        <w:szCs w:val="28"/>
      </w:rPr>
      <w:t>Projet de Sécurité Alimentaire d'Urgence en Guinée Bissau</w:t>
    </w:r>
    <w:r>
      <w:rPr>
        <w:rFonts w:ascii="Times New Roman" w:hAnsi="Times New Roman"/>
        <w:b/>
        <w:bCs/>
        <w:iCs/>
        <w:sz w:val="28"/>
        <w:szCs w:val="28"/>
      </w:rPr>
      <w:t xml:space="preserve"> (PUSA)</w:t>
    </w:r>
    <w:r w:rsidRPr="00D65289">
      <w:rPr>
        <w:rFonts w:ascii="Times New Roman" w:hAnsi="Times New Roman"/>
        <w:b/>
        <w:noProof/>
        <w:sz w:val="28"/>
        <w:szCs w:val="28"/>
      </w:rPr>
      <w:t xml:space="preserve"> </w:t>
    </w:r>
    <w:r>
      <w:rPr>
        <w:rFonts w:ascii="Times New Roman" w:hAnsi="Times New Roman"/>
        <w:b/>
        <w:bCs/>
        <w:sz w:val="28"/>
        <w:szCs w:val="28"/>
      </w:rPr>
      <w:t xml:space="preserve">                            </w:t>
    </w: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RAPPORT CGES FINAL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642" w:rsidRPr="00D65289" w:rsidRDefault="00293642" w:rsidP="000D26A5">
    <w:pPr>
      <w:pStyle w:val="Cabealho"/>
      <w:spacing w:after="0" w:line="240" w:lineRule="auto"/>
      <w:jc w:val="center"/>
      <w:rPr>
        <w:rFonts w:ascii="Times New Roman" w:hAnsi="Times New Roman"/>
        <w:b/>
        <w:sz w:val="18"/>
        <w:szCs w:val="18"/>
      </w:rPr>
    </w:pPr>
    <w:r>
      <w:rPr>
        <w:noProof/>
        <w:lang w:val="pt-PT" w:eastAsia="pt-PT"/>
      </w:rPr>
      <mc:AlternateContent>
        <mc:Choice Requires="wps">
          <w:drawing>
            <wp:anchor distT="0" distB="0" distL="114300" distR="114300" simplePos="0" relativeHeight="251658250" behindDoc="0" locked="0" layoutInCell="1" allowOverlap="1" wp14:anchorId="75C49EC5" wp14:editId="25D35FE9">
              <wp:simplePos x="0" y="0"/>
              <wp:positionH relativeFrom="margin">
                <wp:posOffset>-645482</wp:posOffset>
              </wp:positionH>
              <wp:positionV relativeFrom="paragraph">
                <wp:posOffset>-116205</wp:posOffset>
              </wp:positionV>
              <wp:extent cx="7176088" cy="682388"/>
              <wp:effectExtent l="38100" t="0" r="25400" b="22860"/>
              <wp:wrapNone/>
              <wp:docPr id="209" name="Parchemin vertical 209"/>
              <wp:cNvGraphicFramePr/>
              <a:graphic xmlns:a="http://schemas.openxmlformats.org/drawingml/2006/main">
                <a:graphicData uri="http://schemas.microsoft.com/office/word/2010/wordprocessingShape">
                  <wps:wsp>
                    <wps:cNvSpPr/>
                    <wps:spPr>
                      <a:xfrm>
                        <a:off x="0" y="0"/>
                        <a:ext cx="7176088" cy="682388"/>
                      </a:xfrm>
                      <a:prstGeom prst="verticalScroll">
                        <a:avLst/>
                      </a:prstGeom>
                      <a:noFill/>
                    </wps:spPr>
                    <wps:style>
                      <a:lnRef idx="2">
                        <a:schemeClr val="dk1"/>
                      </a:lnRef>
                      <a:fillRef idx="1">
                        <a:schemeClr val="lt1"/>
                      </a:fillRef>
                      <a:effectRef idx="0">
                        <a:schemeClr val="dk1"/>
                      </a:effectRef>
                      <a:fontRef idx="minor">
                        <a:schemeClr val="dk1"/>
                      </a:fontRef>
                    </wps:style>
                    <wps:txbx>
                      <w:txbxContent>
                        <w:p w:rsidR="00293642" w:rsidRPr="009979DC" w:rsidRDefault="00293642" w:rsidP="000D26A5">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C49EC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209" o:spid="_x0000_s1047" type="#_x0000_t97" style="position:absolute;left:0;text-align:left;margin-left:-50.85pt;margin-top:-9.15pt;width:565.05pt;height:53.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" filled="f" strokecolor="black [3200]" strokeweight="1pt">
              <v:stroke joinstyle="miter"/>
              <v:textbox>
                <w:txbxContent>
                  <w:p w14:paraId="0EFD14E2" w14:textId="77777777" w:rsidR="00293642" w:rsidRPr="009979DC" w:rsidRDefault="00293642" w:rsidP="000D26A5">
                    <w:pPr>
                      <w:jc w:val="center"/>
                      <w:rPr>
                        <w:color w:val="FFFFFF" w:themeColor="background1"/>
                        <w14:textFill>
                          <w14:noFill/>
                        </w14:textFill>
                      </w:rPr>
                    </w:pPr>
                  </w:p>
                </w:txbxContent>
              </v:textbox>
              <w10:wrap anchorx="margin"/>
            </v:shape>
          </w:pict>
        </mc:Fallback>
      </mc:AlternateContent>
    </w:r>
    <w:r w:rsidRPr="00591F2C">
      <w:rPr>
        <w:rFonts w:ascii="Times New Roman" w:hAnsi="Times New Roman"/>
        <w:b/>
        <w:sz w:val="18"/>
        <w:szCs w:val="18"/>
      </w:rPr>
      <w:t xml:space="preserve">EVALUATION ENVIRONNEMENTALE </w:t>
    </w:r>
    <w:r>
      <w:rPr>
        <w:rFonts w:ascii="Times New Roman" w:hAnsi="Times New Roman"/>
        <w:b/>
        <w:sz w:val="18"/>
        <w:szCs w:val="18"/>
      </w:rPr>
      <w:t>STRATEGIQUE (EES) </w:t>
    </w:r>
  </w:p>
  <w:p w:rsidR="00293642" w:rsidRPr="007945F0" w:rsidRDefault="00293642" w:rsidP="007945F0">
    <w:pPr>
      <w:pStyle w:val="Cabealho"/>
      <w:spacing w:after="0" w:line="240" w:lineRule="auto"/>
      <w:jc w:val="right"/>
      <w:rPr>
        <w:rFonts w:ascii="Times New Roman" w:hAnsi="Times New Roman"/>
        <w:b/>
        <w:bCs/>
        <w:sz w:val="28"/>
        <w:szCs w:val="28"/>
      </w:rPr>
    </w:pPr>
    <w:r w:rsidRPr="00D65289">
      <w:rPr>
        <w:rFonts w:ascii="Times New Roman" w:hAnsi="Times New Roman"/>
        <w:b/>
        <w:bCs/>
        <w:iCs/>
        <w:sz w:val="28"/>
        <w:szCs w:val="28"/>
      </w:rPr>
      <w:t>Projet de Sécurité Alimentaire d'Urgence en Guinée Bissau</w:t>
    </w:r>
    <w:r>
      <w:rPr>
        <w:rFonts w:ascii="Times New Roman" w:hAnsi="Times New Roman"/>
        <w:b/>
        <w:bCs/>
        <w:iCs/>
        <w:sz w:val="28"/>
        <w:szCs w:val="28"/>
      </w:rPr>
      <w:t xml:space="preserve"> (PUSA)</w:t>
    </w:r>
    <w:r w:rsidRPr="00D65289">
      <w:rPr>
        <w:rFonts w:ascii="Times New Roman" w:hAnsi="Times New Roman"/>
        <w:b/>
        <w:noProof/>
        <w:sz w:val="28"/>
        <w:szCs w:val="28"/>
      </w:rPr>
      <w:t xml:space="preserve"> </w:t>
    </w:r>
    <w:r>
      <w:rPr>
        <w:rFonts w:ascii="Times New Roman" w:hAnsi="Times New Roman"/>
        <w:b/>
        <w:bCs/>
        <w:sz w:val="28"/>
        <w:szCs w:val="28"/>
      </w:rPr>
      <w:t xml:space="preserve">               </w:t>
    </w: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RAPPORT CGES 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5pt;height:10.05pt" o:bullet="t">
        <v:imagedata r:id="rId1" o:title="mso5E57"/>
      </v:shape>
    </w:pict>
  </w:numPicBullet>
  <w:numPicBullet w:numPicBulletId="1">
    <w:pict>
      <v:shape id="_x0000_i1030" type="#_x0000_t75" style="width:5pt;height:5pt;visibility:visible" o:bullet="t">
        <v:imagedata r:id="rId2" o:title=""/>
      </v:shape>
    </w:pict>
  </w:numPicBullet>
  <w:numPicBullet w:numPicBulletId="2">
    <w:pict>
      <v:shape id="_x0000_i1031" type="#_x0000_t75" style="width:10.05pt;height:10.05pt" o:bullet="t">
        <v:imagedata r:id="rId3" o:title="Word Work File L_129279622"/>
      </v:shape>
    </w:pict>
  </w:numPicBullet>
  <w:abstractNum w:abstractNumId="0">
    <w:nsid w:val="FFFFFF7F"/>
    <w:multiLevelType w:val="singleLevel"/>
    <w:tmpl w:val="E6E0D85C"/>
    <w:lvl w:ilvl="0">
      <w:start w:val="1"/>
      <w:numFmt w:val="decimal"/>
      <w:pStyle w:val="Listanumerada2"/>
      <w:lvlText w:val="%1."/>
      <w:lvlJc w:val="left"/>
      <w:pPr>
        <w:tabs>
          <w:tab w:val="num" w:pos="283"/>
        </w:tabs>
        <w:ind w:left="283" w:hanging="360"/>
      </w:pPr>
    </w:lvl>
  </w:abstractNum>
  <w:abstractNum w:abstractNumId="1">
    <w:nsid w:val="FFFFFF81"/>
    <w:multiLevelType w:val="singleLevel"/>
    <w:tmpl w:val="646E6716"/>
    <w:lvl w:ilvl="0">
      <w:start w:val="1"/>
      <w:numFmt w:val="bullet"/>
      <w:pStyle w:val="Listacommarcas4"/>
      <w:lvlText w:val=""/>
      <w:lvlJc w:val="left"/>
      <w:pPr>
        <w:tabs>
          <w:tab w:val="num" w:pos="1440"/>
        </w:tabs>
        <w:ind w:left="1440" w:hanging="360"/>
      </w:pPr>
      <w:rPr>
        <w:rFonts w:ascii="Symbol" w:hAnsi="Symbol" w:hint="default"/>
      </w:rPr>
    </w:lvl>
  </w:abstractNum>
  <w:abstractNum w:abstractNumId="2">
    <w:nsid w:val="FFFFFF83"/>
    <w:multiLevelType w:val="singleLevel"/>
    <w:tmpl w:val="32320A82"/>
    <w:lvl w:ilvl="0">
      <w:start w:val="1"/>
      <w:numFmt w:val="bullet"/>
      <w:pStyle w:val="Listacommarcas2"/>
      <w:lvlText w:val=""/>
      <w:lvlJc w:val="left"/>
      <w:pPr>
        <w:tabs>
          <w:tab w:val="num" w:pos="643"/>
        </w:tabs>
        <w:ind w:left="643" w:hanging="360"/>
      </w:pPr>
      <w:rPr>
        <w:rFonts w:ascii="Symbol" w:hAnsi="Symbol" w:hint="default"/>
      </w:rPr>
    </w:lvl>
  </w:abstractNum>
  <w:abstractNum w:abstractNumId="3">
    <w:nsid w:val="FFFFFF89"/>
    <w:multiLevelType w:val="singleLevel"/>
    <w:tmpl w:val="E83C05D8"/>
    <w:lvl w:ilvl="0">
      <w:start w:val="1"/>
      <w:numFmt w:val="bullet"/>
      <w:pStyle w:val="Listacommarcas"/>
      <w:lvlText w:val=""/>
      <w:lvlJc w:val="left"/>
      <w:pPr>
        <w:tabs>
          <w:tab w:val="num" w:pos="360"/>
        </w:tabs>
        <w:ind w:left="360" w:hanging="360"/>
      </w:pPr>
      <w:rPr>
        <w:rFonts w:ascii="Symbol" w:hAnsi="Symbol" w:hint="default"/>
      </w:rPr>
    </w:lvl>
  </w:abstractNum>
  <w:abstractNum w:abstractNumId="4">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1B"/>
    <w:multiLevelType w:val="multilevel"/>
    <w:tmpl w:val="29F63806"/>
    <w:lvl w:ilvl="0">
      <w:start w:val="1"/>
      <w:numFmt w:val="decimal"/>
      <w:pStyle w:val="AATitre3"/>
      <w:lvlText w:val="%1."/>
      <w:lvlJc w:val="left"/>
      <w:pPr>
        <w:tabs>
          <w:tab w:val="num" w:pos="1827"/>
        </w:tabs>
        <w:ind w:left="0" w:firstLine="0"/>
      </w:pPr>
      <w:rPr>
        <w:rFonts w:ascii="Times New Roman Gras" w:hAnsi="Times New Roman Gras" w:hint="default"/>
        <w:b/>
        <w:i w:val="0"/>
        <w:color w:val="auto"/>
        <w:sz w:val="22"/>
        <w:u w:val="none"/>
      </w:rPr>
    </w:lvl>
    <w:lvl w:ilvl="1">
      <w:start w:val="1"/>
      <w:numFmt w:val="decimal"/>
      <w:lvlText w:val="%1.%2"/>
      <w:lvlJc w:val="left"/>
      <w:pPr>
        <w:tabs>
          <w:tab w:val="num" w:pos="2234"/>
        </w:tabs>
        <w:ind w:left="0" w:firstLine="0"/>
      </w:pPr>
      <w:rPr>
        <w:rFonts w:ascii="Myriad Pro Black" w:hAnsi="Myriad Pro Black" w:cs="Myriad Pro Black" w:hint="default"/>
        <w:b w:val="0"/>
        <w:i w:val="0"/>
        <w:color w:val="auto"/>
        <w:sz w:val="22"/>
        <w:u w:val="none"/>
      </w:rPr>
    </w:lvl>
    <w:lvl w:ilvl="2">
      <w:start w:val="1"/>
      <w:numFmt w:val="decimal"/>
      <w:lvlText w:val="%1.%2.%3"/>
      <w:lvlJc w:val="left"/>
      <w:pPr>
        <w:tabs>
          <w:tab w:val="num" w:pos="1827"/>
        </w:tabs>
        <w:ind w:left="0" w:firstLine="0"/>
      </w:pPr>
      <w:rPr>
        <w:rFonts w:ascii="Myriad Pro Black" w:hAnsi="Myriad Pro Black" w:cs="Myriad Pro Black" w:hint="default"/>
        <w:b w:val="0"/>
        <w:i w:val="0"/>
        <w:color w:val="auto"/>
        <w:sz w:val="22"/>
        <w:u w:val="none"/>
      </w:rPr>
    </w:lvl>
    <w:lvl w:ilvl="3">
      <w:start w:val="1"/>
      <w:numFmt w:val="lowerLetter"/>
      <w:lvlText w:val="(%4)"/>
      <w:lvlJc w:val="left"/>
      <w:pPr>
        <w:tabs>
          <w:tab w:val="num" w:pos="360"/>
        </w:tabs>
        <w:ind w:left="360" w:hanging="360"/>
      </w:pPr>
      <w:rPr>
        <w:rFonts w:ascii="Arial" w:hAnsi="Arial" w:hint="default"/>
        <w:b/>
        <w:i w:val="0"/>
        <w:sz w:val="20"/>
      </w:rPr>
    </w:lvl>
    <w:lvl w:ilvl="4">
      <w:start w:val="1"/>
      <w:numFmt w:val="lowerRoman"/>
      <w:lvlText w:val="(%5)"/>
      <w:lvlJc w:val="left"/>
      <w:pPr>
        <w:tabs>
          <w:tab w:val="num" w:pos="720"/>
        </w:tabs>
        <w:ind w:left="360" w:hanging="360"/>
      </w:pPr>
      <w:rPr>
        <w:rFonts w:ascii="Arial" w:hAnsi="Arial" w:hint="default"/>
        <w:b w:val="0"/>
        <w:i w:val="0"/>
        <w:sz w:val="20"/>
      </w:rPr>
    </w:lvl>
    <w:lvl w:ilvl="5">
      <w:start w:val="1"/>
      <w:numFmt w:val="decimal"/>
      <w:lvlText w:val="%1.%2.%3.%4.%5.%6"/>
      <w:lvlJc w:val="left"/>
      <w:pPr>
        <w:tabs>
          <w:tab w:val="num" w:pos="1845"/>
        </w:tabs>
        <w:ind w:left="0" w:firstLine="0"/>
      </w:pPr>
      <w:rPr>
        <w:rFonts w:hint="default"/>
      </w:rPr>
    </w:lvl>
    <w:lvl w:ilvl="6">
      <w:start w:val="1"/>
      <w:numFmt w:val="decimal"/>
      <w:lvlText w:val="%1.%2.%3.%4.%5.%6.%7"/>
      <w:lvlJc w:val="left"/>
      <w:pPr>
        <w:tabs>
          <w:tab w:val="num" w:pos="1989"/>
        </w:tabs>
        <w:ind w:left="0" w:firstLine="0"/>
      </w:pPr>
      <w:rPr>
        <w:rFonts w:hint="default"/>
      </w:rPr>
    </w:lvl>
    <w:lvl w:ilvl="7">
      <w:start w:val="1"/>
      <w:numFmt w:val="decimal"/>
      <w:lvlText w:val="%1.%2.%3.%4.%5.%6.%7.%8"/>
      <w:lvlJc w:val="left"/>
      <w:pPr>
        <w:tabs>
          <w:tab w:val="num" w:pos="2133"/>
        </w:tabs>
        <w:ind w:left="0" w:firstLine="0"/>
      </w:pPr>
      <w:rPr>
        <w:rFonts w:hint="default"/>
      </w:rPr>
    </w:lvl>
    <w:lvl w:ilvl="8">
      <w:start w:val="1"/>
      <w:numFmt w:val="decimal"/>
      <w:lvlText w:val="%1.%2.%3.%4.%5.%6.%7.%8.%9"/>
      <w:lvlJc w:val="left"/>
      <w:pPr>
        <w:tabs>
          <w:tab w:val="num" w:pos="2277"/>
        </w:tabs>
        <w:ind w:left="0" w:firstLine="0"/>
      </w:pPr>
      <w:rPr>
        <w:rFonts w:hint="default"/>
      </w:rPr>
    </w:lvl>
  </w:abstractNum>
  <w:abstractNum w:abstractNumId="6">
    <w:nsid w:val="003A6547"/>
    <w:multiLevelType w:val="hybridMultilevel"/>
    <w:tmpl w:val="F8F09AC2"/>
    <w:lvl w:ilvl="0" w:tplc="12C0C8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1E56C87"/>
    <w:multiLevelType w:val="hybridMultilevel"/>
    <w:tmpl w:val="67AEFB90"/>
    <w:lvl w:ilvl="0" w:tplc="040C0005">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8">
    <w:nsid w:val="023F6747"/>
    <w:multiLevelType w:val="multilevel"/>
    <w:tmpl w:val="B1AE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30639E0"/>
    <w:multiLevelType w:val="hybridMultilevel"/>
    <w:tmpl w:val="EB604AB8"/>
    <w:lvl w:ilvl="0" w:tplc="40E2B3E4">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041540A7"/>
    <w:multiLevelType w:val="hybridMultilevel"/>
    <w:tmpl w:val="F386DCFE"/>
    <w:lvl w:ilvl="0" w:tplc="25AA4D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65F197C"/>
    <w:multiLevelType w:val="multilevel"/>
    <w:tmpl w:val="DE1EA3F2"/>
    <w:lvl w:ilvl="0">
      <w:start w:val="1"/>
      <w:numFmt w:val="decimal"/>
      <w:lvlText w:val="%1."/>
      <w:lvlJc w:val="left"/>
      <w:pPr>
        <w:ind w:left="76"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2420"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764" w:hanging="1080"/>
      </w:pPr>
      <w:rPr>
        <w:rFonts w:hint="default"/>
      </w:rPr>
    </w:lvl>
    <w:lvl w:ilvl="5">
      <w:start w:val="1"/>
      <w:numFmt w:val="decimal"/>
      <w:isLgl/>
      <w:lvlText w:val="%1.%2.%3.%4.%5.%6"/>
      <w:lvlJc w:val="left"/>
      <w:pPr>
        <w:ind w:left="5756" w:hanging="1080"/>
      </w:pPr>
      <w:rPr>
        <w:rFonts w:hint="default"/>
      </w:rPr>
    </w:lvl>
    <w:lvl w:ilvl="6">
      <w:start w:val="1"/>
      <w:numFmt w:val="decimal"/>
      <w:isLgl/>
      <w:lvlText w:val="%1.%2.%3.%4.%5.%6.%7"/>
      <w:lvlJc w:val="left"/>
      <w:pPr>
        <w:ind w:left="7108"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452" w:hanging="1800"/>
      </w:pPr>
      <w:rPr>
        <w:rFonts w:hint="default"/>
      </w:rPr>
    </w:lvl>
  </w:abstractNum>
  <w:abstractNum w:abstractNumId="12">
    <w:nsid w:val="06947AE2"/>
    <w:multiLevelType w:val="hybridMultilevel"/>
    <w:tmpl w:val="F4284AF8"/>
    <w:lvl w:ilvl="0" w:tplc="819A62D6">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
    <w:nsid w:val="07155A0E"/>
    <w:multiLevelType w:val="hybridMultilevel"/>
    <w:tmpl w:val="1DEEA230"/>
    <w:lvl w:ilvl="0" w:tplc="00000001">
      <w:numFmt w:val="bullet"/>
      <w:lvlText w:val="."/>
      <w:lvlJc w:val="left"/>
      <w:pPr>
        <w:ind w:left="720" w:hanging="360"/>
      </w:pPr>
    </w:lvl>
    <w:lvl w:ilvl="1" w:tplc="040C000D">
      <w:start w:val="1"/>
      <w:numFmt w:val="bullet"/>
      <w:lvlText w:val=""/>
      <w:lvlJc w:val="left"/>
      <w:pPr>
        <w:ind w:left="1893"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74642D6"/>
    <w:multiLevelType w:val="hybridMultilevel"/>
    <w:tmpl w:val="83BC5F74"/>
    <w:lvl w:ilvl="0" w:tplc="39EA2D9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07673BA1"/>
    <w:multiLevelType w:val="hybridMultilevel"/>
    <w:tmpl w:val="79006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08138641"/>
    <w:multiLevelType w:val="hybridMultilevel"/>
    <w:tmpl w:val="E9B2EA58"/>
    <w:lvl w:ilvl="0" w:tplc="B4C4350E">
      <w:start w:val="1"/>
      <w:numFmt w:val="bullet"/>
      <w:lvlText w:val=""/>
      <w:lvlJc w:val="left"/>
    </w:lvl>
    <w:lvl w:ilvl="1" w:tplc="EA2A03FA">
      <w:numFmt w:val="decimal"/>
      <w:lvlText w:val=""/>
      <w:lvlJc w:val="left"/>
    </w:lvl>
    <w:lvl w:ilvl="2" w:tplc="EE9A4D5C">
      <w:numFmt w:val="decimal"/>
      <w:lvlText w:val=""/>
      <w:lvlJc w:val="left"/>
    </w:lvl>
    <w:lvl w:ilvl="3" w:tplc="4ABA1850">
      <w:numFmt w:val="decimal"/>
      <w:lvlText w:val=""/>
      <w:lvlJc w:val="left"/>
    </w:lvl>
    <w:lvl w:ilvl="4" w:tplc="347E1904">
      <w:numFmt w:val="decimal"/>
      <w:lvlText w:val=""/>
      <w:lvlJc w:val="left"/>
    </w:lvl>
    <w:lvl w:ilvl="5" w:tplc="0C16E886">
      <w:numFmt w:val="decimal"/>
      <w:lvlText w:val=""/>
      <w:lvlJc w:val="left"/>
    </w:lvl>
    <w:lvl w:ilvl="6" w:tplc="F9B89B6A">
      <w:numFmt w:val="decimal"/>
      <w:lvlText w:val=""/>
      <w:lvlJc w:val="left"/>
    </w:lvl>
    <w:lvl w:ilvl="7" w:tplc="B7DE2F44">
      <w:numFmt w:val="decimal"/>
      <w:lvlText w:val=""/>
      <w:lvlJc w:val="left"/>
    </w:lvl>
    <w:lvl w:ilvl="8" w:tplc="99F4A776">
      <w:numFmt w:val="decimal"/>
      <w:lvlText w:val=""/>
      <w:lvlJc w:val="left"/>
    </w:lvl>
  </w:abstractNum>
  <w:abstractNum w:abstractNumId="17">
    <w:nsid w:val="086D7A73"/>
    <w:multiLevelType w:val="hybridMultilevel"/>
    <w:tmpl w:val="E7068A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9343E09"/>
    <w:multiLevelType w:val="hybridMultilevel"/>
    <w:tmpl w:val="2A1CD9D2"/>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nsid w:val="09860874"/>
    <w:multiLevelType w:val="hybridMultilevel"/>
    <w:tmpl w:val="AF7476E4"/>
    <w:lvl w:ilvl="0" w:tplc="040C0009">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0">
    <w:nsid w:val="09885601"/>
    <w:multiLevelType w:val="hybridMultilevel"/>
    <w:tmpl w:val="7D84D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9A950CA"/>
    <w:multiLevelType w:val="hybridMultilevel"/>
    <w:tmpl w:val="18C20E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B6A1EAF"/>
    <w:multiLevelType w:val="hybridMultilevel"/>
    <w:tmpl w:val="F17E0586"/>
    <w:lvl w:ilvl="0" w:tplc="4A4A5AC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23">
    <w:nsid w:val="0CB53AAD"/>
    <w:multiLevelType w:val="multilevel"/>
    <w:tmpl w:val="57AA8C40"/>
    <w:lvl w:ilvl="0">
      <w:start w:val="1"/>
      <w:numFmt w:val="decimal"/>
      <w:lvlText w:val="%1."/>
      <w:lvlJc w:val="left"/>
      <w:pPr>
        <w:ind w:left="7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420" w:hanging="720"/>
      </w:pPr>
      <w:rPr>
        <w:rFonts w:hint="default"/>
        <w:b/>
        <w:sz w:val="24"/>
        <w:szCs w:val="24"/>
      </w:rPr>
    </w:lvl>
    <w:lvl w:ilvl="3">
      <w:start w:val="1"/>
      <w:numFmt w:val="decimal"/>
      <w:isLgl/>
      <w:lvlText w:val="%1.%2.%3.%4"/>
      <w:lvlJc w:val="left"/>
      <w:pPr>
        <w:ind w:left="2989" w:hanging="720"/>
      </w:pPr>
      <w:rPr>
        <w:rFonts w:hint="default"/>
        <w:b/>
      </w:rPr>
    </w:lvl>
    <w:lvl w:ilvl="4">
      <w:start w:val="1"/>
      <w:numFmt w:val="decimal"/>
      <w:isLgl/>
      <w:lvlText w:val="%1.%2.%3.%4.%5"/>
      <w:lvlJc w:val="left"/>
      <w:pPr>
        <w:ind w:left="4764" w:hanging="1080"/>
      </w:pPr>
      <w:rPr>
        <w:rFonts w:hint="default"/>
      </w:rPr>
    </w:lvl>
    <w:lvl w:ilvl="5">
      <w:start w:val="1"/>
      <w:numFmt w:val="decimal"/>
      <w:isLgl/>
      <w:lvlText w:val="%1.%2.%3.%4.%5.%6"/>
      <w:lvlJc w:val="left"/>
      <w:pPr>
        <w:ind w:left="5756" w:hanging="1080"/>
      </w:pPr>
      <w:rPr>
        <w:rFonts w:hint="default"/>
      </w:rPr>
    </w:lvl>
    <w:lvl w:ilvl="6">
      <w:start w:val="1"/>
      <w:numFmt w:val="decimal"/>
      <w:isLgl/>
      <w:lvlText w:val="%1.%2.%3.%4.%5.%6.%7"/>
      <w:lvlJc w:val="left"/>
      <w:pPr>
        <w:ind w:left="7108"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452" w:hanging="1800"/>
      </w:pPr>
      <w:rPr>
        <w:rFonts w:hint="default"/>
      </w:rPr>
    </w:lvl>
  </w:abstractNum>
  <w:abstractNum w:abstractNumId="24">
    <w:nsid w:val="0CEF6460"/>
    <w:multiLevelType w:val="hybridMultilevel"/>
    <w:tmpl w:val="E4E48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0D505C5D"/>
    <w:multiLevelType w:val="hybridMultilevel"/>
    <w:tmpl w:val="DC2E94F6"/>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0D8F4766"/>
    <w:multiLevelType w:val="hybridMultilevel"/>
    <w:tmpl w:val="4ABEA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EA61617"/>
    <w:multiLevelType w:val="hybridMultilevel"/>
    <w:tmpl w:val="62C8EE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0EE62DD5"/>
    <w:multiLevelType w:val="hybridMultilevel"/>
    <w:tmpl w:val="6F128BBA"/>
    <w:lvl w:ilvl="0" w:tplc="F6FEEF04">
      <w:start w:val="1"/>
      <w:numFmt w:val="upperRoman"/>
      <w:pStyle w:val="Style5"/>
      <w:lvlText w:val="%1."/>
      <w:lvlJc w:val="right"/>
      <w:pPr>
        <w:ind w:left="720" w:hanging="360"/>
      </w:pPr>
    </w:lvl>
    <w:lvl w:ilvl="1" w:tplc="7D06C4B8">
      <w:start w:val="1"/>
      <w:numFmt w:val="lowerLetter"/>
      <w:lvlText w:val="(%2)"/>
      <w:lvlJc w:val="left"/>
      <w:pPr>
        <w:tabs>
          <w:tab w:val="num" w:pos="1440"/>
        </w:tabs>
        <w:ind w:left="1440" w:hanging="360"/>
      </w:pPr>
      <w:rPr>
        <w:rFonts w:hint="default"/>
      </w:rPr>
    </w:lvl>
    <w:lvl w:ilvl="2" w:tplc="0409001B">
      <w:start w:val="1"/>
      <w:numFmt w:val="lowerRoman"/>
      <w:lvlText w:val="%3."/>
      <w:lvlJc w:val="right"/>
      <w:pPr>
        <w:ind w:left="2160" w:hanging="180"/>
      </w:pPr>
    </w:lvl>
    <w:lvl w:ilvl="3" w:tplc="9BEC289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EF1E57"/>
    <w:multiLevelType w:val="hybridMultilevel"/>
    <w:tmpl w:val="8BF26B2E"/>
    <w:lvl w:ilvl="0" w:tplc="040C000B">
      <w:start w:val="1"/>
      <w:numFmt w:val="bullet"/>
      <w:lvlText w:val=""/>
      <w:lvlJc w:val="left"/>
      <w:pPr>
        <w:ind w:left="720" w:hanging="360"/>
      </w:pPr>
      <w:rPr>
        <w:rFonts w:ascii="Wingdings" w:hAnsi="Wingdings" w:hint="default"/>
      </w:rPr>
    </w:lvl>
    <w:lvl w:ilvl="1" w:tplc="48508B4A">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0EF03041"/>
    <w:multiLevelType w:val="hybridMultilevel"/>
    <w:tmpl w:val="9CA03C2A"/>
    <w:lvl w:ilvl="0" w:tplc="AF2CD21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0FB65A21"/>
    <w:multiLevelType w:val="hybridMultilevel"/>
    <w:tmpl w:val="D9E8335C"/>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2">
    <w:nsid w:val="10885A79"/>
    <w:multiLevelType w:val="multilevel"/>
    <w:tmpl w:val="3DF08CAA"/>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110515C2"/>
    <w:multiLevelType w:val="hybridMultilevel"/>
    <w:tmpl w:val="E12C0C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2561B3D"/>
    <w:multiLevelType w:val="hybridMultilevel"/>
    <w:tmpl w:val="5E30F1BA"/>
    <w:lvl w:ilvl="0" w:tplc="040C000D">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5">
    <w:nsid w:val="12E21E39"/>
    <w:multiLevelType w:val="hybridMultilevel"/>
    <w:tmpl w:val="320A059A"/>
    <w:lvl w:ilvl="0" w:tplc="25AA4D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31C5FC4"/>
    <w:multiLevelType w:val="hybridMultilevel"/>
    <w:tmpl w:val="0A2A4FB0"/>
    <w:lvl w:ilvl="0" w:tplc="E7648CCE">
      <w:start w:val="1"/>
      <w:numFmt w:val="lowerLetter"/>
      <w:lvlText w:val="(%1)"/>
      <w:lvlJc w:val="left"/>
      <w:pPr>
        <w:ind w:left="456" w:hanging="456"/>
      </w:pPr>
      <w:rPr>
        <w:rFonts w:hint="default"/>
        <w:lang w:val="en-US"/>
      </w:rPr>
    </w:lvl>
    <w:lvl w:ilvl="1" w:tplc="EEAA842C">
      <w:start w:val="28"/>
      <w:numFmt w:val="lowerLetter"/>
      <w:pStyle w:val="Outline2"/>
      <w:lvlText w:val="(%2)"/>
      <w:lvlJc w:val="left"/>
      <w:pPr>
        <w:tabs>
          <w:tab w:val="num" w:pos="1080"/>
        </w:tabs>
        <w:ind w:left="1080" w:hanging="360"/>
      </w:pPr>
      <w:rPr>
        <w:rFonts w:hint="default"/>
      </w:rPr>
    </w:lvl>
    <w:lvl w:ilvl="2" w:tplc="0409001B" w:tentative="1">
      <w:start w:val="1"/>
      <w:numFmt w:val="lowerRoman"/>
      <w:pStyle w:val="Outline3"/>
      <w:lvlText w:val="%3."/>
      <w:lvlJc w:val="right"/>
      <w:pPr>
        <w:ind w:left="1800" w:hanging="180"/>
      </w:pPr>
    </w:lvl>
    <w:lvl w:ilvl="3" w:tplc="0409000F" w:tentative="1">
      <w:start w:val="1"/>
      <w:numFmt w:val="decimal"/>
      <w:pStyle w:val="Outline4"/>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3BD6227"/>
    <w:multiLevelType w:val="hybridMultilevel"/>
    <w:tmpl w:val="820EC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14163308"/>
    <w:multiLevelType w:val="hybridMultilevel"/>
    <w:tmpl w:val="8EFAB330"/>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nsid w:val="14430E7F"/>
    <w:multiLevelType w:val="hybridMultilevel"/>
    <w:tmpl w:val="3F3062FA"/>
    <w:lvl w:ilvl="0" w:tplc="48508B4A">
      <w:numFmt w:val="bullet"/>
      <w:lvlText w:val=""/>
      <w:lvlJc w:val="left"/>
      <w:pPr>
        <w:ind w:left="1428" w:hanging="360"/>
      </w:pPr>
      <w:rPr>
        <w:rFonts w:ascii="Times New Roman" w:eastAsiaTheme="minorHAnsi" w:hAnsi="Times New Roman" w:cs="Times New Roman" w:hint="default"/>
      </w:rPr>
    </w:lvl>
    <w:lvl w:ilvl="1" w:tplc="48508B4A">
      <w:numFmt w:val="bullet"/>
      <w:lvlText w:val=""/>
      <w:lvlJc w:val="left"/>
      <w:pPr>
        <w:ind w:left="2148" w:hanging="360"/>
      </w:pPr>
      <w:rPr>
        <w:rFonts w:ascii="Times New Roman" w:eastAsiaTheme="minorHAnsi" w:hAnsi="Times New Roman"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nsid w:val="14B50686"/>
    <w:multiLevelType w:val="hybridMultilevel"/>
    <w:tmpl w:val="D4124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4CB5F59"/>
    <w:multiLevelType w:val="hybridMultilevel"/>
    <w:tmpl w:val="5A26E4C4"/>
    <w:lvl w:ilvl="0" w:tplc="D9B0E274">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160E3C24"/>
    <w:multiLevelType w:val="multilevel"/>
    <w:tmpl w:val="E8BC293E"/>
    <w:lvl w:ilvl="0">
      <w:start w:val="9"/>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3">
    <w:nsid w:val="173E50E7"/>
    <w:multiLevelType w:val="hybridMultilevel"/>
    <w:tmpl w:val="A2949C88"/>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4">
    <w:nsid w:val="175428B6"/>
    <w:multiLevelType w:val="hybridMultilevel"/>
    <w:tmpl w:val="10284B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7C21181"/>
    <w:multiLevelType w:val="hybridMultilevel"/>
    <w:tmpl w:val="7DA488FC"/>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6">
    <w:nsid w:val="18373DB5"/>
    <w:multiLevelType w:val="hybridMultilevel"/>
    <w:tmpl w:val="0BAE94E0"/>
    <w:lvl w:ilvl="0" w:tplc="040C0007">
      <w:start w:val="1"/>
      <w:numFmt w:val="bullet"/>
      <w:lvlText w:val=""/>
      <w:lvlPicBulletId w:val="2"/>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nsid w:val="189A769B"/>
    <w:multiLevelType w:val="hybridMultilevel"/>
    <w:tmpl w:val="B8A89B34"/>
    <w:lvl w:ilvl="0" w:tplc="9E0CCB9C">
      <w:start w:val="1"/>
      <w:numFmt w:val="bullet"/>
      <w:lvlText w:val=""/>
      <w:lvlJc w:val="left"/>
    </w:lvl>
    <w:lvl w:ilvl="1" w:tplc="CF9C17AE">
      <w:numFmt w:val="decimal"/>
      <w:lvlText w:val=""/>
      <w:lvlJc w:val="left"/>
    </w:lvl>
    <w:lvl w:ilvl="2" w:tplc="BE44B220">
      <w:numFmt w:val="decimal"/>
      <w:lvlText w:val=""/>
      <w:lvlJc w:val="left"/>
    </w:lvl>
    <w:lvl w:ilvl="3" w:tplc="18D04BB6">
      <w:numFmt w:val="decimal"/>
      <w:lvlText w:val=""/>
      <w:lvlJc w:val="left"/>
    </w:lvl>
    <w:lvl w:ilvl="4" w:tplc="1E226736">
      <w:numFmt w:val="decimal"/>
      <w:lvlText w:val=""/>
      <w:lvlJc w:val="left"/>
    </w:lvl>
    <w:lvl w:ilvl="5" w:tplc="1A185E08">
      <w:numFmt w:val="decimal"/>
      <w:lvlText w:val=""/>
      <w:lvlJc w:val="left"/>
    </w:lvl>
    <w:lvl w:ilvl="6" w:tplc="B748FE76">
      <w:numFmt w:val="decimal"/>
      <w:lvlText w:val=""/>
      <w:lvlJc w:val="left"/>
    </w:lvl>
    <w:lvl w:ilvl="7" w:tplc="8D325010">
      <w:numFmt w:val="decimal"/>
      <w:lvlText w:val=""/>
      <w:lvlJc w:val="left"/>
    </w:lvl>
    <w:lvl w:ilvl="8" w:tplc="C4F0B6AE">
      <w:numFmt w:val="decimal"/>
      <w:lvlText w:val=""/>
      <w:lvlJc w:val="left"/>
    </w:lvl>
  </w:abstractNum>
  <w:abstractNum w:abstractNumId="48">
    <w:nsid w:val="19300159"/>
    <w:multiLevelType w:val="hybridMultilevel"/>
    <w:tmpl w:val="C9B25B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19CB24FA"/>
    <w:multiLevelType w:val="hybridMultilevel"/>
    <w:tmpl w:val="16B22832"/>
    <w:lvl w:ilvl="0" w:tplc="23CA4284">
      <w:start w:val="1"/>
      <w:numFmt w:val="decimal"/>
      <w:lvlText w:val="%1."/>
      <w:lvlJc w:val="left"/>
      <w:pPr>
        <w:ind w:left="1095" w:hanging="7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1A12694D"/>
    <w:multiLevelType w:val="multilevel"/>
    <w:tmpl w:val="1A1269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nsid w:val="1A851F89"/>
    <w:multiLevelType w:val="hybridMultilevel"/>
    <w:tmpl w:val="1540A5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1C99405F"/>
    <w:multiLevelType w:val="hybridMultilevel"/>
    <w:tmpl w:val="7F929538"/>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3">
    <w:nsid w:val="1CA64514"/>
    <w:multiLevelType w:val="hybridMultilevel"/>
    <w:tmpl w:val="48DE022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1CB45B93"/>
    <w:multiLevelType w:val="hybridMultilevel"/>
    <w:tmpl w:val="E82C8E3E"/>
    <w:lvl w:ilvl="0" w:tplc="EAA2E89A">
      <w:start w:val="1"/>
      <w:numFmt w:val="low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1CE1186F"/>
    <w:multiLevelType w:val="multilevel"/>
    <w:tmpl w:val="E998FAFE"/>
    <w:lvl w:ilvl="0">
      <w:start w:val="1"/>
      <w:numFmt w:val="decimal"/>
      <w:lvlText w:val="%1."/>
      <w:lvlJc w:val="left"/>
      <w:pPr>
        <w:ind w:left="720" w:hanging="360"/>
      </w:pPr>
    </w:lvl>
    <w:lvl w:ilvl="1">
      <w:start w:val="1"/>
      <w:numFmt w:val="decimal"/>
      <w:isLgl/>
      <w:lvlText w:val="%1.%2"/>
      <w:lvlJc w:val="left"/>
      <w:pPr>
        <w:ind w:left="1571" w:hanging="720"/>
      </w:pPr>
      <w:rPr>
        <w:rFonts w:hint="default"/>
        <w:color w:val="000000" w:themeColor="text1"/>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56">
    <w:nsid w:val="1DFB515F"/>
    <w:multiLevelType w:val="hybridMultilevel"/>
    <w:tmpl w:val="CCC437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1E68387F"/>
    <w:multiLevelType w:val="hybridMultilevel"/>
    <w:tmpl w:val="2DAED932"/>
    <w:lvl w:ilvl="0" w:tplc="0E2E50B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1E93360C"/>
    <w:multiLevelType w:val="hybridMultilevel"/>
    <w:tmpl w:val="574A27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1EB96187"/>
    <w:multiLevelType w:val="hybridMultilevel"/>
    <w:tmpl w:val="8282401A"/>
    <w:lvl w:ilvl="0" w:tplc="040C0009">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1ECD44CB"/>
    <w:multiLevelType w:val="hybridMultilevel"/>
    <w:tmpl w:val="F0BCEF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1F6A5CFC"/>
    <w:multiLevelType w:val="hybridMultilevel"/>
    <w:tmpl w:val="95BA6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FBB7ED0"/>
    <w:multiLevelType w:val="multilevel"/>
    <w:tmpl w:val="88EE9C1E"/>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4">
    <w:nsid w:val="204C33D1"/>
    <w:multiLevelType w:val="hybridMultilevel"/>
    <w:tmpl w:val="15EC68D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5">
    <w:nsid w:val="20587D45"/>
    <w:multiLevelType w:val="hybridMultilevel"/>
    <w:tmpl w:val="E2A2DE18"/>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6">
    <w:nsid w:val="20A76A6B"/>
    <w:multiLevelType w:val="hybridMultilevel"/>
    <w:tmpl w:val="B2585F9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20D72A8"/>
    <w:multiLevelType w:val="hybridMultilevel"/>
    <w:tmpl w:val="D470864A"/>
    <w:lvl w:ilvl="0" w:tplc="B504DD3E">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68">
    <w:nsid w:val="24383B5E"/>
    <w:multiLevelType w:val="hybridMultilevel"/>
    <w:tmpl w:val="83D62A76"/>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69">
    <w:nsid w:val="24D5494F"/>
    <w:multiLevelType w:val="hybridMultilevel"/>
    <w:tmpl w:val="2C3C7F0C"/>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0">
    <w:nsid w:val="24F917E6"/>
    <w:multiLevelType w:val="hybridMultilevel"/>
    <w:tmpl w:val="23AE12F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nsid w:val="25591382"/>
    <w:multiLevelType w:val="hybridMultilevel"/>
    <w:tmpl w:val="35623D8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25B672A2"/>
    <w:multiLevelType w:val="hybridMultilevel"/>
    <w:tmpl w:val="F31051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3">
    <w:nsid w:val="25D17CA8"/>
    <w:multiLevelType w:val="hybridMultilevel"/>
    <w:tmpl w:val="2D185A16"/>
    <w:lvl w:ilvl="0" w:tplc="D9B0E274">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74">
    <w:nsid w:val="262A5A2E"/>
    <w:multiLevelType w:val="hybridMultilevel"/>
    <w:tmpl w:val="BEECE90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5">
    <w:nsid w:val="264A0FF7"/>
    <w:multiLevelType w:val="hybridMultilevel"/>
    <w:tmpl w:val="65B667E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269F5772"/>
    <w:multiLevelType w:val="hybridMultilevel"/>
    <w:tmpl w:val="D5F816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nsid w:val="26A42819"/>
    <w:multiLevelType w:val="hybridMultilevel"/>
    <w:tmpl w:val="3934C8A0"/>
    <w:lvl w:ilvl="0" w:tplc="040C0009">
      <w:start w:val="1"/>
      <w:numFmt w:val="bullet"/>
      <w:lvlText w:val=""/>
      <w:lvlJc w:val="left"/>
      <w:pPr>
        <w:ind w:left="501" w:hanging="360"/>
      </w:pPr>
      <w:rPr>
        <w:rFonts w:ascii="Wingdings" w:hAnsi="Wingdings" w:hint="default"/>
        <w:color w:val="auto"/>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78">
    <w:nsid w:val="273A1D3F"/>
    <w:multiLevelType w:val="hybridMultilevel"/>
    <w:tmpl w:val="44C0ECC4"/>
    <w:lvl w:ilvl="0" w:tplc="040C000F">
      <w:start w:val="1"/>
      <w:numFmt w:val="decimal"/>
      <w:lvlText w:val="%1."/>
      <w:lvlJc w:val="lef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79">
    <w:nsid w:val="278565A3"/>
    <w:multiLevelType w:val="hybridMultilevel"/>
    <w:tmpl w:val="3438AC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27BB6478"/>
    <w:multiLevelType w:val="hybridMultilevel"/>
    <w:tmpl w:val="A120C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27CB5525"/>
    <w:multiLevelType w:val="hybridMultilevel"/>
    <w:tmpl w:val="8B70B9BE"/>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82">
    <w:nsid w:val="28186096"/>
    <w:multiLevelType w:val="hybridMultilevel"/>
    <w:tmpl w:val="656411E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nsid w:val="29044835"/>
    <w:multiLevelType w:val="hybridMultilevel"/>
    <w:tmpl w:val="9F201252"/>
    <w:lvl w:ilvl="0" w:tplc="040C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296838A7"/>
    <w:multiLevelType w:val="multilevel"/>
    <w:tmpl w:val="3064CB52"/>
    <w:lvl w:ilvl="0">
      <w:start w:val="8"/>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nsid w:val="29AC5C80"/>
    <w:multiLevelType w:val="hybridMultilevel"/>
    <w:tmpl w:val="EC6C68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2A1C3613"/>
    <w:multiLevelType w:val="hybridMultilevel"/>
    <w:tmpl w:val="544EC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A676866"/>
    <w:multiLevelType w:val="hybridMultilevel"/>
    <w:tmpl w:val="C2466CD6"/>
    <w:lvl w:ilvl="0" w:tplc="43B4BB46">
      <w:start w:val="1"/>
      <w:numFmt w:val="bullet"/>
      <w:lvlText w:val=""/>
      <w:lvlJc w:val="left"/>
      <w:pPr>
        <w:ind w:left="1211"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nsid w:val="2AFD53F2"/>
    <w:multiLevelType w:val="hybridMultilevel"/>
    <w:tmpl w:val="4CB6740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nsid w:val="2B040577"/>
    <w:multiLevelType w:val="hybridMultilevel"/>
    <w:tmpl w:val="2AD0D78E"/>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2B494E04"/>
    <w:multiLevelType w:val="hybridMultilevel"/>
    <w:tmpl w:val="097421BC"/>
    <w:lvl w:ilvl="0" w:tplc="48508B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B5B7234"/>
    <w:multiLevelType w:val="hybridMultilevel"/>
    <w:tmpl w:val="2EDCF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2BFE5F82"/>
    <w:multiLevelType w:val="hybridMultilevel"/>
    <w:tmpl w:val="33A0D32C"/>
    <w:lvl w:ilvl="0" w:tplc="4BBE0C7C">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3">
    <w:nsid w:val="2CA869FE"/>
    <w:multiLevelType w:val="hybridMultilevel"/>
    <w:tmpl w:val="24F88F2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4">
    <w:nsid w:val="2CD05ED7"/>
    <w:multiLevelType w:val="hybridMultilevel"/>
    <w:tmpl w:val="374853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2D100261"/>
    <w:multiLevelType w:val="multilevel"/>
    <w:tmpl w:val="2D1002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2E164A0D"/>
    <w:multiLevelType w:val="hybridMultilevel"/>
    <w:tmpl w:val="1A487BBC"/>
    <w:lvl w:ilvl="0" w:tplc="4A4A5A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2E8720B3"/>
    <w:multiLevelType w:val="hybridMultilevel"/>
    <w:tmpl w:val="81FE6B98"/>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8">
    <w:nsid w:val="2EA8276B"/>
    <w:multiLevelType w:val="hybridMultilevel"/>
    <w:tmpl w:val="9A2ADA8E"/>
    <w:lvl w:ilvl="0" w:tplc="E28C90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2EDB5280"/>
    <w:multiLevelType w:val="hybridMultilevel"/>
    <w:tmpl w:val="595EE630"/>
    <w:lvl w:ilvl="0" w:tplc="040C000D">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0">
    <w:nsid w:val="3019737D"/>
    <w:multiLevelType w:val="hybridMultilevel"/>
    <w:tmpl w:val="85F0CFD2"/>
    <w:lvl w:ilvl="0" w:tplc="040C0009">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01">
    <w:nsid w:val="30555671"/>
    <w:multiLevelType w:val="hybridMultilevel"/>
    <w:tmpl w:val="DE146490"/>
    <w:lvl w:ilvl="0" w:tplc="DC007F0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DC007F00">
      <w:numFmt w:val="bullet"/>
      <w:lvlText w:val="-"/>
      <w:lvlJc w:val="left"/>
      <w:pPr>
        <w:ind w:left="2160" w:hanging="360"/>
      </w:pPr>
      <w:rPr>
        <w:rFonts w:ascii="Calibri" w:eastAsia="Calibri" w:hAnsi="Calibri"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308E6708"/>
    <w:multiLevelType w:val="hybridMultilevel"/>
    <w:tmpl w:val="F5C08AD0"/>
    <w:lvl w:ilvl="0" w:tplc="EAE86FB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10D7795"/>
    <w:multiLevelType w:val="multilevel"/>
    <w:tmpl w:val="E6840B40"/>
    <w:lvl w:ilvl="0">
      <w:start w:val="1"/>
      <w:numFmt w:val="decimal"/>
      <w:pStyle w:val="Section8Heading2"/>
      <w:lvlText w:val="%1."/>
      <w:lvlJc w:val="left"/>
      <w:pPr>
        <w:ind w:left="720" w:hanging="360"/>
      </w:pPr>
    </w:lvl>
    <w:lvl w:ilvl="1">
      <w:start w:val="1"/>
      <w:numFmt w:val="decimal"/>
      <w:isLgl/>
      <w:lvlText w:val="%1.%2."/>
      <w:lvlJc w:val="left"/>
      <w:pPr>
        <w:ind w:left="720" w:hanging="360"/>
      </w:pPr>
      <w:rPr>
        <w:rFonts w:hint="default"/>
      </w:rPr>
    </w:lvl>
    <w:lvl w:ilvl="2">
      <w:start w:val="1"/>
      <w:numFmt w:val="decimal"/>
      <w:pStyle w:val="titre4"/>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nsid w:val="312D4989"/>
    <w:multiLevelType w:val="hybridMultilevel"/>
    <w:tmpl w:val="938278DA"/>
    <w:lvl w:ilvl="0" w:tplc="040C000D">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5">
    <w:nsid w:val="319439E6"/>
    <w:multiLevelType w:val="multilevel"/>
    <w:tmpl w:val="0CDCACCE"/>
    <w:lvl w:ilvl="0">
      <w:start w:val="1"/>
      <w:numFmt w:val="lowerLetter"/>
      <w:pStyle w:val="StyleMainParanoChapter11ptBold"/>
      <w:lvlText w:val="%1."/>
      <w:lvlJc w:val="left"/>
      <w:pPr>
        <w:tabs>
          <w:tab w:val="num" w:pos="360"/>
        </w:tabs>
        <w:ind w:left="360" w:hanging="360"/>
      </w:pPr>
      <w:rPr>
        <w:rFonts w:hint="default"/>
        <w:b w:val="0"/>
        <w:i w:val="0"/>
      </w:rPr>
    </w:lvl>
    <w:lvl w:ilvl="1">
      <w:start w:val="1"/>
      <w:numFmt w:val="decimal"/>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nsid w:val="31E67E7D"/>
    <w:multiLevelType w:val="hybridMultilevel"/>
    <w:tmpl w:val="8A988D24"/>
    <w:lvl w:ilvl="0" w:tplc="040C000D">
      <w:start w:val="1"/>
      <w:numFmt w:val="bullet"/>
      <w:lvlText w:val=""/>
      <w:lvlJc w:val="left"/>
      <w:pPr>
        <w:ind w:left="1893" w:hanging="360"/>
      </w:pPr>
      <w:rPr>
        <w:rFonts w:ascii="Wingdings" w:hAnsi="Wingdings" w:hint="default"/>
      </w:rPr>
    </w:lvl>
    <w:lvl w:ilvl="1" w:tplc="040C0003">
      <w:start w:val="1"/>
      <w:numFmt w:val="bullet"/>
      <w:lvlText w:val="o"/>
      <w:lvlJc w:val="left"/>
      <w:pPr>
        <w:ind w:left="2613" w:hanging="360"/>
      </w:pPr>
      <w:rPr>
        <w:rFonts w:ascii="Courier New" w:hAnsi="Courier New" w:cs="Courier New" w:hint="default"/>
      </w:rPr>
    </w:lvl>
    <w:lvl w:ilvl="2" w:tplc="040C0005" w:tentative="1">
      <w:start w:val="1"/>
      <w:numFmt w:val="bullet"/>
      <w:lvlText w:val=""/>
      <w:lvlJc w:val="left"/>
      <w:pPr>
        <w:ind w:left="3333" w:hanging="360"/>
      </w:pPr>
      <w:rPr>
        <w:rFonts w:ascii="Wingdings" w:hAnsi="Wingdings" w:hint="default"/>
      </w:rPr>
    </w:lvl>
    <w:lvl w:ilvl="3" w:tplc="040C0001" w:tentative="1">
      <w:start w:val="1"/>
      <w:numFmt w:val="bullet"/>
      <w:lvlText w:val=""/>
      <w:lvlJc w:val="left"/>
      <w:pPr>
        <w:ind w:left="4053" w:hanging="360"/>
      </w:pPr>
      <w:rPr>
        <w:rFonts w:ascii="Symbol" w:hAnsi="Symbol" w:hint="default"/>
      </w:rPr>
    </w:lvl>
    <w:lvl w:ilvl="4" w:tplc="040C0003" w:tentative="1">
      <w:start w:val="1"/>
      <w:numFmt w:val="bullet"/>
      <w:lvlText w:val="o"/>
      <w:lvlJc w:val="left"/>
      <w:pPr>
        <w:ind w:left="4773" w:hanging="360"/>
      </w:pPr>
      <w:rPr>
        <w:rFonts w:ascii="Courier New" w:hAnsi="Courier New" w:cs="Courier New" w:hint="default"/>
      </w:rPr>
    </w:lvl>
    <w:lvl w:ilvl="5" w:tplc="040C0005" w:tentative="1">
      <w:start w:val="1"/>
      <w:numFmt w:val="bullet"/>
      <w:lvlText w:val=""/>
      <w:lvlJc w:val="left"/>
      <w:pPr>
        <w:ind w:left="5493" w:hanging="360"/>
      </w:pPr>
      <w:rPr>
        <w:rFonts w:ascii="Wingdings" w:hAnsi="Wingdings" w:hint="default"/>
      </w:rPr>
    </w:lvl>
    <w:lvl w:ilvl="6" w:tplc="040C0001" w:tentative="1">
      <w:start w:val="1"/>
      <w:numFmt w:val="bullet"/>
      <w:lvlText w:val=""/>
      <w:lvlJc w:val="left"/>
      <w:pPr>
        <w:ind w:left="6213" w:hanging="360"/>
      </w:pPr>
      <w:rPr>
        <w:rFonts w:ascii="Symbol" w:hAnsi="Symbol" w:hint="default"/>
      </w:rPr>
    </w:lvl>
    <w:lvl w:ilvl="7" w:tplc="040C0003" w:tentative="1">
      <w:start w:val="1"/>
      <w:numFmt w:val="bullet"/>
      <w:lvlText w:val="o"/>
      <w:lvlJc w:val="left"/>
      <w:pPr>
        <w:ind w:left="6933" w:hanging="360"/>
      </w:pPr>
      <w:rPr>
        <w:rFonts w:ascii="Courier New" w:hAnsi="Courier New" w:cs="Courier New" w:hint="default"/>
      </w:rPr>
    </w:lvl>
    <w:lvl w:ilvl="8" w:tplc="040C0005" w:tentative="1">
      <w:start w:val="1"/>
      <w:numFmt w:val="bullet"/>
      <w:lvlText w:val=""/>
      <w:lvlJc w:val="left"/>
      <w:pPr>
        <w:ind w:left="7653" w:hanging="360"/>
      </w:pPr>
      <w:rPr>
        <w:rFonts w:ascii="Wingdings" w:hAnsi="Wingdings" w:hint="default"/>
      </w:rPr>
    </w:lvl>
  </w:abstractNum>
  <w:abstractNum w:abstractNumId="107">
    <w:nsid w:val="323F5FE4"/>
    <w:multiLevelType w:val="hybridMultilevel"/>
    <w:tmpl w:val="D51C0A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32A517ED"/>
    <w:multiLevelType w:val="hybridMultilevel"/>
    <w:tmpl w:val="4672D078"/>
    <w:lvl w:ilvl="0" w:tplc="02721D68">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32C15C7A"/>
    <w:multiLevelType w:val="hybridMultilevel"/>
    <w:tmpl w:val="DB34087E"/>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10">
    <w:nsid w:val="341B1BCA"/>
    <w:multiLevelType w:val="hybridMultilevel"/>
    <w:tmpl w:val="AE489EC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11">
    <w:nsid w:val="342F222F"/>
    <w:multiLevelType w:val="hybridMultilevel"/>
    <w:tmpl w:val="28FCB4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34473820"/>
    <w:multiLevelType w:val="hybridMultilevel"/>
    <w:tmpl w:val="43E0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4BF4A7C"/>
    <w:multiLevelType w:val="hybridMultilevel"/>
    <w:tmpl w:val="57A4A85E"/>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4">
    <w:nsid w:val="35FB25CC"/>
    <w:multiLevelType w:val="hybridMultilevel"/>
    <w:tmpl w:val="897E4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36BD36A3"/>
    <w:multiLevelType w:val="hybridMultilevel"/>
    <w:tmpl w:val="9E02312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72830A6"/>
    <w:multiLevelType w:val="hybridMultilevel"/>
    <w:tmpl w:val="096CAFC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73B0608"/>
    <w:multiLevelType w:val="hybridMultilevel"/>
    <w:tmpl w:val="1E5046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375908D2"/>
    <w:multiLevelType w:val="hybridMultilevel"/>
    <w:tmpl w:val="43929F0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377E0A06"/>
    <w:multiLevelType w:val="hybridMultilevel"/>
    <w:tmpl w:val="F09E89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0">
    <w:nsid w:val="37FA3A8D"/>
    <w:multiLevelType w:val="multilevel"/>
    <w:tmpl w:val="57AA8C40"/>
    <w:lvl w:ilvl="0">
      <w:start w:val="1"/>
      <w:numFmt w:val="decimal"/>
      <w:lvlText w:val="%1."/>
      <w:lvlJc w:val="left"/>
      <w:pPr>
        <w:ind w:left="7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420" w:hanging="720"/>
      </w:pPr>
      <w:rPr>
        <w:rFonts w:hint="default"/>
        <w:b/>
        <w:sz w:val="24"/>
        <w:szCs w:val="24"/>
      </w:rPr>
    </w:lvl>
    <w:lvl w:ilvl="3">
      <w:start w:val="1"/>
      <w:numFmt w:val="decimal"/>
      <w:isLgl/>
      <w:lvlText w:val="%1.%2.%3.%4"/>
      <w:lvlJc w:val="left"/>
      <w:pPr>
        <w:ind w:left="2989" w:hanging="720"/>
      </w:pPr>
      <w:rPr>
        <w:rFonts w:hint="default"/>
        <w:b/>
      </w:rPr>
    </w:lvl>
    <w:lvl w:ilvl="4">
      <w:start w:val="1"/>
      <w:numFmt w:val="decimal"/>
      <w:isLgl/>
      <w:lvlText w:val="%1.%2.%3.%4.%5"/>
      <w:lvlJc w:val="left"/>
      <w:pPr>
        <w:ind w:left="4764" w:hanging="1080"/>
      </w:pPr>
      <w:rPr>
        <w:rFonts w:hint="default"/>
      </w:rPr>
    </w:lvl>
    <w:lvl w:ilvl="5">
      <w:start w:val="1"/>
      <w:numFmt w:val="decimal"/>
      <w:isLgl/>
      <w:lvlText w:val="%1.%2.%3.%4.%5.%6"/>
      <w:lvlJc w:val="left"/>
      <w:pPr>
        <w:ind w:left="5756" w:hanging="1080"/>
      </w:pPr>
      <w:rPr>
        <w:rFonts w:hint="default"/>
      </w:rPr>
    </w:lvl>
    <w:lvl w:ilvl="6">
      <w:start w:val="1"/>
      <w:numFmt w:val="decimal"/>
      <w:isLgl/>
      <w:lvlText w:val="%1.%2.%3.%4.%5.%6.%7"/>
      <w:lvlJc w:val="left"/>
      <w:pPr>
        <w:ind w:left="7108"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452" w:hanging="1800"/>
      </w:pPr>
      <w:rPr>
        <w:rFonts w:hint="default"/>
      </w:rPr>
    </w:lvl>
  </w:abstractNum>
  <w:abstractNum w:abstractNumId="121">
    <w:nsid w:val="381D6418"/>
    <w:multiLevelType w:val="hybridMultilevel"/>
    <w:tmpl w:val="79F42A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383B766E"/>
    <w:multiLevelType w:val="hybridMultilevel"/>
    <w:tmpl w:val="6AE430EA"/>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23">
    <w:nsid w:val="38710BFA"/>
    <w:multiLevelType w:val="hybridMultilevel"/>
    <w:tmpl w:val="C5E0B448"/>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4">
    <w:nsid w:val="38CB0303"/>
    <w:multiLevelType w:val="hybridMultilevel"/>
    <w:tmpl w:val="88DCCF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38D3361C"/>
    <w:multiLevelType w:val="hybridMultilevel"/>
    <w:tmpl w:val="561E2918"/>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6">
    <w:nsid w:val="38FB3915"/>
    <w:multiLevelType w:val="hybridMultilevel"/>
    <w:tmpl w:val="40E4C3E2"/>
    <w:lvl w:ilvl="0" w:tplc="38568EC6">
      <w:start w:val="6"/>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7">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128">
    <w:nsid w:val="3B5A398E"/>
    <w:multiLevelType w:val="hybridMultilevel"/>
    <w:tmpl w:val="6C988C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3B9E5B48"/>
    <w:multiLevelType w:val="hybridMultilevel"/>
    <w:tmpl w:val="A022BA3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3BAC79B9"/>
    <w:multiLevelType w:val="hybridMultilevel"/>
    <w:tmpl w:val="F704DD9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3C4F5ACF"/>
    <w:multiLevelType w:val="hybridMultilevel"/>
    <w:tmpl w:val="FEF0E836"/>
    <w:lvl w:ilvl="0" w:tplc="040C0009">
      <w:start w:val="1"/>
      <w:numFmt w:val="bullet"/>
      <w:lvlText w:val=""/>
      <w:lvlJc w:val="left"/>
      <w:pPr>
        <w:ind w:left="1872" w:hanging="360"/>
      </w:pPr>
      <w:rPr>
        <w:rFonts w:ascii="Wingdings" w:hAnsi="Wingdings" w:hint="default"/>
      </w:rPr>
    </w:lvl>
    <w:lvl w:ilvl="1" w:tplc="040C0003" w:tentative="1">
      <w:start w:val="1"/>
      <w:numFmt w:val="bullet"/>
      <w:lvlText w:val="o"/>
      <w:lvlJc w:val="left"/>
      <w:pPr>
        <w:ind w:left="2592" w:hanging="360"/>
      </w:pPr>
      <w:rPr>
        <w:rFonts w:ascii="Courier New" w:hAnsi="Courier New" w:cs="Courier New" w:hint="default"/>
      </w:rPr>
    </w:lvl>
    <w:lvl w:ilvl="2" w:tplc="040C0005" w:tentative="1">
      <w:start w:val="1"/>
      <w:numFmt w:val="bullet"/>
      <w:lvlText w:val=""/>
      <w:lvlJc w:val="left"/>
      <w:pPr>
        <w:ind w:left="3312" w:hanging="360"/>
      </w:pPr>
      <w:rPr>
        <w:rFonts w:ascii="Wingdings" w:hAnsi="Wingdings" w:hint="default"/>
      </w:rPr>
    </w:lvl>
    <w:lvl w:ilvl="3" w:tplc="040C0001" w:tentative="1">
      <w:start w:val="1"/>
      <w:numFmt w:val="bullet"/>
      <w:lvlText w:val=""/>
      <w:lvlJc w:val="left"/>
      <w:pPr>
        <w:ind w:left="4032" w:hanging="360"/>
      </w:pPr>
      <w:rPr>
        <w:rFonts w:ascii="Symbol" w:hAnsi="Symbol" w:hint="default"/>
      </w:rPr>
    </w:lvl>
    <w:lvl w:ilvl="4" w:tplc="040C0003" w:tentative="1">
      <w:start w:val="1"/>
      <w:numFmt w:val="bullet"/>
      <w:lvlText w:val="o"/>
      <w:lvlJc w:val="left"/>
      <w:pPr>
        <w:ind w:left="4752" w:hanging="360"/>
      </w:pPr>
      <w:rPr>
        <w:rFonts w:ascii="Courier New" w:hAnsi="Courier New" w:cs="Courier New" w:hint="default"/>
      </w:rPr>
    </w:lvl>
    <w:lvl w:ilvl="5" w:tplc="040C0005" w:tentative="1">
      <w:start w:val="1"/>
      <w:numFmt w:val="bullet"/>
      <w:lvlText w:val=""/>
      <w:lvlJc w:val="left"/>
      <w:pPr>
        <w:ind w:left="5472" w:hanging="360"/>
      </w:pPr>
      <w:rPr>
        <w:rFonts w:ascii="Wingdings" w:hAnsi="Wingdings" w:hint="default"/>
      </w:rPr>
    </w:lvl>
    <w:lvl w:ilvl="6" w:tplc="040C0001" w:tentative="1">
      <w:start w:val="1"/>
      <w:numFmt w:val="bullet"/>
      <w:lvlText w:val=""/>
      <w:lvlJc w:val="left"/>
      <w:pPr>
        <w:ind w:left="6192" w:hanging="360"/>
      </w:pPr>
      <w:rPr>
        <w:rFonts w:ascii="Symbol" w:hAnsi="Symbol" w:hint="default"/>
      </w:rPr>
    </w:lvl>
    <w:lvl w:ilvl="7" w:tplc="040C0003" w:tentative="1">
      <w:start w:val="1"/>
      <w:numFmt w:val="bullet"/>
      <w:lvlText w:val="o"/>
      <w:lvlJc w:val="left"/>
      <w:pPr>
        <w:ind w:left="6912" w:hanging="360"/>
      </w:pPr>
      <w:rPr>
        <w:rFonts w:ascii="Courier New" w:hAnsi="Courier New" w:cs="Courier New" w:hint="default"/>
      </w:rPr>
    </w:lvl>
    <w:lvl w:ilvl="8" w:tplc="040C0005" w:tentative="1">
      <w:start w:val="1"/>
      <w:numFmt w:val="bullet"/>
      <w:lvlText w:val=""/>
      <w:lvlJc w:val="left"/>
      <w:pPr>
        <w:ind w:left="7632" w:hanging="360"/>
      </w:pPr>
      <w:rPr>
        <w:rFonts w:ascii="Wingdings" w:hAnsi="Wingdings" w:hint="default"/>
      </w:rPr>
    </w:lvl>
  </w:abstractNum>
  <w:abstractNum w:abstractNumId="132">
    <w:nsid w:val="3C9321AE"/>
    <w:multiLevelType w:val="hybridMultilevel"/>
    <w:tmpl w:val="86F29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3CE861A4"/>
    <w:multiLevelType w:val="hybridMultilevel"/>
    <w:tmpl w:val="5170C9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3DBA4379"/>
    <w:multiLevelType w:val="hybridMultilevel"/>
    <w:tmpl w:val="91BEC332"/>
    <w:lvl w:ilvl="0" w:tplc="FFFFFFFF">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5">
    <w:nsid w:val="3DF05E31"/>
    <w:multiLevelType w:val="hybridMultilevel"/>
    <w:tmpl w:val="AEAA26BC"/>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nsid w:val="3E9111A2"/>
    <w:multiLevelType w:val="hybridMultilevel"/>
    <w:tmpl w:val="18164DA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3E9D4A89"/>
    <w:multiLevelType w:val="hybridMultilevel"/>
    <w:tmpl w:val="4E00B42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EA62DB0"/>
    <w:multiLevelType w:val="hybridMultilevel"/>
    <w:tmpl w:val="921A52C2"/>
    <w:lvl w:ilvl="0" w:tplc="2ECA642A">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3F090048"/>
    <w:multiLevelType w:val="hybridMultilevel"/>
    <w:tmpl w:val="2A2A17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3F9034E2"/>
    <w:multiLevelType w:val="hybridMultilevel"/>
    <w:tmpl w:val="0346E5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41B6379D"/>
    <w:multiLevelType w:val="hybridMultilevel"/>
    <w:tmpl w:val="A6E07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41F0581B"/>
    <w:multiLevelType w:val="hybridMultilevel"/>
    <w:tmpl w:val="A74459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42031C94"/>
    <w:multiLevelType w:val="hybridMultilevel"/>
    <w:tmpl w:val="1324C6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424222CF"/>
    <w:multiLevelType w:val="hybridMultilevel"/>
    <w:tmpl w:val="4E48B404"/>
    <w:lvl w:ilvl="0" w:tplc="FFFFFFFF">
      <w:start w:val="1"/>
      <w:numFmt w:val="bullet"/>
      <w:lvlText w:val=""/>
      <w:lvlJc w:val="left"/>
      <w:pPr>
        <w:tabs>
          <w:tab w:val="num" w:pos="720"/>
        </w:tabs>
        <w:ind w:left="720" w:hanging="360"/>
      </w:pPr>
      <w:rPr>
        <w:rFonts w:ascii="Symbol" w:hAnsi="Symbol" w:hint="default"/>
      </w:rPr>
    </w:lvl>
    <w:lvl w:ilvl="1" w:tplc="040C0009">
      <w:start w:val="1"/>
      <w:numFmt w:val="bullet"/>
      <w:lvlText w:val=""/>
      <w:lvlJc w:val="left"/>
      <w:pPr>
        <w:tabs>
          <w:tab w:val="num" w:pos="1440"/>
        </w:tabs>
        <w:ind w:left="1440" w:hanging="360"/>
      </w:pPr>
      <w:rPr>
        <w:rFonts w:ascii="Wingdings" w:hAnsi="Wingdings" w:hint="default"/>
      </w:rPr>
    </w:lvl>
    <w:lvl w:ilvl="2" w:tplc="08B68436">
      <w:start w:val="12"/>
      <w:numFmt w:val="bullet"/>
      <w:lvlText w:val="-"/>
      <w:lvlJc w:val="left"/>
      <w:pPr>
        <w:ind w:left="2160" w:hanging="360"/>
      </w:pPr>
      <w:rPr>
        <w:rFonts w:ascii="Maiandra GD" w:eastAsia="Calibri" w:hAnsi="Maiandra GD"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5">
    <w:nsid w:val="42F32FC6"/>
    <w:multiLevelType w:val="hybridMultilevel"/>
    <w:tmpl w:val="07C67184"/>
    <w:lvl w:ilvl="0" w:tplc="040C0001">
      <w:start w:val="1"/>
      <w:numFmt w:val="bullet"/>
      <w:lvlText w:val=""/>
      <w:lvlJc w:val="left"/>
      <w:pPr>
        <w:ind w:left="720" w:hanging="360"/>
      </w:pPr>
      <w:rPr>
        <w:rFonts w:ascii="Symbol" w:hAnsi="Symbol" w:hint="default"/>
      </w:rPr>
    </w:lvl>
    <w:lvl w:ilvl="1" w:tplc="0658A67A">
      <w:numFmt w:val="decimal"/>
      <w:lvlText w:val=""/>
      <w:lvlJc w:val="left"/>
    </w:lvl>
    <w:lvl w:ilvl="2" w:tplc="3F1C81F6">
      <w:numFmt w:val="decimal"/>
      <w:lvlText w:val=""/>
      <w:lvlJc w:val="left"/>
    </w:lvl>
    <w:lvl w:ilvl="3" w:tplc="45B6EB6C">
      <w:numFmt w:val="decimal"/>
      <w:lvlText w:val=""/>
      <w:lvlJc w:val="left"/>
    </w:lvl>
    <w:lvl w:ilvl="4" w:tplc="26D2AA18">
      <w:numFmt w:val="decimal"/>
      <w:lvlText w:val=""/>
      <w:lvlJc w:val="left"/>
    </w:lvl>
    <w:lvl w:ilvl="5" w:tplc="08B45832">
      <w:numFmt w:val="decimal"/>
      <w:lvlText w:val=""/>
      <w:lvlJc w:val="left"/>
    </w:lvl>
    <w:lvl w:ilvl="6" w:tplc="C9BCB4A0">
      <w:numFmt w:val="decimal"/>
      <w:lvlText w:val=""/>
      <w:lvlJc w:val="left"/>
    </w:lvl>
    <w:lvl w:ilvl="7" w:tplc="D14E3542">
      <w:numFmt w:val="decimal"/>
      <w:lvlText w:val=""/>
      <w:lvlJc w:val="left"/>
    </w:lvl>
    <w:lvl w:ilvl="8" w:tplc="913A03FA">
      <w:numFmt w:val="decimal"/>
      <w:lvlText w:val=""/>
      <w:lvlJc w:val="left"/>
    </w:lvl>
  </w:abstractNum>
  <w:abstractNum w:abstractNumId="146">
    <w:nsid w:val="4353D0CD"/>
    <w:multiLevelType w:val="hybridMultilevel"/>
    <w:tmpl w:val="66F8CA50"/>
    <w:lvl w:ilvl="0" w:tplc="ECDEB78E">
      <w:start w:val="1"/>
      <w:numFmt w:val="bullet"/>
      <w:lvlText w:val=""/>
      <w:lvlJc w:val="left"/>
    </w:lvl>
    <w:lvl w:ilvl="1" w:tplc="70E2317C">
      <w:numFmt w:val="decimal"/>
      <w:lvlText w:val=""/>
      <w:lvlJc w:val="left"/>
    </w:lvl>
    <w:lvl w:ilvl="2" w:tplc="A8C2A828">
      <w:numFmt w:val="decimal"/>
      <w:lvlText w:val=""/>
      <w:lvlJc w:val="left"/>
    </w:lvl>
    <w:lvl w:ilvl="3" w:tplc="AA1226CC">
      <w:numFmt w:val="decimal"/>
      <w:lvlText w:val=""/>
      <w:lvlJc w:val="left"/>
    </w:lvl>
    <w:lvl w:ilvl="4" w:tplc="E8DC04CA">
      <w:numFmt w:val="decimal"/>
      <w:lvlText w:val=""/>
      <w:lvlJc w:val="left"/>
    </w:lvl>
    <w:lvl w:ilvl="5" w:tplc="3072F04C">
      <w:numFmt w:val="decimal"/>
      <w:lvlText w:val=""/>
      <w:lvlJc w:val="left"/>
    </w:lvl>
    <w:lvl w:ilvl="6" w:tplc="2B7A5B1A">
      <w:numFmt w:val="decimal"/>
      <w:lvlText w:val=""/>
      <w:lvlJc w:val="left"/>
    </w:lvl>
    <w:lvl w:ilvl="7" w:tplc="76DEB1F6">
      <w:numFmt w:val="decimal"/>
      <w:lvlText w:val=""/>
      <w:lvlJc w:val="left"/>
    </w:lvl>
    <w:lvl w:ilvl="8" w:tplc="ABDA7566">
      <w:numFmt w:val="decimal"/>
      <w:lvlText w:val=""/>
      <w:lvlJc w:val="left"/>
    </w:lvl>
  </w:abstractNum>
  <w:abstractNum w:abstractNumId="147">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nsid w:val="455D4B74"/>
    <w:multiLevelType w:val="hybridMultilevel"/>
    <w:tmpl w:val="CA3840A4"/>
    <w:lvl w:ilvl="0" w:tplc="5464D312">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9">
    <w:nsid w:val="464910DF"/>
    <w:multiLevelType w:val="hybridMultilevel"/>
    <w:tmpl w:val="D910E70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0">
    <w:nsid w:val="466F4371"/>
    <w:multiLevelType w:val="hybridMultilevel"/>
    <w:tmpl w:val="E82C8E3E"/>
    <w:lvl w:ilvl="0" w:tplc="EAA2E89A">
      <w:start w:val="1"/>
      <w:numFmt w:val="low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nsid w:val="46E86435"/>
    <w:multiLevelType w:val="hybridMultilevel"/>
    <w:tmpl w:val="16E83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477C2A0B"/>
    <w:multiLevelType w:val="hybridMultilevel"/>
    <w:tmpl w:val="34306D3C"/>
    <w:lvl w:ilvl="0" w:tplc="4BBE0C7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47B2466D"/>
    <w:multiLevelType w:val="hybridMultilevel"/>
    <w:tmpl w:val="5FC45ADC"/>
    <w:lvl w:ilvl="0" w:tplc="3C2EFEA2">
      <w:numFmt w:val="bullet"/>
      <w:lvlText w:val="•"/>
      <w:lvlJc w:val="left"/>
      <w:pPr>
        <w:ind w:left="719" w:hanging="360"/>
      </w:pPr>
      <w:rPr>
        <w:rFonts w:ascii="Calibri" w:eastAsia="Calibri" w:hAnsi="Calibri" w:cs="Calibri" w:hint="default"/>
        <w:sz w:val="16"/>
      </w:rPr>
    </w:lvl>
    <w:lvl w:ilvl="1" w:tplc="08160003" w:tentative="1">
      <w:start w:val="1"/>
      <w:numFmt w:val="bullet"/>
      <w:lvlText w:val="o"/>
      <w:lvlJc w:val="left"/>
      <w:pPr>
        <w:ind w:left="1439" w:hanging="360"/>
      </w:pPr>
      <w:rPr>
        <w:rFonts w:ascii="Courier New" w:hAnsi="Courier New" w:cs="Courier New" w:hint="default"/>
      </w:rPr>
    </w:lvl>
    <w:lvl w:ilvl="2" w:tplc="08160005" w:tentative="1">
      <w:start w:val="1"/>
      <w:numFmt w:val="bullet"/>
      <w:lvlText w:val=""/>
      <w:lvlJc w:val="left"/>
      <w:pPr>
        <w:ind w:left="2159" w:hanging="360"/>
      </w:pPr>
      <w:rPr>
        <w:rFonts w:ascii="Wingdings" w:hAnsi="Wingdings" w:hint="default"/>
      </w:rPr>
    </w:lvl>
    <w:lvl w:ilvl="3" w:tplc="08160001" w:tentative="1">
      <w:start w:val="1"/>
      <w:numFmt w:val="bullet"/>
      <w:lvlText w:val=""/>
      <w:lvlJc w:val="left"/>
      <w:pPr>
        <w:ind w:left="2879" w:hanging="360"/>
      </w:pPr>
      <w:rPr>
        <w:rFonts w:ascii="Symbol" w:hAnsi="Symbol" w:hint="default"/>
      </w:rPr>
    </w:lvl>
    <w:lvl w:ilvl="4" w:tplc="08160003" w:tentative="1">
      <w:start w:val="1"/>
      <w:numFmt w:val="bullet"/>
      <w:lvlText w:val="o"/>
      <w:lvlJc w:val="left"/>
      <w:pPr>
        <w:ind w:left="3599" w:hanging="360"/>
      </w:pPr>
      <w:rPr>
        <w:rFonts w:ascii="Courier New" w:hAnsi="Courier New" w:cs="Courier New" w:hint="default"/>
      </w:rPr>
    </w:lvl>
    <w:lvl w:ilvl="5" w:tplc="08160005" w:tentative="1">
      <w:start w:val="1"/>
      <w:numFmt w:val="bullet"/>
      <w:lvlText w:val=""/>
      <w:lvlJc w:val="left"/>
      <w:pPr>
        <w:ind w:left="4319" w:hanging="360"/>
      </w:pPr>
      <w:rPr>
        <w:rFonts w:ascii="Wingdings" w:hAnsi="Wingdings" w:hint="default"/>
      </w:rPr>
    </w:lvl>
    <w:lvl w:ilvl="6" w:tplc="08160001" w:tentative="1">
      <w:start w:val="1"/>
      <w:numFmt w:val="bullet"/>
      <w:lvlText w:val=""/>
      <w:lvlJc w:val="left"/>
      <w:pPr>
        <w:ind w:left="5039" w:hanging="360"/>
      </w:pPr>
      <w:rPr>
        <w:rFonts w:ascii="Symbol" w:hAnsi="Symbol" w:hint="default"/>
      </w:rPr>
    </w:lvl>
    <w:lvl w:ilvl="7" w:tplc="08160003" w:tentative="1">
      <w:start w:val="1"/>
      <w:numFmt w:val="bullet"/>
      <w:lvlText w:val="o"/>
      <w:lvlJc w:val="left"/>
      <w:pPr>
        <w:ind w:left="5759" w:hanging="360"/>
      </w:pPr>
      <w:rPr>
        <w:rFonts w:ascii="Courier New" w:hAnsi="Courier New" w:cs="Courier New" w:hint="default"/>
      </w:rPr>
    </w:lvl>
    <w:lvl w:ilvl="8" w:tplc="08160005" w:tentative="1">
      <w:start w:val="1"/>
      <w:numFmt w:val="bullet"/>
      <w:lvlText w:val=""/>
      <w:lvlJc w:val="left"/>
      <w:pPr>
        <w:ind w:left="6479" w:hanging="360"/>
      </w:pPr>
      <w:rPr>
        <w:rFonts w:ascii="Wingdings" w:hAnsi="Wingdings" w:hint="default"/>
      </w:rPr>
    </w:lvl>
  </w:abstractNum>
  <w:abstractNum w:abstractNumId="154">
    <w:nsid w:val="48291FE5"/>
    <w:multiLevelType w:val="hybridMultilevel"/>
    <w:tmpl w:val="9100467C"/>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87F7F62"/>
    <w:multiLevelType w:val="hybridMultilevel"/>
    <w:tmpl w:val="38B83EA2"/>
    <w:lvl w:ilvl="0" w:tplc="4D504B74">
      <w:start w:val="1"/>
      <w:numFmt w:val="bullet"/>
      <w:lvlText w:val=""/>
      <w:lvlPicBulletId w:val="1"/>
      <w:lvlJc w:val="left"/>
      <w:pPr>
        <w:tabs>
          <w:tab w:val="num" w:pos="720"/>
        </w:tabs>
        <w:ind w:left="720" w:hanging="360"/>
      </w:pPr>
      <w:rPr>
        <w:rFonts w:ascii="Symbol" w:hAnsi="Symbol" w:hint="default"/>
      </w:rPr>
    </w:lvl>
    <w:lvl w:ilvl="1" w:tplc="11961276" w:tentative="1">
      <w:start w:val="1"/>
      <w:numFmt w:val="bullet"/>
      <w:lvlText w:val=""/>
      <w:lvlJc w:val="left"/>
      <w:pPr>
        <w:tabs>
          <w:tab w:val="num" w:pos="1440"/>
        </w:tabs>
        <w:ind w:left="1440" w:hanging="360"/>
      </w:pPr>
      <w:rPr>
        <w:rFonts w:ascii="Symbol" w:hAnsi="Symbol" w:hint="default"/>
      </w:rPr>
    </w:lvl>
    <w:lvl w:ilvl="2" w:tplc="872C266A" w:tentative="1">
      <w:start w:val="1"/>
      <w:numFmt w:val="bullet"/>
      <w:lvlText w:val=""/>
      <w:lvlJc w:val="left"/>
      <w:pPr>
        <w:tabs>
          <w:tab w:val="num" w:pos="2160"/>
        </w:tabs>
        <w:ind w:left="2160" w:hanging="360"/>
      </w:pPr>
      <w:rPr>
        <w:rFonts w:ascii="Symbol" w:hAnsi="Symbol" w:hint="default"/>
      </w:rPr>
    </w:lvl>
    <w:lvl w:ilvl="3" w:tplc="3C22307E" w:tentative="1">
      <w:start w:val="1"/>
      <w:numFmt w:val="bullet"/>
      <w:lvlText w:val=""/>
      <w:lvlJc w:val="left"/>
      <w:pPr>
        <w:tabs>
          <w:tab w:val="num" w:pos="2880"/>
        </w:tabs>
        <w:ind w:left="2880" w:hanging="360"/>
      </w:pPr>
      <w:rPr>
        <w:rFonts w:ascii="Symbol" w:hAnsi="Symbol" w:hint="default"/>
      </w:rPr>
    </w:lvl>
    <w:lvl w:ilvl="4" w:tplc="C30AFFBA" w:tentative="1">
      <w:start w:val="1"/>
      <w:numFmt w:val="bullet"/>
      <w:lvlText w:val=""/>
      <w:lvlJc w:val="left"/>
      <w:pPr>
        <w:tabs>
          <w:tab w:val="num" w:pos="3600"/>
        </w:tabs>
        <w:ind w:left="3600" w:hanging="360"/>
      </w:pPr>
      <w:rPr>
        <w:rFonts w:ascii="Symbol" w:hAnsi="Symbol" w:hint="default"/>
      </w:rPr>
    </w:lvl>
    <w:lvl w:ilvl="5" w:tplc="4D62F8F8" w:tentative="1">
      <w:start w:val="1"/>
      <w:numFmt w:val="bullet"/>
      <w:lvlText w:val=""/>
      <w:lvlJc w:val="left"/>
      <w:pPr>
        <w:tabs>
          <w:tab w:val="num" w:pos="4320"/>
        </w:tabs>
        <w:ind w:left="4320" w:hanging="360"/>
      </w:pPr>
      <w:rPr>
        <w:rFonts w:ascii="Symbol" w:hAnsi="Symbol" w:hint="default"/>
      </w:rPr>
    </w:lvl>
    <w:lvl w:ilvl="6" w:tplc="DDF8F7FC" w:tentative="1">
      <w:start w:val="1"/>
      <w:numFmt w:val="bullet"/>
      <w:lvlText w:val=""/>
      <w:lvlJc w:val="left"/>
      <w:pPr>
        <w:tabs>
          <w:tab w:val="num" w:pos="5040"/>
        </w:tabs>
        <w:ind w:left="5040" w:hanging="360"/>
      </w:pPr>
      <w:rPr>
        <w:rFonts w:ascii="Symbol" w:hAnsi="Symbol" w:hint="default"/>
      </w:rPr>
    </w:lvl>
    <w:lvl w:ilvl="7" w:tplc="21F882DE" w:tentative="1">
      <w:start w:val="1"/>
      <w:numFmt w:val="bullet"/>
      <w:lvlText w:val=""/>
      <w:lvlJc w:val="left"/>
      <w:pPr>
        <w:tabs>
          <w:tab w:val="num" w:pos="5760"/>
        </w:tabs>
        <w:ind w:left="5760" w:hanging="360"/>
      </w:pPr>
      <w:rPr>
        <w:rFonts w:ascii="Symbol" w:hAnsi="Symbol" w:hint="default"/>
      </w:rPr>
    </w:lvl>
    <w:lvl w:ilvl="8" w:tplc="212A9EEE" w:tentative="1">
      <w:start w:val="1"/>
      <w:numFmt w:val="bullet"/>
      <w:lvlText w:val=""/>
      <w:lvlJc w:val="left"/>
      <w:pPr>
        <w:tabs>
          <w:tab w:val="num" w:pos="6480"/>
        </w:tabs>
        <w:ind w:left="6480" w:hanging="360"/>
      </w:pPr>
      <w:rPr>
        <w:rFonts w:ascii="Symbol" w:hAnsi="Symbol" w:hint="default"/>
      </w:rPr>
    </w:lvl>
  </w:abstractNum>
  <w:abstractNum w:abstractNumId="156">
    <w:nsid w:val="488E331C"/>
    <w:multiLevelType w:val="hybridMultilevel"/>
    <w:tmpl w:val="F26A9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48F637F5"/>
    <w:multiLevelType w:val="multilevel"/>
    <w:tmpl w:val="DDACA51C"/>
    <w:lvl w:ilvl="0">
      <w:start w:val="1"/>
      <w:numFmt w:val="bullet"/>
      <w:lvlText w:val=""/>
      <w:lvlJc w:val="left"/>
      <w:pPr>
        <w:ind w:left="76" w:hanging="360"/>
      </w:pPr>
      <w:rPr>
        <w:rFonts w:ascii="Wingdings" w:hAnsi="Wingding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2420"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764" w:hanging="1080"/>
      </w:pPr>
      <w:rPr>
        <w:rFonts w:hint="default"/>
      </w:rPr>
    </w:lvl>
    <w:lvl w:ilvl="5">
      <w:start w:val="1"/>
      <w:numFmt w:val="decimal"/>
      <w:isLgl/>
      <w:lvlText w:val="%1.%2.%3.%4.%5.%6"/>
      <w:lvlJc w:val="left"/>
      <w:pPr>
        <w:ind w:left="5756" w:hanging="1080"/>
      </w:pPr>
      <w:rPr>
        <w:rFonts w:hint="default"/>
      </w:rPr>
    </w:lvl>
    <w:lvl w:ilvl="6">
      <w:start w:val="1"/>
      <w:numFmt w:val="decimal"/>
      <w:isLgl/>
      <w:lvlText w:val="%1.%2.%3.%4.%5.%6.%7"/>
      <w:lvlJc w:val="left"/>
      <w:pPr>
        <w:ind w:left="7108"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452" w:hanging="1800"/>
      </w:pPr>
      <w:rPr>
        <w:rFonts w:hint="default"/>
      </w:rPr>
    </w:lvl>
  </w:abstractNum>
  <w:abstractNum w:abstractNumId="158">
    <w:nsid w:val="49771712"/>
    <w:multiLevelType w:val="multilevel"/>
    <w:tmpl w:val="6E3A0B32"/>
    <w:lvl w:ilvl="0">
      <w:start w:val="10"/>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59">
    <w:nsid w:val="4A00392F"/>
    <w:multiLevelType w:val="hybridMultilevel"/>
    <w:tmpl w:val="23468C28"/>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0">
    <w:nsid w:val="4A696AC7"/>
    <w:multiLevelType w:val="hybridMultilevel"/>
    <w:tmpl w:val="3BB2A1B6"/>
    <w:lvl w:ilvl="0" w:tplc="2A845E44">
      <w:start w:val="1"/>
      <w:numFmt w:val="decimal"/>
      <w:pStyle w:val="Bullet"/>
      <w:lvlText w:val="%1."/>
      <w:lvlJc w:val="left"/>
      <w:pPr>
        <w:ind w:left="720" w:hanging="360"/>
      </w:pPr>
      <w:rPr>
        <w:lang w:val="fr-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AED3B04"/>
    <w:multiLevelType w:val="hybridMultilevel"/>
    <w:tmpl w:val="805004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nsid w:val="4B193236"/>
    <w:multiLevelType w:val="hybridMultilevel"/>
    <w:tmpl w:val="E87802D4"/>
    <w:lvl w:ilvl="0" w:tplc="1F9AA676">
      <w:numFmt w:val="bullet"/>
      <w:lvlText w:val="-"/>
      <w:lvlJc w:val="left"/>
      <w:pPr>
        <w:ind w:left="753" w:hanging="360"/>
      </w:pPr>
      <w:rPr>
        <w:rFonts w:ascii="Calibri" w:eastAsiaTheme="minorHAnsi" w:hAnsi="Calibri" w:cstheme="minorBidi"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163">
    <w:nsid w:val="4B9849A1"/>
    <w:multiLevelType w:val="hybridMultilevel"/>
    <w:tmpl w:val="C4CAFC10"/>
    <w:lvl w:ilvl="0" w:tplc="080C000F">
      <w:start w:val="1"/>
      <w:numFmt w:val="bullet"/>
      <w:lvlText w:val="-"/>
      <w:lvlJc w:val="left"/>
      <w:pPr>
        <w:tabs>
          <w:tab w:val="num" w:pos="360"/>
        </w:tabs>
        <w:ind w:left="360" w:hanging="360"/>
      </w:pPr>
      <w:rPr>
        <w:rFonts w:ascii="Calibri" w:hAnsi="Calibri" w:hint="default"/>
      </w:rPr>
    </w:lvl>
    <w:lvl w:ilvl="1" w:tplc="080C0019">
      <w:start w:val="1"/>
      <w:numFmt w:val="bullet"/>
      <w:lvlText w:val="o"/>
      <w:lvlJc w:val="left"/>
      <w:pPr>
        <w:tabs>
          <w:tab w:val="num" w:pos="1080"/>
        </w:tabs>
        <w:ind w:left="1080" w:hanging="360"/>
      </w:pPr>
      <w:rPr>
        <w:rFonts w:ascii="Courier New" w:hAnsi="Courier New" w:cs="Courier New" w:hint="default"/>
      </w:rPr>
    </w:lvl>
    <w:lvl w:ilvl="2" w:tplc="080C001B" w:tentative="1">
      <w:start w:val="1"/>
      <w:numFmt w:val="bullet"/>
      <w:lvlText w:val=""/>
      <w:lvlJc w:val="left"/>
      <w:pPr>
        <w:tabs>
          <w:tab w:val="num" w:pos="1800"/>
        </w:tabs>
        <w:ind w:left="1800" w:hanging="360"/>
      </w:pPr>
      <w:rPr>
        <w:rFonts w:ascii="Wingdings" w:hAnsi="Wingdings" w:hint="default"/>
      </w:rPr>
    </w:lvl>
    <w:lvl w:ilvl="3" w:tplc="080C000F" w:tentative="1">
      <w:start w:val="1"/>
      <w:numFmt w:val="bullet"/>
      <w:lvlText w:val=""/>
      <w:lvlJc w:val="left"/>
      <w:pPr>
        <w:tabs>
          <w:tab w:val="num" w:pos="2520"/>
        </w:tabs>
        <w:ind w:left="2520" w:hanging="360"/>
      </w:pPr>
      <w:rPr>
        <w:rFonts w:ascii="Symbol" w:hAnsi="Symbol" w:hint="default"/>
      </w:rPr>
    </w:lvl>
    <w:lvl w:ilvl="4" w:tplc="080C0019" w:tentative="1">
      <w:start w:val="1"/>
      <w:numFmt w:val="bullet"/>
      <w:lvlText w:val="o"/>
      <w:lvlJc w:val="left"/>
      <w:pPr>
        <w:tabs>
          <w:tab w:val="num" w:pos="3240"/>
        </w:tabs>
        <w:ind w:left="3240" w:hanging="360"/>
      </w:pPr>
      <w:rPr>
        <w:rFonts w:ascii="Courier New" w:hAnsi="Courier New" w:cs="Courier New" w:hint="default"/>
      </w:rPr>
    </w:lvl>
    <w:lvl w:ilvl="5" w:tplc="080C001B" w:tentative="1">
      <w:start w:val="1"/>
      <w:numFmt w:val="bullet"/>
      <w:lvlText w:val=""/>
      <w:lvlJc w:val="left"/>
      <w:pPr>
        <w:tabs>
          <w:tab w:val="num" w:pos="3960"/>
        </w:tabs>
        <w:ind w:left="3960" w:hanging="360"/>
      </w:pPr>
      <w:rPr>
        <w:rFonts w:ascii="Wingdings" w:hAnsi="Wingdings" w:hint="default"/>
      </w:rPr>
    </w:lvl>
    <w:lvl w:ilvl="6" w:tplc="080C000F" w:tentative="1">
      <w:start w:val="1"/>
      <w:numFmt w:val="bullet"/>
      <w:lvlText w:val=""/>
      <w:lvlJc w:val="left"/>
      <w:pPr>
        <w:tabs>
          <w:tab w:val="num" w:pos="4680"/>
        </w:tabs>
        <w:ind w:left="4680" w:hanging="360"/>
      </w:pPr>
      <w:rPr>
        <w:rFonts w:ascii="Symbol" w:hAnsi="Symbol" w:hint="default"/>
      </w:rPr>
    </w:lvl>
    <w:lvl w:ilvl="7" w:tplc="080C0019" w:tentative="1">
      <w:start w:val="1"/>
      <w:numFmt w:val="bullet"/>
      <w:lvlText w:val="o"/>
      <w:lvlJc w:val="left"/>
      <w:pPr>
        <w:tabs>
          <w:tab w:val="num" w:pos="5400"/>
        </w:tabs>
        <w:ind w:left="5400" w:hanging="360"/>
      </w:pPr>
      <w:rPr>
        <w:rFonts w:ascii="Courier New" w:hAnsi="Courier New" w:cs="Courier New" w:hint="default"/>
      </w:rPr>
    </w:lvl>
    <w:lvl w:ilvl="8" w:tplc="080C001B" w:tentative="1">
      <w:start w:val="1"/>
      <w:numFmt w:val="bullet"/>
      <w:lvlText w:val=""/>
      <w:lvlJc w:val="left"/>
      <w:pPr>
        <w:tabs>
          <w:tab w:val="num" w:pos="6120"/>
        </w:tabs>
        <w:ind w:left="6120" w:hanging="360"/>
      </w:pPr>
      <w:rPr>
        <w:rFonts w:ascii="Wingdings" w:hAnsi="Wingdings" w:hint="default"/>
      </w:rPr>
    </w:lvl>
  </w:abstractNum>
  <w:abstractNum w:abstractNumId="164">
    <w:nsid w:val="4C3726FE"/>
    <w:multiLevelType w:val="hybridMultilevel"/>
    <w:tmpl w:val="823A7552"/>
    <w:lvl w:ilvl="0" w:tplc="040C000B">
      <w:start w:val="1"/>
      <w:numFmt w:val="bullet"/>
      <w:lvlText w:val=""/>
      <w:lvlJc w:val="left"/>
      <w:pPr>
        <w:ind w:left="753" w:hanging="360"/>
      </w:pPr>
      <w:rPr>
        <w:rFonts w:ascii="Wingdings" w:hAnsi="Wingdings"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165">
    <w:nsid w:val="4C4B2AEA"/>
    <w:multiLevelType w:val="multilevel"/>
    <w:tmpl w:val="BA7E1DB4"/>
    <w:lvl w:ilvl="0">
      <w:start w:val="1"/>
      <w:numFmt w:val="lowerLetter"/>
      <w:pStyle w:val="ListAlpha3"/>
      <w:lvlText w:val="(%1)"/>
      <w:lvlJc w:val="left"/>
      <w:pPr>
        <w:tabs>
          <w:tab w:val="num" w:pos="624"/>
        </w:tabs>
        <w:ind w:left="624" w:hanging="624"/>
      </w:pPr>
      <w:rPr>
        <w:rFonts w:ascii="CG Times" w:hAnsi="CG Times" w:cs="Times New Roman"/>
        <w:b w:val="0"/>
        <w:i w:val="0"/>
        <w:sz w:val="20"/>
      </w:rPr>
    </w:lvl>
    <w:lvl w:ilvl="1">
      <w:start w:val="1"/>
      <w:numFmt w:val="lowerLetter"/>
      <w:pStyle w:val="ListAlpha2"/>
      <w:lvlText w:val="(%2)"/>
      <w:lvlJc w:val="left"/>
      <w:pPr>
        <w:tabs>
          <w:tab w:val="num" w:pos="1237"/>
        </w:tabs>
        <w:ind w:left="1237" w:hanging="793"/>
      </w:pPr>
      <w:rPr>
        <w:rFonts w:ascii="Times New Roman" w:eastAsia="Times New Roman" w:hAnsi="Times New Roman" w:cs="Times New Roman" w:hint="default"/>
        <w:b w:val="0"/>
        <w:i w:val="0"/>
        <w:sz w:val="22"/>
        <w:szCs w:val="22"/>
      </w:rPr>
    </w:lvl>
    <w:lvl w:ilvl="2">
      <w:start w:val="1"/>
      <w:numFmt w:val="lowerLetter"/>
      <w:pStyle w:val="LISTALPHACAPS2"/>
      <w:lvlText w:val="(%3)"/>
      <w:lvlJc w:val="left"/>
      <w:pPr>
        <w:tabs>
          <w:tab w:val="num" w:pos="1748"/>
        </w:tabs>
        <w:ind w:left="1748" w:hanging="511"/>
      </w:pPr>
      <w:rPr>
        <w:rFonts w:cs="Times New Roman"/>
        <w:b w:val="0"/>
        <w:i w:val="0"/>
        <w:sz w:val="20"/>
      </w:rPr>
    </w:lvl>
    <w:lvl w:ilvl="3">
      <w:start w:val="1"/>
      <w:numFmt w:val="lowerLetter"/>
      <w:lvlText w:val="(%4)"/>
      <w:lvlJc w:val="left"/>
      <w:pPr>
        <w:tabs>
          <w:tab w:val="num" w:pos="1748"/>
        </w:tabs>
        <w:ind w:left="1748" w:hanging="511"/>
      </w:pPr>
      <w:rPr>
        <w:rFonts w:cs="Times New Roman"/>
        <w:b w:val="0"/>
        <w:i w:val="0"/>
        <w:sz w:val="20"/>
      </w:rPr>
    </w:lvl>
    <w:lvl w:ilvl="4">
      <w:start w:val="1"/>
      <w:numFmt w:val="lowerRoman"/>
      <w:lvlText w:val="(%5)"/>
      <w:lvlJc w:val="left"/>
      <w:pPr>
        <w:tabs>
          <w:tab w:val="num" w:pos="2258"/>
        </w:tabs>
        <w:ind w:left="2258" w:hanging="510"/>
      </w:pPr>
      <w:rPr>
        <w:rFonts w:cs="Times New Roman"/>
        <w:b w:val="0"/>
        <w:i w:val="0"/>
        <w:sz w:val="22"/>
        <w:szCs w:val="22"/>
      </w:rPr>
    </w:lvl>
    <w:lvl w:ilvl="5">
      <w:start w:val="1"/>
      <w:numFmt w:val="decimal"/>
      <w:lvlText w:val="(%6)"/>
      <w:lvlJc w:val="left"/>
      <w:pPr>
        <w:tabs>
          <w:tab w:val="num" w:pos="2768"/>
        </w:tabs>
        <w:ind w:left="2768" w:hanging="510"/>
      </w:pPr>
      <w:rPr>
        <w:rFonts w:cs="Times New Roman"/>
        <w:b w:val="0"/>
        <w:i w:val="0"/>
        <w:sz w:val="20"/>
      </w:rPr>
    </w:lvl>
    <w:lvl w:ilvl="6">
      <w:start w:val="1"/>
      <w:numFmt w:val="none"/>
      <w:suff w:val="nothing"/>
      <w:lvlText w:val=""/>
      <w:lvlJc w:val="left"/>
      <w:pPr>
        <w:ind w:left="-180"/>
      </w:pPr>
      <w:rPr>
        <w:rFonts w:cs="Times New Roman"/>
      </w:rPr>
    </w:lvl>
    <w:lvl w:ilvl="7">
      <w:start w:val="1"/>
      <w:numFmt w:val="none"/>
      <w:suff w:val="nothing"/>
      <w:lvlText w:val=""/>
      <w:lvlJc w:val="left"/>
      <w:pPr>
        <w:ind w:left="-180"/>
      </w:pPr>
      <w:rPr>
        <w:rFonts w:cs="Times New Roman"/>
      </w:rPr>
    </w:lvl>
    <w:lvl w:ilvl="8">
      <w:start w:val="1"/>
      <w:numFmt w:val="decimal"/>
      <w:lvlRestart w:val="0"/>
      <w:lvlText w:val="SCHEDULE %9"/>
      <w:lvlJc w:val="left"/>
      <w:pPr>
        <w:tabs>
          <w:tab w:val="num" w:pos="-180"/>
        </w:tabs>
        <w:ind w:left="-180"/>
      </w:pPr>
      <w:rPr>
        <w:rFonts w:cs="Times New Roman"/>
        <w:b/>
        <w:i w:val="0"/>
        <w:caps/>
        <w:smallCaps w:val="0"/>
        <w:sz w:val="22"/>
      </w:rPr>
    </w:lvl>
  </w:abstractNum>
  <w:abstractNum w:abstractNumId="166">
    <w:nsid w:val="4C604A74"/>
    <w:multiLevelType w:val="hybridMultilevel"/>
    <w:tmpl w:val="1CB0EE44"/>
    <w:lvl w:ilvl="0" w:tplc="040C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7">
    <w:nsid w:val="4C790B76"/>
    <w:multiLevelType w:val="hybridMultilevel"/>
    <w:tmpl w:val="F58CB870"/>
    <w:lvl w:ilvl="0" w:tplc="C9C6585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nsid w:val="4C87127A"/>
    <w:multiLevelType w:val="hybridMultilevel"/>
    <w:tmpl w:val="80B8886C"/>
    <w:lvl w:ilvl="0" w:tplc="040C0007">
      <w:start w:val="1"/>
      <w:numFmt w:val="bullet"/>
      <w:lvlText w:val=""/>
      <w:lvlPicBulletId w:val="2"/>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9">
    <w:nsid w:val="4CC26BAB"/>
    <w:multiLevelType w:val="hybridMultilevel"/>
    <w:tmpl w:val="8BE8E8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nsid w:val="4EC64403"/>
    <w:multiLevelType w:val="hybridMultilevel"/>
    <w:tmpl w:val="36CEF638"/>
    <w:lvl w:ilvl="0" w:tplc="040C0009">
      <w:start w:val="1"/>
      <w:numFmt w:val="bullet"/>
      <w:lvlText w:val=""/>
      <w:lvlJc w:val="left"/>
      <w:pPr>
        <w:ind w:left="7092" w:hanging="360"/>
      </w:pPr>
      <w:rPr>
        <w:rFonts w:ascii="Wingdings" w:hAnsi="Wingdings" w:hint="default"/>
      </w:rPr>
    </w:lvl>
    <w:lvl w:ilvl="1" w:tplc="040C0003">
      <w:start w:val="1"/>
      <w:numFmt w:val="bullet"/>
      <w:lvlText w:val="o"/>
      <w:lvlJc w:val="left"/>
      <w:pPr>
        <w:ind w:left="7812" w:hanging="360"/>
      </w:pPr>
      <w:rPr>
        <w:rFonts w:ascii="Courier New" w:hAnsi="Courier New" w:cs="Courier New" w:hint="default"/>
      </w:rPr>
    </w:lvl>
    <w:lvl w:ilvl="2" w:tplc="040C0005" w:tentative="1">
      <w:start w:val="1"/>
      <w:numFmt w:val="bullet"/>
      <w:lvlText w:val=""/>
      <w:lvlJc w:val="left"/>
      <w:pPr>
        <w:ind w:left="8532" w:hanging="360"/>
      </w:pPr>
      <w:rPr>
        <w:rFonts w:ascii="Wingdings" w:hAnsi="Wingdings" w:hint="default"/>
      </w:rPr>
    </w:lvl>
    <w:lvl w:ilvl="3" w:tplc="040C0001" w:tentative="1">
      <w:start w:val="1"/>
      <w:numFmt w:val="bullet"/>
      <w:lvlText w:val=""/>
      <w:lvlJc w:val="left"/>
      <w:pPr>
        <w:ind w:left="9252" w:hanging="360"/>
      </w:pPr>
      <w:rPr>
        <w:rFonts w:ascii="Symbol" w:hAnsi="Symbol" w:hint="default"/>
      </w:rPr>
    </w:lvl>
    <w:lvl w:ilvl="4" w:tplc="040C0003" w:tentative="1">
      <w:start w:val="1"/>
      <w:numFmt w:val="bullet"/>
      <w:lvlText w:val="o"/>
      <w:lvlJc w:val="left"/>
      <w:pPr>
        <w:ind w:left="9972" w:hanging="360"/>
      </w:pPr>
      <w:rPr>
        <w:rFonts w:ascii="Courier New" w:hAnsi="Courier New" w:cs="Courier New" w:hint="default"/>
      </w:rPr>
    </w:lvl>
    <w:lvl w:ilvl="5" w:tplc="040C0005" w:tentative="1">
      <w:start w:val="1"/>
      <w:numFmt w:val="bullet"/>
      <w:lvlText w:val=""/>
      <w:lvlJc w:val="left"/>
      <w:pPr>
        <w:ind w:left="10692" w:hanging="360"/>
      </w:pPr>
      <w:rPr>
        <w:rFonts w:ascii="Wingdings" w:hAnsi="Wingdings" w:hint="default"/>
      </w:rPr>
    </w:lvl>
    <w:lvl w:ilvl="6" w:tplc="040C0001" w:tentative="1">
      <w:start w:val="1"/>
      <w:numFmt w:val="bullet"/>
      <w:lvlText w:val=""/>
      <w:lvlJc w:val="left"/>
      <w:pPr>
        <w:ind w:left="11412" w:hanging="360"/>
      </w:pPr>
      <w:rPr>
        <w:rFonts w:ascii="Symbol" w:hAnsi="Symbol" w:hint="default"/>
      </w:rPr>
    </w:lvl>
    <w:lvl w:ilvl="7" w:tplc="040C0003" w:tentative="1">
      <w:start w:val="1"/>
      <w:numFmt w:val="bullet"/>
      <w:lvlText w:val="o"/>
      <w:lvlJc w:val="left"/>
      <w:pPr>
        <w:ind w:left="12132" w:hanging="360"/>
      </w:pPr>
      <w:rPr>
        <w:rFonts w:ascii="Courier New" w:hAnsi="Courier New" w:cs="Courier New" w:hint="default"/>
      </w:rPr>
    </w:lvl>
    <w:lvl w:ilvl="8" w:tplc="040C0005" w:tentative="1">
      <w:start w:val="1"/>
      <w:numFmt w:val="bullet"/>
      <w:lvlText w:val=""/>
      <w:lvlJc w:val="left"/>
      <w:pPr>
        <w:ind w:left="12852" w:hanging="360"/>
      </w:pPr>
      <w:rPr>
        <w:rFonts w:ascii="Wingdings" w:hAnsi="Wingdings" w:hint="default"/>
      </w:rPr>
    </w:lvl>
  </w:abstractNum>
  <w:abstractNum w:abstractNumId="171">
    <w:nsid w:val="4EF726A5"/>
    <w:multiLevelType w:val="hybridMultilevel"/>
    <w:tmpl w:val="A30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2">
    <w:nsid w:val="4F5A082A"/>
    <w:multiLevelType w:val="hybridMultilevel"/>
    <w:tmpl w:val="A59E1EB0"/>
    <w:lvl w:ilvl="0" w:tplc="9476E36A">
      <w:start w:val="1"/>
      <w:numFmt w:val="upperRoman"/>
      <w:pStyle w:val="Style9"/>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01D363B"/>
    <w:multiLevelType w:val="hybridMultilevel"/>
    <w:tmpl w:val="601EBE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nsid w:val="50343238"/>
    <w:multiLevelType w:val="hybridMultilevel"/>
    <w:tmpl w:val="D7EE8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nsid w:val="50C84DE9"/>
    <w:multiLevelType w:val="hybridMultilevel"/>
    <w:tmpl w:val="5900B344"/>
    <w:lvl w:ilvl="0" w:tplc="25AA4D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nsid w:val="51987B0C"/>
    <w:multiLevelType w:val="hybridMultilevel"/>
    <w:tmpl w:val="7E3C2D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nsid w:val="51B71175"/>
    <w:multiLevelType w:val="multilevel"/>
    <w:tmpl w:val="8566FF8C"/>
    <w:lvl w:ilvl="0">
      <w:start w:val="1"/>
      <w:numFmt w:val="upperRoman"/>
      <w:pStyle w:val="Cabealho1"/>
      <w:lvlText w:val="Article %1."/>
      <w:lvlJc w:val="left"/>
      <w:pPr>
        <w:ind w:left="0" w:firstLine="0"/>
      </w:pPr>
    </w:lvl>
    <w:lvl w:ilvl="1">
      <w:start w:val="1"/>
      <w:numFmt w:val="decimalZero"/>
      <w:pStyle w:val="Cabealho2"/>
      <w:isLgl/>
      <w:lvlText w:val="Section %1.%2"/>
      <w:lvlJc w:val="left"/>
      <w:pPr>
        <w:ind w:left="0" w:firstLine="0"/>
      </w:pPr>
    </w:lvl>
    <w:lvl w:ilvl="2">
      <w:start w:val="1"/>
      <w:numFmt w:val="lowerLetter"/>
      <w:pStyle w:val="Cabealho3"/>
      <w:lvlText w:val="(%3)"/>
      <w:lvlJc w:val="left"/>
      <w:pPr>
        <w:ind w:left="715" w:hanging="432"/>
      </w:pPr>
      <w:rPr>
        <w:rFonts w:ascii="Times New Roman" w:hAnsi="Times New Roman" w:cs="Times New Roman" w:hint="default"/>
      </w:rPr>
    </w:lvl>
    <w:lvl w:ilvl="3">
      <w:start w:val="1"/>
      <w:numFmt w:val="lowerRoman"/>
      <w:pStyle w:val="Cabealho4"/>
      <w:lvlText w:val="(%4)"/>
      <w:lvlJc w:val="right"/>
      <w:pPr>
        <w:ind w:left="864" w:hanging="144"/>
      </w:pPr>
    </w:lvl>
    <w:lvl w:ilvl="4">
      <w:start w:val="1"/>
      <w:numFmt w:val="decimal"/>
      <w:pStyle w:val="Cabealho5"/>
      <w:lvlText w:val="%5)"/>
      <w:lvlJc w:val="left"/>
      <w:pPr>
        <w:ind w:left="1008" w:hanging="432"/>
      </w:pPr>
    </w:lvl>
    <w:lvl w:ilvl="5">
      <w:start w:val="1"/>
      <w:numFmt w:val="lowerLetter"/>
      <w:pStyle w:val="Cabealho6"/>
      <w:lvlText w:val="%6)"/>
      <w:lvlJc w:val="left"/>
      <w:pPr>
        <w:ind w:left="1567" w:hanging="432"/>
      </w:pPr>
      <w:rPr>
        <w:color w:val="auto"/>
      </w:rPr>
    </w:lvl>
    <w:lvl w:ilvl="6">
      <w:start w:val="1"/>
      <w:numFmt w:val="lowerRoman"/>
      <w:pStyle w:val="Cabealho7"/>
      <w:lvlText w:val="%7)"/>
      <w:lvlJc w:val="right"/>
      <w:pPr>
        <w:ind w:left="1296" w:hanging="288"/>
      </w:pPr>
    </w:lvl>
    <w:lvl w:ilvl="7">
      <w:start w:val="1"/>
      <w:numFmt w:val="lowerLetter"/>
      <w:pStyle w:val="Cabealho8"/>
      <w:lvlText w:val="%8."/>
      <w:lvlJc w:val="left"/>
      <w:pPr>
        <w:ind w:left="1440" w:hanging="432"/>
      </w:pPr>
    </w:lvl>
    <w:lvl w:ilvl="8">
      <w:start w:val="1"/>
      <w:numFmt w:val="lowerRoman"/>
      <w:pStyle w:val="Cabealho9"/>
      <w:lvlText w:val="%9."/>
      <w:lvlJc w:val="right"/>
      <w:pPr>
        <w:ind w:left="1584" w:hanging="144"/>
      </w:pPr>
    </w:lvl>
  </w:abstractNum>
  <w:abstractNum w:abstractNumId="178">
    <w:nsid w:val="51BB2E4E"/>
    <w:multiLevelType w:val="multilevel"/>
    <w:tmpl w:val="F81C0E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Narrow" w:eastAsiaTheme="minorHAnsi" w:hAnsi="Arial Narrow"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51E869DC"/>
    <w:multiLevelType w:val="hybridMultilevel"/>
    <w:tmpl w:val="B1CC55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nsid w:val="51FF61E9"/>
    <w:multiLevelType w:val="multilevel"/>
    <w:tmpl w:val="CF80E4FE"/>
    <w:styleLink w:val="Style17"/>
    <w:lvl w:ilvl="0">
      <w:start w:val="5"/>
      <w:numFmt w:val="decimal"/>
      <w:lvlText w:val="%1."/>
      <w:lvlJc w:val="left"/>
      <w:pPr>
        <w:ind w:left="360" w:hanging="360"/>
      </w:pPr>
      <w:rPr>
        <w:rFonts w:hint="default"/>
      </w:rPr>
    </w:lvl>
    <w:lvl w:ilvl="1">
      <w:start w:val="1"/>
      <w:numFmt w:val="decimal"/>
      <w:lvlText w:val="%1.%2."/>
      <w:lvlJc w:val="left"/>
      <w:pPr>
        <w:ind w:left="851" w:hanging="851"/>
      </w:pPr>
      <w:rPr>
        <w:rFonts w:ascii="Times New Roman Gras" w:hAnsi="Times New Roman Gras" w:hint="default"/>
        <w:b/>
        <w:i w:val="0"/>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nsid w:val="52DE55EC"/>
    <w:multiLevelType w:val="hybridMultilevel"/>
    <w:tmpl w:val="EF366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53731E0E"/>
    <w:multiLevelType w:val="hybridMultilevel"/>
    <w:tmpl w:val="6D1411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nsid w:val="539C4410"/>
    <w:multiLevelType w:val="hybridMultilevel"/>
    <w:tmpl w:val="AC2E135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nsid w:val="54CC5207"/>
    <w:multiLevelType w:val="hybridMultilevel"/>
    <w:tmpl w:val="3168D87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nsid w:val="54E49EB4"/>
    <w:multiLevelType w:val="hybridMultilevel"/>
    <w:tmpl w:val="B07C34F8"/>
    <w:lvl w:ilvl="0" w:tplc="7054B066">
      <w:start w:val="1"/>
      <w:numFmt w:val="bullet"/>
      <w:lvlText w:val=""/>
      <w:lvlJc w:val="left"/>
    </w:lvl>
    <w:lvl w:ilvl="1" w:tplc="DC80C424">
      <w:numFmt w:val="decimal"/>
      <w:lvlText w:val=""/>
      <w:lvlJc w:val="left"/>
    </w:lvl>
    <w:lvl w:ilvl="2" w:tplc="110666FC">
      <w:numFmt w:val="decimal"/>
      <w:lvlText w:val=""/>
      <w:lvlJc w:val="left"/>
    </w:lvl>
    <w:lvl w:ilvl="3" w:tplc="41A60F60">
      <w:numFmt w:val="decimal"/>
      <w:lvlText w:val=""/>
      <w:lvlJc w:val="left"/>
    </w:lvl>
    <w:lvl w:ilvl="4" w:tplc="590CBE0A">
      <w:numFmt w:val="decimal"/>
      <w:lvlText w:val=""/>
      <w:lvlJc w:val="left"/>
    </w:lvl>
    <w:lvl w:ilvl="5" w:tplc="242E5A86">
      <w:numFmt w:val="decimal"/>
      <w:lvlText w:val=""/>
      <w:lvlJc w:val="left"/>
    </w:lvl>
    <w:lvl w:ilvl="6" w:tplc="26D41D5C">
      <w:numFmt w:val="decimal"/>
      <w:lvlText w:val=""/>
      <w:lvlJc w:val="left"/>
    </w:lvl>
    <w:lvl w:ilvl="7" w:tplc="CE66DC0C">
      <w:numFmt w:val="decimal"/>
      <w:lvlText w:val=""/>
      <w:lvlJc w:val="left"/>
    </w:lvl>
    <w:lvl w:ilvl="8" w:tplc="638C66C6">
      <w:numFmt w:val="decimal"/>
      <w:lvlText w:val=""/>
      <w:lvlJc w:val="left"/>
    </w:lvl>
  </w:abstractNum>
  <w:abstractNum w:abstractNumId="186">
    <w:nsid w:val="551665AE"/>
    <w:multiLevelType w:val="hybridMultilevel"/>
    <w:tmpl w:val="FFDC323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87">
    <w:nsid w:val="55C525AC"/>
    <w:multiLevelType w:val="hybridMultilevel"/>
    <w:tmpl w:val="564E4B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nsid w:val="55D1726F"/>
    <w:multiLevelType w:val="hybridMultilevel"/>
    <w:tmpl w:val="C94E2F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nsid w:val="56BA5DAB"/>
    <w:multiLevelType w:val="hybridMultilevel"/>
    <w:tmpl w:val="570A6D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nsid w:val="57790BCC"/>
    <w:multiLevelType w:val="hybridMultilevel"/>
    <w:tmpl w:val="18E8C5F0"/>
    <w:lvl w:ilvl="0" w:tplc="8F5AF23E">
      <w:start w:val="1"/>
      <w:numFmt w:val="lowerRoman"/>
      <w:lvlText w:val="(%1)"/>
      <w:lvlJc w:val="left"/>
      <w:pPr>
        <w:ind w:left="1440" w:hanging="360"/>
      </w:pPr>
      <w:rPr>
        <w:rFonts w:hint="default"/>
      </w:rPr>
    </w:lvl>
    <w:lvl w:ilvl="1" w:tplc="04090019" w:tentative="1">
      <w:start w:val="1"/>
      <w:numFmt w:val="lowerLetter"/>
      <w:pStyle w:val="MainParanoChap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nsid w:val="57D66624"/>
    <w:multiLevelType w:val="multilevel"/>
    <w:tmpl w:val="57AA8C40"/>
    <w:lvl w:ilvl="0">
      <w:start w:val="1"/>
      <w:numFmt w:val="decimal"/>
      <w:lvlText w:val="%1."/>
      <w:lvlJc w:val="left"/>
      <w:pPr>
        <w:ind w:left="7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420" w:hanging="720"/>
      </w:pPr>
      <w:rPr>
        <w:rFonts w:hint="default"/>
        <w:b/>
        <w:sz w:val="24"/>
        <w:szCs w:val="24"/>
      </w:rPr>
    </w:lvl>
    <w:lvl w:ilvl="3">
      <w:start w:val="1"/>
      <w:numFmt w:val="decimal"/>
      <w:isLgl/>
      <w:lvlText w:val="%1.%2.%3.%4"/>
      <w:lvlJc w:val="left"/>
      <w:pPr>
        <w:ind w:left="2989" w:hanging="720"/>
      </w:pPr>
      <w:rPr>
        <w:rFonts w:hint="default"/>
        <w:b/>
      </w:rPr>
    </w:lvl>
    <w:lvl w:ilvl="4">
      <w:start w:val="1"/>
      <w:numFmt w:val="decimal"/>
      <w:isLgl/>
      <w:lvlText w:val="%1.%2.%3.%4.%5"/>
      <w:lvlJc w:val="left"/>
      <w:pPr>
        <w:ind w:left="4764" w:hanging="1080"/>
      </w:pPr>
      <w:rPr>
        <w:rFonts w:hint="default"/>
      </w:rPr>
    </w:lvl>
    <w:lvl w:ilvl="5">
      <w:start w:val="1"/>
      <w:numFmt w:val="decimal"/>
      <w:isLgl/>
      <w:lvlText w:val="%1.%2.%3.%4.%5.%6"/>
      <w:lvlJc w:val="left"/>
      <w:pPr>
        <w:ind w:left="5756" w:hanging="1080"/>
      </w:pPr>
      <w:rPr>
        <w:rFonts w:hint="default"/>
      </w:rPr>
    </w:lvl>
    <w:lvl w:ilvl="6">
      <w:start w:val="1"/>
      <w:numFmt w:val="decimal"/>
      <w:isLgl/>
      <w:lvlText w:val="%1.%2.%3.%4.%5.%6.%7"/>
      <w:lvlJc w:val="left"/>
      <w:pPr>
        <w:ind w:left="7108"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452" w:hanging="1800"/>
      </w:pPr>
      <w:rPr>
        <w:rFonts w:hint="default"/>
      </w:rPr>
    </w:lvl>
  </w:abstractNum>
  <w:abstractNum w:abstractNumId="192">
    <w:nsid w:val="5816114D"/>
    <w:multiLevelType w:val="hybridMultilevel"/>
    <w:tmpl w:val="B3FC3B6E"/>
    <w:lvl w:ilvl="0" w:tplc="040C000B">
      <w:start w:val="1"/>
      <w:numFmt w:val="bullet"/>
      <w:lvlText w:val=""/>
      <w:lvlJc w:val="left"/>
      <w:pPr>
        <w:ind w:left="1170" w:hanging="360"/>
      </w:pPr>
      <w:rPr>
        <w:rFonts w:ascii="Wingdings" w:hAnsi="Wingdings"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193">
    <w:nsid w:val="58196E89"/>
    <w:multiLevelType w:val="hybridMultilevel"/>
    <w:tmpl w:val="A330D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nsid w:val="59E31540"/>
    <w:multiLevelType w:val="hybridMultilevel"/>
    <w:tmpl w:val="BBA67C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5">
    <w:nsid w:val="5A2626A3"/>
    <w:multiLevelType w:val="hybridMultilevel"/>
    <w:tmpl w:val="E098B5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nsid w:val="5A5F489A"/>
    <w:multiLevelType w:val="hybridMultilevel"/>
    <w:tmpl w:val="BA887B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nsid w:val="5ABE6F43"/>
    <w:multiLevelType w:val="hybridMultilevel"/>
    <w:tmpl w:val="7EE69B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nsid w:val="5ACE574B"/>
    <w:multiLevelType w:val="hybridMultilevel"/>
    <w:tmpl w:val="47E80B7C"/>
    <w:lvl w:ilvl="0" w:tplc="00000001">
      <w:numFmt w:val="bullet"/>
      <w:lvlText w:val="."/>
      <w:lvlJc w:val="left"/>
      <w:pPr>
        <w:ind w:left="720" w:hanging="360"/>
      </w:pPr>
    </w:lvl>
    <w:lvl w:ilvl="1" w:tplc="040C000B">
      <w:start w:val="1"/>
      <w:numFmt w:val="bullet"/>
      <w:lvlText w:val=""/>
      <w:lvlJc w:val="left"/>
      <w:pPr>
        <w:ind w:left="78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5AFB15DC"/>
    <w:multiLevelType w:val="hybridMultilevel"/>
    <w:tmpl w:val="07466E48"/>
    <w:lvl w:ilvl="0" w:tplc="A28EC0B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0">
    <w:nsid w:val="5B1F7813"/>
    <w:multiLevelType w:val="hybridMultilevel"/>
    <w:tmpl w:val="829876BE"/>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5C380DA6"/>
    <w:multiLevelType w:val="hybridMultilevel"/>
    <w:tmpl w:val="AA30A7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nsid w:val="5D387469"/>
    <w:multiLevelType w:val="hybridMultilevel"/>
    <w:tmpl w:val="8B9EA020"/>
    <w:lvl w:ilvl="0" w:tplc="938283E4">
      <w:start w:val="1"/>
      <w:numFmt w:val="bullet"/>
      <w:pStyle w:val="Listacommarcas3"/>
      <w:lvlText w:val=""/>
      <w:lvlJc w:val="left"/>
      <w:pPr>
        <w:ind w:left="1803" w:hanging="360"/>
      </w:pPr>
      <w:rPr>
        <w:rFonts w:ascii="Symbol" w:hAnsi="Symbol" w:hint="default"/>
      </w:rPr>
    </w:lvl>
    <w:lvl w:ilvl="1" w:tplc="040C0003" w:tentative="1">
      <w:start w:val="1"/>
      <w:numFmt w:val="bullet"/>
      <w:lvlText w:val="o"/>
      <w:lvlJc w:val="left"/>
      <w:pPr>
        <w:ind w:left="2523" w:hanging="360"/>
      </w:pPr>
      <w:rPr>
        <w:rFonts w:ascii="Courier New" w:hAnsi="Courier New" w:cs="Courier New" w:hint="default"/>
      </w:rPr>
    </w:lvl>
    <w:lvl w:ilvl="2" w:tplc="040C0005" w:tentative="1">
      <w:start w:val="1"/>
      <w:numFmt w:val="bullet"/>
      <w:lvlText w:val=""/>
      <w:lvlJc w:val="left"/>
      <w:pPr>
        <w:ind w:left="3243" w:hanging="360"/>
      </w:pPr>
      <w:rPr>
        <w:rFonts w:ascii="Wingdings" w:hAnsi="Wingdings" w:hint="default"/>
      </w:rPr>
    </w:lvl>
    <w:lvl w:ilvl="3" w:tplc="040C0001" w:tentative="1">
      <w:start w:val="1"/>
      <w:numFmt w:val="bullet"/>
      <w:lvlText w:val=""/>
      <w:lvlJc w:val="left"/>
      <w:pPr>
        <w:ind w:left="3963" w:hanging="360"/>
      </w:pPr>
      <w:rPr>
        <w:rFonts w:ascii="Symbol" w:hAnsi="Symbol" w:hint="default"/>
      </w:rPr>
    </w:lvl>
    <w:lvl w:ilvl="4" w:tplc="040C0003" w:tentative="1">
      <w:start w:val="1"/>
      <w:numFmt w:val="bullet"/>
      <w:lvlText w:val="o"/>
      <w:lvlJc w:val="left"/>
      <w:pPr>
        <w:ind w:left="4683" w:hanging="360"/>
      </w:pPr>
      <w:rPr>
        <w:rFonts w:ascii="Courier New" w:hAnsi="Courier New" w:cs="Courier New" w:hint="default"/>
      </w:rPr>
    </w:lvl>
    <w:lvl w:ilvl="5" w:tplc="040C0005" w:tentative="1">
      <w:start w:val="1"/>
      <w:numFmt w:val="bullet"/>
      <w:lvlText w:val=""/>
      <w:lvlJc w:val="left"/>
      <w:pPr>
        <w:ind w:left="5403" w:hanging="360"/>
      </w:pPr>
      <w:rPr>
        <w:rFonts w:ascii="Wingdings" w:hAnsi="Wingdings" w:hint="default"/>
      </w:rPr>
    </w:lvl>
    <w:lvl w:ilvl="6" w:tplc="040C0001" w:tentative="1">
      <w:start w:val="1"/>
      <w:numFmt w:val="bullet"/>
      <w:lvlText w:val=""/>
      <w:lvlJc w:val="left"/>
      <w:pPr>
        <w:ind w:left="6123" w:hanging="360"/>
      </w:pPr>
      <w:rPr>
        <w:rFonts w:ascii="Symbol" w:hAnsi="Symbol" w:hint="default"/>
      </w:rPr>
    </w:lvl>
    <w:lvl w:ilvl="7" w:tplc="040C0003" w:tentative="1">
      <w:start w:val="1"/>
      <w:numFmt w:val="bullet"/>
      <w:lvlText w:val="o"/>
      <w:lvlJc w:val="left"/>
      <w:pPr>
        <w:ind w:left="6843" w:hanging="360"/>
      </w:pPr>
      <w:rPr>
        <w:rFonts w:ascii="Courier New" w:hAnsi="Courier New" w:cs="Courier New" w:hint="default"/>
      </w:rPr>
    </w:lvl>
    <w:lvl w:ilvl="8" w:tplc="040C0005" w:tentative="1">
      <w:start w:val="1"/>
      <w:numFmt w:val="bullet"/>
      <w:lvlText w:val=""/>
      <w:lvlJc w:val="left"/>
      <w:pPr>
        <w:ind w:left="7563" w:hanging="360"/>
      </w:pPr>
      <w:rPr>
        <w:rFonts w:ascii="Wingdings" w:hAnsi="Wingdings" w:hint="default"/>
      </w:rPr>
    </w:lvl>
  </w:abstractNum>
  <w:abstractNum w:abstractNumId="203">
    <w:nsid w:val="5E1E0171"/>
    <w:multiLevelType w:val="hybridMultilevel"/>
    <w:tmpl w:val="D082C960"/>
    <w:lvl w:ilvl="0" w:tplc="4E769E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nsid w:val="5E940C28"/>
    <w:multiLevelType w:val="hybridMultilevel"/>
    <w:tmpl w:val="008C6E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nsid w:val="5F417F02"/>
    <w:multiLevelType w:val="hybridMultilevel"/>
    <w:tmpl w:val="7AD8357C"/>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nsid w:val="5F905D15"/>
    <w:multiLevelType w:val="hybridMultilevel"/>
    <w:tmpl w:val="0F14BDBE"/>
    <w:lvl w:ilvl="0" w:tplc="040C0001">
      <w:start w:val="1"/>
      <w:numFmt w:val="bullet"/>
      <w:lvlText w:val=""/>
      <w:lvlJc w:val="left"/>
      <w:pPr>
        <w:tabs>
          <w:tab w:val="num" w:pos="720"/>
        </w:tabs>
        <w:ind w:left="720" w:hanging="360"/>
      </w:pPr>
      <w:rPr>
        <w:rFonts w:ascii="Symbol" w:hAnsi="Symbol" w:hint="default"/>
      </w:rPr>
    </w:lvl>
    <w:lvl w:ilvl="1" w:tplc="B504DD3E">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8">
    <w:nsid w:val="5FB45278"/>
    <w:multiLevelType w:val="hybridMultilevel"/>
    <w:tmpl w:val="95BA6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06F3C40"/>
    <w:multiLevelType w:val="hybridMultilevel"/>
    <w:tmpl w:val="693A77BE"/>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nsid w:val="610424AB"/>
    <w:multiLevelType w:val="hybridMultilevel"/>
    <w:tmpl w:val="CB4834F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1">
    <w:nsid w:val="619B5341"/>
    <w:multiLevelType w:val="hybridMultilevel"/>
    <w:tmpl w:val="3E62AD9C"/>
    <w:lvl w:ilvl="0" w:tplc="BC4C68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nsid w:val="62227236"/>
    <w:multiLevelType w:val="hybridMultilevel"/>
    <w:tmpl w:val="196C8432"/>
    <w:lvl w:ilvl="0" w:tplc="22B261FA">
      <w:start w:val="1"/>
      <w:numFmt w:val="lowerRoman"/>
      <w:lvlText w:val="(%1)"/>
      <w:lvlJc w:val="left"/>
      <w:pPr>
        <w:ind w:left="436" w:hanging="72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13">
    <w:nsid w:val="628263DD"/>
    <w:multiLevelType w:val="hybridMultilevel"/>
    <w:tmpl w:val="C67E72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nsid w:val="628B42E1"/>
    <w:multiLevelType w:val="hybridMultilevel"/>
    <w:tmpl w:val="E5766094"/>
    <w:lvl w:ilvl="0" w:tplc="67B03E92">
      <w:numFmt w:val="bullet"/>
      <w:lvlText w:val="❖"/>
      <w:lvlJc w:val="left"/>
      <w:pPr>
        <w:ind w:left="851" w:hanging="360"/>
      </w:pPr>
      <w:rPr>
        <w:rFonts w:ascii="Arial Unicode MS" w:eastAsia="Arial Unicode MS" w:hAnsi="Arial Unicode MS" w:cs="Arial Unicode MS" w:hint="default"/>
        <w:w w:val="113"/>
        <w:sz w:val="24"/>
        <w:szCs w:val="24"/>
        <w:lang w:val="zh-CN" w:eastAsia="zh-CN" w:bidi="zh-CN"/>
      </w:rPr>
    </w:lvl>
    <w:lvl w:ilvl="1" w:tplc="B364B032">
      <w:numFmt w:val="bullet"/>
      <w:lvlText w:val="o"/>
      <w:lvlJc w:val="left"/>
      <w:pPr>
        <w:ind w:left="1571" w:hanging="360"/>
      </w:pPr>
      <w:rPr>
        <w:rFonts w:ascii="Courier New" w:eastAsia="Courier New" w:hAnsi="Courier New" w:cs="Courier New" w:hint="default"/>
        <w:w w:val="100"/>
        <w:sz w:val="24"/>
        <w:szCs w:val="24"/>
        <w:lang w:val="zh-CN" w:eastAsia="zh-CN" w:bidi="zh-CN"/>
      </w:rPr>
    </w:lvl>
    <w:lvl w:ilvl="2" w:tplc="E220A328">
      <w:numFmt w:val="bullet"/>
      <w:lvlText w:val="▪"/>
      <w:lvlJc w:val="left"/>
      <w:pPr>
        <w:ind w:left="2291" w:hanging="360"/>
      </w:pPr>
      <w:rPr>
        <w:rFonts w:ascii="Arial Unicode MS" w:eastAsia="Arial Unicode MS" w:hAnsi="Arial Unicode MS" w:cs="Arial Unicode MS" w:hint="default"/>
        <w:w w:val="76"/>
        <w:sz w:val="24"/>
        <w:szCs w:val="24"/>
        <w:lang w:val="zh-CN" w:eastAsia="zh-CN" w:bidi="zh-CN"/>
      </w:rPr>
    </w:lvl>
    <w:lvl w:ilvl="3" w:tplc="D5E8A5AA">
      <w:numFmt w:val="bullet"/>
      <w:lvlText w:val="•"/>
      <w:lvlJc w:val="left"/>
      <w:pPr>
        <w:ind w:left="3288" w:hanging="360"/>
      </w:pPr>
      <w:rPr>
        <w:rFonts w:hint="default"/>
        <w:lang w:val="zh-CN" w:eastAsia="zh-CN" w:bidi="zh-CN"/>
      </w:rPr>
    </w:lvl>
    <w:lvl w:ilvl="4" w:tplc="FF06275C">
      <w:numFmt w:val="bullet"/>
      <w:lvlText w:val="•"/>
      <w:lvlJc w:val="left"/>
      <w:pPr>
        <w:ind w:left="4276" w:hanging="360"/>
      </w:pPr>
      <w:rPr>
        <w:rFonts w:hint="default"/>
        <w:lang w:val="zh-CN" w:eastAsia="zh-CN" w:bidi="zh-CN"/>
      </w:rPr>
    </w:lvl>
    <w:lvl w:ilvl="5" w:tplc="4560CA8E">
      <w:numFmt w:val="bullet"/>
      <w:lvlText w:val="•"/>
      <w:lvlJc w:val="left"/>
      <w:pPr>
        <w:ind w:left="5264" w:hanging="360"/>
      </w:pPr>
      <w:rPr>
        <w:rFonts w:hint="default"/>
        <w:lang w:val="zh-CN" w:eastAsia="zh-CN" w:bidi="zh-CN"/>
      </w:rPr>
    </w:lvl>
    <w:lvl w:ilvl="6" w:tplc="5D0ACCCA">
      <w:numFmt w:val="bullet"/>
      <w:lvlText w:val="•"/>
      <w:lvlJc w:val="left"/>
      <w:pPr>
        <w:ind w:left="6253" w:hanging="360"/>
      </w:pPr>
      <w:rPr>
        <w:rFonts w:hint="default"/>
        <w:lang w:val="zh-CN" w:eastAsia="zh-CN" w:bidi="zh-CN"/>
      </w:rPr>
    </w:lvl>
    <w:lvl w:ilvl="7" w:tplc="E51E71CA">
      <w:numFmt w:val="bullet"/>
      <w:lvlText w:val="•"/>
      <w:lvlJc w:val="left"/>
      <w:pPr>
        <w:ind w:left="7241" w:hanging="360"/>
      </w:pPr>
      <w:rPr>
        <w:rFonts w:hint="default"/>
        <w:lang w:val="zh-CN" w:eastAsia="zh-CN" w:bidi="zh-CN"/>
      </w:rPr>
    </w:lvl>
    <w:lvl w:ilvl="8" w:tplc="C23ABDA0">
      <w:numFmt w:val="bullet"/>
      <w:lvlText w:val="•"/>
      <w:lvlJc w:val="left"/>
      <w:pPr>
        <w:ind w:left="8229" w:hanging="360"/>
      </w:pPr>
      <w:rPr>
        <w:rFonts w:hint="default"/>
        <w:lang w:val="zh-CN" w:eastAsia="zh-CN" w:bidi="zh-CN"/>
      </w:rPr>
    </w:lvl>
  </w:abstractNum>
  <w:abstractNum w:abstractNumId="215">
    <w:nsid w:val="62C267FD"/>
    <w:multiLevelType w:val="hybridMultilevel"/>
    <w:tmpl w:val="3F10A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6">
    <w:nsid w:val="631454CF"/>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7">
    <w:nsid w:val="651053FA"/>
    <w:multiLevelType w:val="hybridMultilevel"/>
    <w:tmpl w:val="E98AD042"/>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18">
    <w:nsid w:val="65E2555A"/>
    <w:multiLevelType w:val="hybridMultilevel"/>
    <w:tmpl w:val="CB285C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9">
    <w:nsid w:val="664238DF"/>
    <w:multiLevelType w:val="hybridMultilevel"/>
    <w:tmpl w:val="148492D4"/>
    <w:lvl w:ilvl="0" w:tplc="275EA6DE">
      <w:numFmt w:val="bullet"/>
      <w:lvlText w:val="-"/>
      <w:lvlJc w:val="left"/>
      <w:pPr>
        <w:ind w:left="360" w:hanging="360"/>
      </w:pPr>
      <w:rPr>
        <w:rFonts w:ascii="Arial Narrow" w:eastAsia="Times New Roman" w:hAnsi="Arial Narrow" w:cs="Times New Roman" w:hint="default"/>
      </w:rPr>
    </w:lvl>
    <w:lvl w:ilvl="1" w:tplc="33D4D962" w:tentative="1">
      <w:start w:val="1"/>
      <w:numFmt w:val="bullet"/>
      <w:lvlText w:val="o"/>
      <w:lvlJc w:val="left"/>
      <w:pPr>
        <w:ind w:left="1080" w:hanging="360"/>
      </w:pPr>
      <w:rPr>
        <w:rFonts w:ascii="Courier New" w:hAnsi="Courier New" w:cs="Courier New" w:hint="default"/>
      </w:rPr>
    </w:lvl>
    <w:lvl w:ilvl="2" w:tplc="1388C164" w:tentative="1">
      <w:start w:val="1"/>
      <w:numFmt w:val="bullet"/>
      <w:lvlText w:val=""/>
      <w:lvlJc w:val="left"/>
      <w:pPr>
        <w:ind w:left="1800" w:hanging="360"/>
      </w:pPr>
      <w:rPr>
        <w:rFonts w:ascii="Wingdings" w:hAnsi="Wingdings" w:hint="default"/>
      </w:rPr>
    </w:lvl>
    <w:lvl w:ilvl="3" w:tplc="B2865F3E" w:tentative="1">
      <w:start w:val="1"/>
      <w:numFmt w:val="bullet"/>
      <w:lvlText w:val=""/>
      <w:lvlJc w:val="left"/>
      <w:pPr>
        <w:ind w:left="2520" w:hanging="360"/>
      </w:pPr>
      <w:rPr>
        <w:rFonts w:ascii="Symbol" w:hAnsi="Symbol" w:hint="default"/>
      </w:rPr>
    </w:lvl>
    <w:lvl w:ilvl="4" w:tplc="2F3A200E" w:tentative="1">
      <w:start w:val="1"/>
      <w:numFmt w:val="bullet"/>
      <w:lvlText w:val="o"/>
      <w:lvlJc w:val="left"/>
      <w:pPr>
        <w:ind w:left="3240" w:hanging="360"/>
      </w:pPr>
      <w:rPr>
        <w:rFonts w:ascii="Courier New" w:hAnsi="Courier New" w:cs="Courier New" w:hint="default"/>
      </w:rPr>
    </w:lvl>
    <w:lvl w:ilvl="5" w:tplc="1DA83640" w:tentative="1">
      <w:start w:val="1"/>
      <w:numFmt w:val="bullet"/>
      <w:lvlText w:val=""/>
      <w:lvlJc w:val="left"/>
      <w:pPr>
        <w:ind w:left="3960" w:hanging="360"/>
      </w:pPr>
      <w:rPr>
        <w:rFonts w:ascii="Wingdings" w:hAnsi="Wingdings" w:hint="default"/>
      </w:rPr>
    </w:lvl>
    <w:lvl w:ilvl="6" w:tplc="BFC22DB8" w:tentative="1">
      <w:start w:val="1"/>
      <w:numFmt w:val="bullet"/>
      <w:lvlText w:val=""/>
      <w:lvlJc w:val="left"/>
      <w:pPr>
        <w:ind w:left="4680" w:hanging="360"/>
      </w:pPr>
      <w:rPr>
        <w:rFonts w:ascii="Symbol" w:hAnsi="Symbol" w:hint="default"/>
      </w:rPr>
    </w:lvl>
    <w:lvl w:ilvl="7" w:tplc="7AB046E6" w:tentative="1">
      <w:start w:val="1"/>
      <w:numFmt w:val="bullet"/>
      <w:lvlText w:val="o"/>
      <w:lvlJc w:val="left"/>
      <w:pPr>
        <w:ind w:left="5400" w:hanging="360"/>
      </w:pPr>
      <w:rPr>
        <w:rFonts w:ascii="Courier New" w:hAnsi="Courier New" w:cs="Courier New" w:hint="default"/>
      </w:rPr>
    </w:lvl>
    <w:lvl w:ilvl="8" w:tplc="56F6B0DE" w:tentative="1">
      <w:start w:val="1"/>
      <w:numFmt w:val="bullet"/>
      <w:lvlText w:val=""/>
      <w:lvlJc w:val="left"/>
      <w:pPr>
        <w:ind w:left="6120" w:hanging="360"/>
      </w:pPr>
      <w:rPr>
        <w:rFonts w:ascii="Wingdings" w:hAnsi="Wingdings" w:hint="default"/>
      </w:rPr>
    </w:lvl>
  </w:abstractNum>
  <w:abstractNum w:abstractNumId="220">
    <w:nsid w:val="66481952"/>
    <w:multiLevelType w:val="hybridMultilevel"/>
    <w:tmpl w:val="420EA16A"/>
    <w:lvl w:ilvl="0" w:tplc="A28EC0B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1">
    <w:nsid w:val="66C023C7"/>
    <w:multiLevelType w:val="hybridMultilevel"/>
    <w:tmpl w:val="33F0FEA2"/>
    <w:lvl w:ilvl="0" w:tplc="DA0472F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nsid w:val="66CF6BA1"/>
    <w:multiLevelType w:val="hybridMultilevel"/>
    <w:tmpl w:val="001ED1F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3">
    <w:nsid w:val="67527830"/>
    <w:multiLevelType w:val="hybridMultilevel"/>
    <w:tmpl w:val="BEBCDE04"/>
    <w:lvl w:ilvl="0" w:tplc="DDC6B3E0">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7D11147"/>
    <w:multiLevelType w:val="hybridMultilevel"/>
    <w:tmpl w:val="21D0AAF2"/>
    <w:lvl w:ilvl="0" w:tplc="EAA2E89A">
      <w:start w:val="1"/>
      <w:numFmt w:val="lowerRoman"/>
      <w:lvlText w:val="(%1)"/>
      <w:lvlJc w:val="left"/>
      <w:pPr>
        <w:ind w:left="4680" w:hanging="720"/>
      </w:pPr>
      <w:rPr>
        <w:rFonts w:hint="default"/>
      </w:rPr>
    </w:lvl>
    <w:lvl w:ilvl="1" w:tplc="040C0019" w:tentative="1">
      <w:start w:val="1"/>
      <w:numFmt w:val="lowerLetter"/>
      <w:lvlText w:val="%2."/>
      <w:lvlJc w:val="left"/>
      <w:pPr>
        <w:ind w:left="5040" w:hanging="360"/>
      </w:pPr>
    </w:lvl>
    <w:lvl w:ilvl="2" w:tplc="040C001B" w:tentative="1">
      <w:start w:val="1"/>
      <w:numFmt w:val="lowerRoman"/>
      <w:lvlText w:val="%3."/>
      <w:lvlJc w:val="right"/>
      <w:pPr>
        <w:ind w:left="5760" w:hanging="180"/>
      </w:pPr>
    </w:lvl>
    <w:lvl w:ilvl="3" w:tplc="040C000F" w:tentative="1">
      <w:start w:val="1"/>
      <w:numFmt w:val="decimal"/>
      <w:lvlText w:val="%4."/>
      <w:lvlJc w:val="left"/>
      <w:pPr>
        <w:ind w:left="6480" w:hanging="360"/>
      </w:pPr>
    </w:lvl>
    <w:lvl w:ilvl="4" w:tplc="040C0019" w:tentative="1">
      <w:start w:val="1"/>
      <w:numFmt w:val="lowerLetter"/>
      <w:lvlText w:val="%5."/>
      <w:lvlJc w:val="left"/>
      <w:pPr>
        <w:ind w:left="7200" w:hanging="360"/>
      </w:pPr>
    </w:lvl>
    <w:lvl w:ilvl="5" w:tplc="040C001B" w:tentative="1">
      <w:start w:val="1"/>
      <w:numFmt w:val="lowerRoman"/>
      <w:lvlText w:val="%6."/>
      <w:lvlJc w:val="right"/>
      <w:pPr>
        <w:ind w:left="7920" w:hanging="180"/>
      </w:pPr>
    </w:lvl>
    <w:lvl w:ilvl="6" w:tplc="040C000F" w:tentative="1">
      <w:start w:val="1"/>
      <w:numFmt w:val="decimal"/>
      <w:lvlText w:val="%7."/>
      <w:lvlJc w:val="left"/>
      <w:pPr>
        <w:ind w:left="8640" w:hanging="360"/>
      </w:pPr>
    </w:lvl>
    <w:lvl w:ilvl="7" w:tplc="040C0019" w:tentative="1">
      <w:start w:val="1"/>
      <w:numFmt w:val="lowerLetter"/>
      <w:lvlText w:val="%8."/>
      <w:lvlJc w:val="left"/>
      <w:pPr>
        <w:ind w:left="9360" w:hanging="360"/>
      </w:pPr>
    </w:lvl>
    <w:lvl w:ilvl="8" w:tplc="040C001B" w:tentative="1">
      <w:start w:val="1"/>
      <w:numFmt w:val="lowerRoman"/>
      <w:lvlText w:val="%9."/>
      <w:lvlJc w:val="right"/>
      <w:pPr>
        <w:ind w:left="10080" w:hanging="180"/>
      </w:pPr>
    </w:lvl>
  </w:abstractNum>
  <w:abstractNum w:abstractNumId="226">
    <w:nsid w:val="67E0540B"/>
    <w:multiLevelType w:val="hybridMultilevel"/>
    <w:tmpl w:val="E7FC61B8"/>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7">
    <w:nsid w:val="6A0C1AA2"/>
    <w:multiLevelType w:val="hybridMultilevel"/>
    <w:tmpl w:val="F4E8F3A4"/>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28">
    <w:nsid w:val="6A3B176D"/>
    <w:multiLevelType w:val="hybridMultilevel"/>
    <w:tmpl w:val="E7FC62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9">
    <w:nsid w:val="6A773393"/>
    <w:multiLevelType w:val="hybridMultilevel"/>
    <w:tmpl w:val="866AFBB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30">
    <w:nsid w:val="6AA03AEB"/>
    <w:multiLevelType w:val="hybridMultilevel"/>
    <w:tmpl w:val="1EE2270A"/>
    <w:lvl w:ilvl="0" w:tplc="040C0009">
      <w:start w:val="1"/>
      <w:numFmt w:val="bullet"/>
      <w:lvlText w:val=""/>
      <w:lvlJc w:val="left"/>
      <w:pPr>
        <w:ind w:left="763" w:hanging="360"/>
      </w:pPr>
      <w:rPr>
        <w:rFonts w:ascii="Wingdings" w:hAnsi="Wingdings" w:hint="default"/>
      </w:rPr>
    </w:lvl>
    <w:lvl w:ilvl="1" w:tplc="040C0003">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231">
    <w:nsid w:val="6ABE4BCD"/>
    <w:multiLevelType w:val="singleLevel"/>
    <w:tmpl w:val="158E264A"/>
    <w:lvl w:ilvl="0">
      <w:start w:val="1"/>
      <w:numFmt w:val="lowerLetter"/>
      <w:pStyle w:val="Paragrapha"/>
      <w:lvlText w:val="(%1)"/>
      <w:lvlJc w:val="left"/>
      <w:pPr>
        <w:tabs>
          <w:tab w:val="num" w:pos="1080"/>
        </w:tabs>
        <w:ind w:left="1080" w:hanging="360"/>
      </w:pPr>
      <w:rPr>
        <w:rFonts w:ascii="Times New Roman" w:hAnsi="Times New Roman" w:hint="default"/>
        <w:b w:val="0"/>
        <w:i w:val="0"/>
        <w:sz w:val="24"/>
      </w:rPr>
    </w:lvl>
  </w:abstractNum>
  <w:abstractNum w:abstractNumId="232">
    <w:nsid w:val="6B026AAD"/>
    <w:multiLevelType w:val="hybridMultilevel"/>
    <w:tmpl w:val="9B8822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3">
    <w:nsid w:val="6BEF0BE4"/>
    <w:multiLevelType w:val="multilevel"/>
    <w:tmpl w:val="528083E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4">
    <w:nsid w:val="6C1D57F6"/>
    <w:multiLevelType w:val="hybridMultilevel"/>
    <w:tmpl w:val="A06CC7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nsid w:val="6D4C3AF4"/>
    <w:multiLevelType w:val="hybridMultilevel"/>
    <w:tmpl w:val="D2EC3FBC"/>
    <w:lvl w:ilvl="0" w:tplc="D9B0E274">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6">
    <w:nsid w:val="6D5F2FED"/>
    <w:multiLevelType w:val="hybridMultilevel"/>
    <w:tmpl w:val="8452D584"/>
    <w:lvl w:ilvl="0" w:tplc="A28EC0B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7">
    <w:nsid w:val="6D662C70"/>
    <w:multiLevelType w:val="hybridMultilevel"/>
    <w:tmpl w:val="F7D68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8">
    <w:nsid w:val="6D895D83"/>
    <w:multiLevelType w:val="multilevel"/>
    <w:tmpl w:val="BA501236"/>
    <w:lvl w:ilvl="0">
      <w:start w:val="1"/>
      <w:numFmt w:val="decimal"/>
      <w:lvlText w:val="%1."/>
      <w:lvlJc w:val="left"/>
      <w:pPr>
        <w:ind w:left="1440" w:hanging="360"/>
      </w:pPr>
    </w:lvl>
    <w:lvl w:ilvl="1">
      <w:start w:val="1"/>
      <w:numFmt w:val="decimal"/>
      <w:isLgl/>
      <w:lvlText w:val="%1.%2"/>
      <w:lvlJc w:val="left"/>
      <w:pPr>
        <w:ind w:left="2291" w:hanging="720"/>
      </w:pPr>
      <w:rPr>
        <w:rFonts w:hint="default"/>
        <w:color w:val="000000" w:themeColor="text1"/>
      </w:rPr>
    </w:lvl>
    <w:lvl w:ilvl="2">
      <w:start w:val="1"/>
      <w:numFmt w:val="decimal"/>
      <w:isLgl/>
      <w:lvlText w:val="%1.%2.%3"/>
      <w:lvlJc w:val="left"/>
      <w:pPr>
        <w:ind w:left="2782" w:hanging="720"/>
      </w:pPr>
      <w:rPr>
        <w:rFonts w:hint="default"/>
        <w:color w:val="000000" w:themeColor="text1"/>
      </w:rPr>
    </w:lvl>
    <w:lvl w:ilvl="3">
      <w:start w:val="1"/>
      <w:numFmt w:val="decimal"/>
      <w:isLgl/>
      <w:lvlText w:val="%1.%2.%3.%4"/>
      <w:lvlJc w:val="left"/>
      <w:pPr>
        <w:ind w:left="3633" w:hanging="1080"/>
      </w:pPr>
      <w:rPr>
        <w:rFonts w:hint="default"/>
        <w:color w:val="000000" w:themeColor="text1"/>
      </w:rPr>
    </w:lvl>
    <w:lvl w:ilvl="4">
      <w:start w:val="1"/>
      <w:numFmt w:val="decimal"/>
      <w:isLgl/>
      <w:lvlText w:val="%1.%2.%3.%4.%5"/>
      <w:lvlJc w:val="left"/>
      <w:pPr>
        <w:ind w:left="4124" w:hanging="1080"/>
      </w:pPr>
      <w:rPr>
        <w:rFonts w:hint="default"/>
        <w:color w:val="000000" w:themeColor="text1"/>
      </w:rPr>
    </w:lvl>
    <w:lvl w:ilvl="5">
      <w:start w:val="1"/>
      <w:numFmt w:val="decimal"/>
      <w:isLgl/>
      <w:lvlText w:val="%1.%2.%3.%4.%5.%6"/>
      <w:lvlJc w:val="left"/>
      <w:pPr>
        <w:ind w:left="4975" w:hanging="1440"/>
      </w:pPr>
      <w:rPr>
        <w:rFonts w:hint="default"/>
        <w:color w:val="000000" w:themeColor="text1"/>
      </w:rPr>
    </w:lvl>
    <w:lvl w:ilvl="6">
      <w:start w:val="1"/>
      <w:numFmt w:val="decimal"/>
      <w:isLgl/>
      <w:lvlText w:val="%1.%2.%3.%4.%5.%6.%7"/>
      <w:lvlJc w:val="left"/>
      <w:pPr>
        <w:ind w:left="5826" w:hanging="1800"/>
      </w:pPr>
      <w:rPr>
        <w:rFonts w:hint="default"/>
        <w:color w:val="000000" w:themeColor="text1"/>
      </w:rPr>
    </w:lvl>
    <w:lvl w:ilvl="7">
      <w:start w:val="1"/>
      <w:numFmt w:val="decimal"/>
      <w:isLgl/>
      <w:lvlText w:val="%1.%2.%3.%4.%5.%6.%7.%8"/>
      <w:lvlJc w:val="left"/>
      <w:pPr>
        <w:ind w:left="6317" w:hanging="1800"/>
      </w:pPr>
      <w:rPr>
        <w:rFonts w:hint="default"/>
        <w:color w:val="000000" w:themeColor="text1"/>
      </w:rPr>
    </w:lvl>
    <w:lvl w:ilvl="8">
      <w:start w:val="1"/>
      <w:numFmt w:val="decimal"/>
      <w:isLgl/>
      <w:lvlText w:val="%1.%2.%3.%4.%5.%6.%7.%8.%9"/>
      <w:lvlJc w:val="left"/>
      <w:pPr>
        <w:ind w:left="7168" w:hanging="2160"/>
      </w:pPr>
      <w:rPr>
        <w:rFonts w:hint="default"/>
        <w:color w:val="000000" w:themeColor="text1"/>
      </w:rPr>
    </w:lvl>
  </w:abstractNum>
  <w:abstractNum w:abstractNumId="239">
    <w:nsid w:val="6D9841CA"/>
    <w:multiLevelType w:val="hybridMultilevel"/>
    <w:tmpl w:val="1E90F2D8"/>
    <w:lvl w:ilvl="0" w:tplc="AA24AA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nsid w:val="6DA51C8F"/>
    <w:multiLevelType w:val="hybridMultilevel"/>
    <w:tmpl w:val="A6048124"/>
    <w:lvl w:ilvl="0" w:tplc="B504DD3E">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1">
    <w:nsid w:val="6DCC6D43"/>
    <w:multiLevelType w:val="hybridMultilevel"/>
    <w:tmpl w:val="BE60E5E4"/>
    <w:lvl w:ilvl="0" w:tplc="FF4E1870">
      <w:start w:val="1"/>
      <w:numFmt w:val="lowerRoman"/>
      <w:pStyle w:val="ndiceremissivo1"/>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6DD24ED5"/>
    <w:multiLevelType w:val="multilevel"/>
    <w:tmpl w:val="6DD24E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nsid w:val="6DD3091D"/>
    <w:multiLevelType w:val="hybridMultilevel"/>
    <w:tmpl w:val="AC7C81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4">
    <w:nsid w:val="6E492B14"/>
    <w:multiLevelType w:val="hybridMultilevel"/>
    <w:tmpl w:val="9B14D326"/>
    <w:lvl w:ilvl="0" w:tplc="3C2EFEA2">
      <w:numFmt w:val="bullet"/>
      <w:lvlText w:val="•"/>
      <w:lvlJc w:val="left"/>
      <w:pPr>
        <w:ind w:left="720" w:hanging="360"/>
      </w:pPr>
      <w:rPr>
        <w:rFonts w:ascii="Calibri" w:eastAsia="Calibri" w:hAnsi="Calibri" w:cs="Calibri" w:hint="default"/>
        <w:sz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5">
    <w:nsid w:val="6EF464CD"/>
    <w:multiLevelType w:val="hybridMultilevel"/>
    <w:tmpl w:val="D2D4BBF4"/>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46">
    <w:nsid w:val="6F560FB7"/>
    <w:multiLevelType w:val="hybridMultilevel"/>
    <w:tmpl w:val="0E4E10C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7">
    <w:nsid w:val="6F6D6CAB"/>
    <w:multiLevelType w:val="hybridMultilevel"/>
    <w:tmpl w:val="4838089A"/>
    <w:lvl w:ilvl="0" w:tplc="39EA2D9A">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8">
    <w:nsid w:val="71E65CDE"/>
    <w:multiLevelType w:val="hybridMultilevel"/>
    <w:tmpl w:val="1A4428C4"/>
    <w:lvl w:ilvl="0" w:tplc="54FE1AC6">
      <w:start w:val="1"/>
      <w:numFmt w:val="bullet"/>
      <w:lvlText w:val="o"/>
      <w:lvlJc w:val="left"/>
      <w:pPr>
        <w:ind w:left="1068" w:hanging="360"/>
      </w:pPr>
      <w:rPr>
        <w:rFonts w:ascii="Courier New" w:hAnsi="Courier New" w:cs="Courier New" w:hint="default"/>
      </w:rPr>
    </w:lvl>
    <w:lvl w:ilvl="1" w:tplc="87C2885C">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9">
    <w:nsid w:val="71F16E31"/>
    <w:multiLevelType w:val="hybridMultilevel"/>
    <w:tmpl w:val="4EC076E4"/>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50">
    <w:nsid w:val="71FA413C"/>
    <w:multiLevelType w:val="hybridMultilevel"/>
    <w:tmpl w:val="C9904604"/>
    <w:lvl w:ilvl="0" w:tplc="104237EC">
      <w:start w:val="1"/>
      <w:numFmt w:val="decimal"/>
      <w:pStyle w:val="ParaWB"/>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nsid w:val="72267ED8"/>
    <w:multiLevelType w:val="hybridMultilevel"/>
    <w:tmpl w:val="E9FC2BC6"/>
    <w:lvl w:ilvl="0" w:tplc="0816000D">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52">
    <w:nsid w:val="735C5323"/>
    <w:multiLevelType w:val="hybridMultilevel"/>
    <w:tmpl w:val="6C1A8464"/>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53">
    <w:nsid w:val="745D74C0"/>
    <w:multiLevelType w:val="multilevel"/>
    <w:tmpl w:val="9334AD4E"/>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4">
    <w:nsid w:val="75017C38"/>
    <w:multiLevelType w:val="hybridMultilevel"/>
    <w:tmpl w:val="7DE07E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5">
    <w:nsid w:val="758F2EB5"/>
    <w:multiLevelType w:val="hybridMultilevel"/>
    <w:tmpl w:val="519E9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6666F05"/>
    <w:multiLevelType w:val="hybridMultilevel"/>
    <w:tmpl w:val="BD528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nsid w:val="779F4DB4"/>
    <w:multiLevelType w:val="hybridMultilevel"/>
    <w:tmpl w:val="77987830"/>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58">
    <w:nsid w:val="77B24B97"/>
    <w:multiLevelType w:val="hybridMultilevel"/>
    <w:tmpl w:val="C7886A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nsid w:val="77FD7FC5"/>
    <w:multiLevelType w:val="hybridMultilevel"/>
    <w:tmpl w:val="1D68A3FE"/>
    <w:lvl w:ilvl="0" w:tplc="B2A27A1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nsid w:val="785C2868"/>
    <w:multiLevelType w:val="hybridMultilevel"/>
    <w:tmpl w:val="EACE5FD8"/>
    <w:lvl w:ilvl="0" w:tplc="6E96F63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85F2E5E"/>
    <w:multiLevelType w:val="hybridMultilevel"/>
    <w:tmpl w:val="F846514C"/>
    <w:lvl w:ilvl="0" w:tplc="4A4A5A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nsid w:val="78743AB6"/>
    <w:multiLevelType w:val="hybridMultilevel"/>
    <w:tmpl w:val="35627EEA"/>
    <w:lvl w:ilvl="0" w:tplc="040C000D">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63">
    <w:nsid w:val="78A81897"/>
    <w:multiLevelType w:val="hybridMultilevel"/>
    <w:tmpl w:val="77348868"/>
    <w:lvl w:ilvl="0" w:tplc="040C0009">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4">
    <w:nsid w:val="79838CB2"/>
    <w:multiLevelType w:val="hybridMultilevel"/>
    <w:tmpl w:val="C71890F0"/>
    <w:lvl w:ilvl="0" w:tplc="CD5253F0">
      <w:start w:val="1"/>
      <w:numFmt w:val="bullet"/>
      <w:lvlText w:val=""/>
      <w:lvlJc w:val="left"/>
    </w:lvl>
    <w:lvl w:ilvl="1" w:tplc="B1C68622">
      <w:numFmt w:val="decimal"/>
      <w:lvlText w:val=""/>
      <w:lvlJc w:val="left"/>
    </w:lvl>
    <w:lvl w:ilvl="2" w:tplc="40FED8C8">
      <w:numFmt w:val="decimal"/>
      <w:lvlText w:val=""/>
      <w:lvlJc w:val="left"/>
    </w:lvl>
    <w:lvl w:ilvl="3" w:tplc="E820A738">
      <w:numFmt w:val="decimal"/>
      <w:lvlText w:val=""/>
      <w:lvlJc w:val="left"/>
    </w:lvl>
    <w:lvl w:ilvl="4" w:tplc="9A60E84E">
      <w:numFmt w:val="decimal"/>
      <w:lvlText w:val=""/>
      <w:lvlJc w:val="left"/>
    </w:lvl>
    <w:lvl w:ilvl="5" w:tplc="8BE44AFC">
      <w:numFmt w:val="decimal"/>
      <w:lvlText w:val=""/>
      <w:lvlJc w:val="left"/>
    </w:lvl>
    <w:lvl w:ilvl="6" w:tplc="099869DC">
      <w:numFmt w:val="decimal"/>
      <w:lvlText w:val=""/>
      <w:lvlJc w:val="left"/>
    </w:lvl>
    <w:lvl w:ilvl="7" w:tplc="A142111A">
      <w:numFmt w:val="decimal"/>
      <w:lvlText w:val=""/>
      <w:lvlJc w:val="left"/>
    </w:lvl>
    <w:lvl w:ilvl="8" w:tplc="655E6828">
      <w:numFmt w:val="decimal"/>
      <w:lvlText w:val=""/>
      <w:lvlJc w:val="left"/>
    </w:lvl>
  </w:abstractNum>
  <w:abstractNum w:abstractNumId="265">
    <w:nsid w:val="79FE49B7"/>
    <w:multiLevelType w:val="hybridMultilevel"/>
    <w:tmpl w:val="66568594"/>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66">
    <w:nsid w:val="7A07376D"/>
    <w:multiLevelType w:val="hybridMultilevel"/>
    <w:tmpl w:val="7EB8E4F0"/>
    <w:lvl w:ilvl="0" w:tplc="BE08C2AA">
      <w:start w:val="1"/>
      <w:numFmt w:val="lowerRoman"/>
      <w:lvlText w:val="%1)"/>
      <w:lvlJc w:val="left"/>
      <w:pPr>
        <w:ind w:left="436" w:hanging="72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67">
    <w:nsid w:val="7CB61E83"/>
    <w:multiLevelType w:val="hybridMultilevel"/>
    <w:tmpl w:val="C2DC2EF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8">
    <w:nsid w:val="7D2E1076"/>
    <w:multiLevelType w:val="hybridMultilevel"/>
    <w:tmpl w:val="432C8344"/>
    <w:lvl w:ilvl="0" w:tplc="040C0001">
      <w:start w:val="1"/>
      <w:numFmt w:val="bullet"/>
      <w:lvlText w:val=""/>
      <w:lvlJc w:val="left"/>
      <w:pPr>
        <w:ind w:left="812" w:hanging="360"/>
      </w:pPr>
      <w:rPr>
        <w:rFonts w:ascii="Symbol" w:hAnsi="Symbol" w:hint="default"/>
      </w:rPr>
    </w:lvl>
    <w:lvl w:ilvl="1" w:tplc="040C0003" w:tentative="1">
      <w:start w:val="1"/>
      <w:numFmt w:val="bullet"/>
      <w:lvlText w:val="o"/>
      <w:lvlJc w:val="left"/>
      <w:pPr>
        <w:ind w:left="1532" w:hanging="360"/>
      </w:pPr>
      <w:rPr>
        <w:rFonts w:ascii="Courier New" w:hAnsi="Courier New" w:cs="Courier New" w:hint="default"/>
      </w:rPr>
    </w:lvl>
    <w:lvl w:ilvl="2" w:tplc="040C0005" w:tentative="1">
      <w:start w:val="1"/>
      <w:numFmt w:val="bullet"/>
      <w:lvlText w:val=""/>
      <w:lvlJc w:val="left"/>
      <w:pPr>
        <w:ind w:left="2252" w:hanging="360"/>
      </w:pPr>
      <w:rPr>
        <w:rFonts w:ascii="Wingdings" w:hAnsi="Wingdings" w:hint="default"/>
      </w:rPr>
    </w:lvl>
    <w:lvl w:ilvl="3" w:tplc="040C0001" w:tentative="1">
      <w:start w:val="1"/>
      <w:numFmt w:val="bullet"/>
      <w:lvlText w:val=""/>
      <w:lvlJc w:val="left"/>
      <w:pPr>
        <w:ind w:left="2972" w:hanging="360"/>
      </w:pPr>
      <w:rPr>
        <w:rFonts w:ascii="Symbol" w:hAnsi="Symbol" w:hint="default"/>
      </w:rPr>
    </w:lvl>
    <w:lvl w:ilvl="4" w:tplc="040C0003" w:tentative="1">
      <w:start w:val="1"/>
      <w:numFmt w:val="bullet"/>
      <w:lvlText w:val="o"/>
      <w:lvlJc w:val="left"/>
      <w:pPr>
        <w:ind w:left="3692" w:hanging="360"/>
      </w:pPr>
      <w:rPr>
        <w:rFonts w:ascii="Courier New" w:hAnsi="Courier New" w:cs="Courier New" w:hint="default"/>
      </w:rPr>
    </w:lvl>
    <w:lvl w:ilvl="5" w:tplc="040C0005" w:tentative="1">
      <w:start w:val="1"/>
      <w:numFmt w:val="bullet"/>
      <w:lvlText w:val=""/>
      <w:lvlJc w:val="left"/>
      <w:pPr>
        <w:ind w:left="4412" w:hanging="360"/>
      </w:pPr>
      <w:rPr>
        <w:rFonts w:ascii="Wingdings" w:hAnsi="Wingdings" w:hint="default"/>
      </w:rPr>
    </w:lvl>
    <w:lvl w:ilvl="6" w:tplc="040C0001" w:tentative="1">
      <w:start w:val="1"/>
      <w:numFmt w:val="bullet"/>
      <w:lvlText w:val=""/>
      <w:lvlJc w:val="left"/>
      <w:pPr>
        <w:ind w:left="5132" w:hanging="360"/>
      </w:pPr>
      <w:rPr>
        <w:rFonts w:ascii="Symbol" w:hAnsi="Symbol" w:hint="default"/>
      </w:rPr>
    </w:lvl>
    <w:lvl w:ilvl="7" w:tplc="040C0003" w:tentative="1">
      <w:start w:val="1"/>
      <w:numFmt w:val="bullet"/>
      <w:lvlText w:val="o"/>
      <w:lvlJc w:val="left"/>
      <w:pPr>
        <w:ind w:left="5852" w:hanging="360"/>
      </w:pPr>
      <w:rPr>
        <w:rFonts w:ascii="Courier New" w:hAnsi="Courier New" w:cs="Courier New" w:hint="default"/>
      </w:rPr>
    </w:lvl>
    <w:lvl w:ilvl="8" w:tplc="040C0005" w:tentative="1">
      <w:start w:val="1"/>
      <w:numFmt w:val="bullet"/>
      <w:lvlText w:val=""/>
      <w:lvlJc w:val="left"/>
      <w:pPr>
        <w:ind w:left="6572" w:hanging="360"/>
      </w:pPr>
      <w:rPr>
        <w:rFonts w:ascii="Wingdings" w:hAnsi="Wingdings" w:hint="default"/>
      </w:rPr>
    </w:lvl>
  </w:abstractNum>
  <w:abstractNum w:abstractNumId="269">
    <w:nsid w:val="7DB6768F"/>
    <w:multiLevelType w:val="multilevel"/>
    <w:tmpl w:val="7DB6768F"/>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0">
    <w:nsid w:val="7DDD516A"/>
    <w:multiLevelType w:val="hybridMultilevel"/>
    <w:tmpl w:val="51D25D8A"/>
    <w:lvl w:ilvl="0" w:tplc="040C0017">
      <w:start w:val="1"/>
      <w:numFmt w:val="bullet"/>
      <w:lvlText w:val="-"/>
      <w:lvlJc w:val="left"/>
      <w:pPr>
        <w:ind w:left="360" w:hanging="360"/>
      </w:pPr>
      <w:rPr>
        <w:rFonts w:ascii="Calibri" w:hAnsi="Calibri" w:hint="default"/>
      </w:rPr>
    </w:lvl>
    <w:lvl w:ilvl="1" w:tplc="040C0019">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271">
    <w:nsid w:val="7E3A5C5E"/>
    <w:multiLevelType w:val="hybridMultilevel"/>
    <w:tmpl w:val="9094FB52"/>
    <w:lvl w:ilvl="0" w:tplc="39EA2D9A">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2">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F193755"/>
    <w:multiLevelType w:val="hybridMultilevel"/>
    <w:tmpl w:val="BEBCDE04"/>
    <w:lvl w:ilvl="0" w:tplc="DDC6B3E0">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7F913B2E"/>
    <w:multiLevelType w:val="hybridMultilevel"/>
    <w:tmpl w:val="4C5AA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0"/>
  </w:num>
  <w:num w:numId="4">
    <w:abstractNumId w:val="87"/>
  </w:num>
  <w:num w:numId="5">
    <w:abstractNumId w:val="127"/>
  </w:num>
  <w:num w:numId="6">
    <w:abstractNumId w:val="204"/>
  </w:num>
  <w:num w:numId="7">
    <w:abstractNumId w:val="147"/>
  </w:num>
  <w:num w:numId="8">
    <w:abstractNumId w:val="250"/>
  </w:num>
  <w:num w:numId="9">
    <w:abstractNumId w:val="36"/>
  </w:num>
  <w:num w:numId="10">
    <w:abstractNumId w:val="241"/>
  </w:num>
  <w:num w:numId="11">
    <w:abstractNumId w:val="272"/>
  </w:num>
  <w:num w:numId="12">
    <w:abstractNumId w:val="103"/>
  </w:num>
  <w:num w:numId="13">
    <w:abstractNumId w:val="224"/>
  </w:num>
  <w:num w:numId="14">
    <w:abstractNumId w:val="28"/>
  </w:num>
  <w:num w:numId="15">
    <w:abstractNumId w:val="0"/>
  </w:num>
  <w:num w:numId="16">
    <w:abstractNumId w:val="5"/>
  </w:num>
  <w:num w:numId="17">
    <w:abstractNumId w:val="165"/>
  </w:num>
  <w:num w:numId="18">
    <w:abstractNumId w:val="190"/>
  </w:num>
  <w:num w:numId="19">
    <w:abstractNumId w:val="160"/>
  </w:num>
  <w:num w:numId="20">
    <w:abstractNumId w:val="105"/>
  </w:num>
  <w:num w:numId="21">
    <w:abstractNumId w:val="172"/>
  </w:num>
  <w:num w:numId="22">
    <w:abstractNumId w:val="231"/>
  </w:num>
  <w:num w:numId="23">
    <w:abstractNumId w:val="177"/>
  </w:num>
  <w:num w:numId="24">
    <w:abstractNumId w:val="3"/>
  </w:num>
  <w:num w:numId="25">
    <w:abstractNumId w:val="180"/>
  </w:num>
  <w:num w:numId="26">
    <w:abstractNumId w:val="119"/>
  </w:num>
  <w:num w:numId="27">
    <w:abstractNumId w:val="225"/>
  </w:num>
  <w:num w:numId="28">
    <w:abstractNumId w:val="57"/>
  </w:num>
  <w:num w:numId="29">
    <w:abstractNumId w:val="150"/>
  </w:num>
  <w:num w:numId="30">
    <w:abstractNumId w:val="192"/>
  </w:num>
  <w:num w:numId="31">
    <w:abstractNumId w:val="107"/>
  </w:num>
  <w:num w:numId="32">
    <w:abstractNumId w:val="129"/>
  </w:num>
  <w:num w:numId="33">
    <w:abstractNumId w:val="221"/>
  </w:num>
  <w:num w:numId="34">
    <w:abstractNumId w:val="6"/>
  </w:num>
  <w:num w:numId="35">
    <w:abstractNumId w:val="98"/>
  </w:num>
  <w:num w:numId="36">
    <w:abstractNumId w:val="215"/>
  </w:num>
  <w:num w:numId="37">
    <w:abstractNumId w:val="176"/>
  </w:num>
  <w:num w:numId="38">
    <w:abstractNumId w:val="254"/>
  </w:num>
  <w:num w:numId="39">
    <w:abstractNumId w:val="33"/>
  </w:num>
  <w:num w:numId="40">
    <w:abstractNumId w:val="222"/>
  </w:num>
  <w:num w:numId="41">
    <w:abstractNumId w:val="170"/>
  </w:num>
  <w:num w:numId="42">
    <w:abstractNumId w:val="218"/>
  </w:num>
  <w:num w:numId="43">
    <w:abstractNumId w:val="202"/>
  </w:num>
  <w:num w:numId="44">
    <w:abstractNumId w:val="126"/>
  </w:num>
  <w:num w:numId="45">
    <w:abstractNumId w:val="51"/>
  </w:num>
  <w:num w:numId="46">
    <w:abstractNumId w:val="212"/>
  </w:num>
  <w:num w:numId="47">
    <w:abstractNumId w:val="266"/>
  </w:num>
  <w:num w:numId="48">
    <w:abstractNumId w:val="4"/>
  </w:num>
  <w:num w:numId="49">
    <w:abstractNumId w:val="53"/>
  </w:num>
  <w:num w:numId="50">
    <w:abstractNumId w:val="102"/>
  </w:num>
  <w:num w:numId="51">
    <w:abstractNumId w:val="164"/>
  </w:num>
  <w:num w:numId="52">
    <w:abstractNumId w:val="162"/>
  </w:num>
  <w:num w:numId="53">
    <w:abstractNumId w:val="92"/>
  </w:num>
  <w:num w:numId="54">
    <w:abstractNumId w:val="186"/>
  </w:num>
  <w:num w:numId="55">
    <w:abstractNumId w:val="152"/>
  </w:num>
  <w:num w:numId="56">
    <w:abstractNumId w:val="18"/>
  </w:num>
  <w:num w:numId="57">
    <w:abstractNumId w:val="43"/>
  </w:num>
  <w:num w:numId="58">
    <w:abstractNumId w:val="203"/>
  </w:num>
  <w:num w:numId="59">
    <w:abstractNumId w:val="138"/>
  </w:num>
  <w:num w:numId="60">
    <w:abstractNumId w:val="22"/>
  </w:num>
  <w:num w:numId="61">
    <w:abstractNumId w:val="263"/>
  </w:num>
  <w:num w:numId="62">
    <w:abstractNumId w:val="97"/>
  </w:num>
  <w:num w:numId="63">
    <w:abstractNumId w:val="174"/>
  </w:num>
  <w:num w:numId="64">
    <w:abstractNumId w:val="106"/>
  </w:num>
  <w:num w:numId="65">
    <w:abstractNumId w:val="96"/>
  </w:num>
  <w:num w:numId="66">
    <w:abstractNumId w:val="259"/>
  </w:num>
  <w:num w:numId="67">
    <w:abstractNumId w:val="167"/>
  </w:num>
  <w:num w:numId="68">
    <w:abstractNumId w:val="269"/>
  </w:num>
  <w:num w:numId="69">
    <w:abstractNumId w:val="95"/>
  </w:num>
  <w:num w:numId="70">
    <w:abstractNumId w:val="242"/>
  </w:num>
  <w:num w:numId="71">
    <w:abstractNumId w:val="230"/>
  </w:num>
  <w:num w:numId="72">
    <w:abstractNumId w:val="257"/>
  </w:num>
  <w:num w:numId="73">
    <w:abstractNumId w:val="130"/>
  </w:num>
  <w:num w:numId="74">
    <w:abstractNumId w:val="239"/>
  </w:num>
  <w:num w:numId="75">
    <w:abstractNumId w:val="134"/>
  </w:num>
  <w:num w:numId="76">
    <w:abstractNumId w:val="270"/>
  </w:num>
  <w:num w:numId="77">
    <w:abstractNumId w:val="9"/>
  </w:num>
  <w:num w:numId="78">
    <w:abstractNumId w:val="59"/>
  </w:num>
  <w:num w:numId="79">
    <w:abstractNumId w:val="163"/>
  </w:num>
  <w:num w:numId="80">
    <w:abstractNumId w:val="199"/>
  </w:num>
  <w:num w:numId="81">
    <w:abstractNumId w:val="236"/>
  </w:num>
  <w:num w:numId="82">
    <w:abstractNumId w:val="220"/>
  </w:num>
  <w:num w:numId="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num>
  <w:num w:numId="85">
    <w:abstractNumId w:val="200"/>
  </w:num>
  <w:num w:numId="86">
    <w:abstractNumId w:val="175"/>
  </w:num>
  <w:num w:numId="87">
    <w:abstractNumId w:val="60"/>
  </w:num>
  <w:num w:numId="88">
    <w:abstractNumId w:val="35"/>
  </w:num>
  <w:num w:numId="89">
    <w:abstractNumId w:val="184"/>
  </w:num>
  <w:num w:numId="90">
    <w:abstractNumId w:val="189"/>
  </w:num>
  <w:num w:numId="91">
    <w:abstractNumId w:val="10"/>
  </w:num>
  <w:num w:numId="92">
    <w:abstractNumId w:val="211"/>
  </w:num>
  <w:num w:numId="93">
    <w:abstractNumId w:val="116"/>
  </w:num>
  <w:num w:numId="94">
    <w:abstractNumId w:val="137"/>
  </w:num>
  <w:num w:numId="95">
    <w:abstractNumId w:val="154"/>
  </w:num>
  <w:num w:numId="96">
    <w:abstractNumId w:val="166"/>
  </w:num>
  <w:num w:numId="97">
    <w:abstractNumId w:val="38"/>
  </w:num>
  <w:num w:numId="98">
    <w:abstractNumId w:val="187"/>
  </w:num>
  <w:num w:numId="99">
    <w:abstractNumId w:val="23"/>
  </w:num>
  <w:num w:numId="100">
    <w:abstractNumId w:val="235"/>
  </w:num>
  <w:num w:numId="101">
    <w:abstractNumId w:val="252"/>
  </w:num>
  <w:num w:numId="102">
    <w:abstractNumId w:val="100"/>
  </w:num>
  <w:num w:numId="103">
    <w:abstractNumId w:val="131"/>
  </w:num>
  <w:num w:numId="104">
    <w:abstractNumId w:val="77"/>
  </w:num>
  <w:num w:numId="10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num>
  <w:num w:numId="107">
    <w:abstractNumId w:val="168"/>
  </w:num>
  <w:num w:numId="10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06"/>
  </w:num>
  <w:num w:numId="111">
    <w:abstractNumId w:val="13"/>
  </w:num>
  <w:num w:numId="11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1"/>
  </w:num>
  <w:num w:numId="114">
    <w:abstractNumId w:val="41"/>
  </w:num>
  <w:num w:numId="115">
    <w:abstractNumId w:val="75"/>
  </w:num>
  <w:num w:numId="116">
    <w:abstractNumId w:val="193"/>
  </w:num>
  <w:num w:numId="117">
    <w:abstractNumId w:val="80"/>
  </w:num>
  <w:num w:numId="118">
    <w:abstractNumId w:val="91"/>
  </w:num>
  <w:num w:numId="119">
    <w:abstractNumId w:val="24"/>
  </w:num>
  <w:num w:numId="120">
    <w:abstractNumId w:val="141"/>
  </w:num>
  <w:num w:numId="121">
    <w:abstractNumId w:val="237"/>
  </w:num>
  <w:num w:numId="122">
    <w:abstractNumId w:val="132"/>
  </w:num>
  <w:num w:numId="123">
    <w:abstractNumId w:val="148"/>
  </w:num>
  <w:num w:numId="124">
    <w:abstractNumId w:val="101"/>
  </w:num>
  <w:num w:numId="125">
    <w:abstractNumId w:val="49"/>
  </w:num>
  <w:num w:numId="126">
    <w:abstractNumId w:val="233"/>
  </w:num>
  <w:num w:numId="127">
    <w:abstractNumId w:val="25"/>
  </w:num>
  <w:num w:numId="128">
    <w:abstractNumId w:val="108"/>
  </w:num>
  <w:num w:numId="129">
    <w:abstractNumId w:val="125"/>
  </w:num>
  <w:num w:numId="130">
    <w:abstractNumId w:val="89"/>
  </w:num>
  <w:num w:numId="131">
    <w:abstractNumId w:val="65"/>
  </w:num>
  <w:num w:numId="132">
    <w:abstractNumId w:val="4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65"/>
  </w:num>
  <w:num w:numId="135">
    <w:abstractNumId w:val="161"/>
  </w:num>
  <w:num w:numId="136">
    <w:abstractNumId w:val="29"/>
  </w:num>
  <w:num w:numId="137">
    <w:abstractNumId w:val="197"/>
  </w:num>
  <w:num w:numId="138">
    <w:abstractNumId w:val="71"/>
  </w:num>
  <w:num w:numId="139">
    <w:abstractNumId w:val="56"/>
  </w:num>
  <w:num w:numId="140">
    <w:abstractNumId w:val="44"/>
  </w:num>
  <w:num w:numId="141">
    <w:abstractNumId w:val="213"/>
  </w:num>
  <w:num w:numId="142">
    <w:abstractNumId w:val="188"/>
  </w:num>
  <w:num w:numId="143">
    <w:abstractNumId w:val="124"/>
  </w:num>
  <w:num w:numId="144">
    <w:abstractNumId w:val="182"/>
  </w:num>
  <w:num w:numId="145">
    <w:abstractNumId w:val="62"/>
  </w:num>
  <w:num w:numId="146">
    <w:abstractNumId w:val="112"/>
  </w:num>
  <w:num w:numId="147">
    <w:abstractNumId w:val="17"/>
  </w:num>
  <w:num w:numId="148">
    <w:abstractNumId w:val="264"/>
  </w:num>
  <w:num w:numId="149">
    <w:abstractNumId w:val="146"/>
  </w:num>
  <w:num w:numId="150">
    <w:abstractNumId w:val="47"/>
  </w:num>
  <w:num w:numId="151">
    <w:abstractNumId w:val="185"/>
  </w:num>
  <w:num w:numId="152">
    <w:abstractNumId w:val="16"/>
  </w:num>
  <w:num w:numId="153">
    <w:abstractNumId w:val="117"/>
  </w:num>
  <w:num w:numId="154">
    <w:abstractNumId w:val="83"/>
  </w:num>
  <w:num w:numId="155">
    <w:abstractNumId w:val="99"/>
  </w:num>
  <w:num w:numId="156">
    <w:abstractNumId w:val="194"/>
  </w:num>
  <w:num w:numId="157">
    <w:abstractNumId w:val="179"/>
  </w:num>
  <w:num w:numId="158">
    <w:abstractNumId w:val="111"/>
  </w:num>
  <w:num w:numId="159">
    <w:abstractNumId w:val="78"/>
  </w:num>
  <w:num w:numId="160">
    <w:abstractNumId w:val="79"/>
  </w:num>
  <w:num w:numId="161">
    <w:abstractNumId w:val="245"/>
  </w:num>
  <w:num w:numId="162">
    <w:abstractNumId w:val="21"/>
  </w:num>
  <w:num w:numId="163">
    <w:abstractNumId w:val="34"/>
  </w:num>
  <w:num w:numId="164">
    <w:abstractNumId w:val="142"/>
  </w:num>
  <w:num w:numId="165">
    <w:abstractNumId w:val="169"/>
  </w:num>
  <w:num w:numId="166">
    <w:abstractNumId w:val="173"/>
  </w:num>
  <w:num w:numId="167">
    <w:abstractNumId w:val="133"/>
  </w:num>
  <w:num w:numId="168">
    <w:abstractNumId w:val="94"/>
  </w:num>
  <w:num w:numId="169">
    <w:abstractNumId w:val="40"/>
  </w:num>
  <w:num w:numId="170">
    <w:abstractNumId w:val="195"/>
  </w:num>
  <w:num w:numId="171">
    <w:abstractNumId w:val="232"/>
  </w:num>
  <w:num w:numId="172">
    <w:abstractNumId w:val="145"/>
  </w:num>
  <w:num w:numId="173">
    <w:abstractNumId w:val="113"/>
  </w:num>
  <w:num w:numId="174">
    <w:abstractNumId w:val="243"/>
  </w:num>
  <w:num w:numId="175">
    <w:abstractNumId w:val="85"/>
  </w:num>
  <w:num w:numId="176">
    <w:abstractNumId w:val="45"/>
  </w:num>
  <w:num w:numId="177">
    <w:abstractNumId w:val="219"/>
  </w:num>
  <w:num w:numId="178">
    <w:abstractNumId w:val="183"/>
  </w:num>
  <w:num w:numId="179">
    <w:abstractNumId w:val="248"/>
  </w:num>
  <w:num w:numId="180">
    <w:abstractNumId w:val="104"/>
  </w:num>
  <w:num w:numId="181">
    <w:abstractNumId w:val="260"/>
  </w:num>
  <w:num w:numId="182">
    <w:abstractNumId w:val="178"/>
  </w:num>
  <w:num w:numId="183">
    <w:abstractNumId w:val="201"/>
  </w:num>
  <w:num w:numId="184">
    <w:abstractNumId w:val="234"/>
  </w:num>
  <w:num w:numId="185">
    <w:abstractNumId w:val="58"/>
  </w:num>
  <w:num w:numId="186">
    <w:abstractNumId w:val="205"/>
  </w:num>
  <w:num w:numId="187">
    <w:abstractNumId w:val="26"/>
  </w:num>
  <w:num w:numId="188">
    <w:abstractNumId w:val="229"/>
  </w:num>
  <w:num w:numId="189">
    <w:abstractNumId w:val="149"/>
  </w:num>
  <w:num w:numId="190">
    <w:abstractNumId w:val="8"/>
  </w:num>
  <w:num w:numId="191">
    <w:abstractNumId w:val="155"/>
  </w:num>
  <w:num w:numId="192">
    <w:abstractNumId w:val="177"/>
  </w:num>
  <w:num w:numId="193">
    <w:abstractNumId w:val="177"/>
  </w:num>
  <w:num w:numId="194">
    <w:abstractNumId w:val="177"/>
  </w:num>
  <w:num w:numId="195">
    <w:abstractNumId w:val="177"/>
  </w:num>
  <w:num w:numId="196">
    <w:abstractNumId w:val="177"/>
  </w:num>
  <w:num w:numId="197">
    <w:abstractNumId w:val="177"/>
  </w:num>
  <w:num w:numId="198">
    <w:abstractNumId w:val="84"/>
  </w:num>
  <w:num w:numId="199">
    <w:abstractNumId w:val="209"/>
  </w:num>
  <w:num w:numId="200">
    <w:abstractNumId w:val="86"/>
  </w:num>
  <w:num w:numId="2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40"/>
  </w:num>
  <w:num w:numId="203">
    <w:abstractNumId w:val="88"/>
  </w:num>
  <w:num w:numId="204">
    <w:abstractNumId w:val="210"/>
  </w:num>
  <w:num w:numId="205">
    <w:abstractNumId w:val="247"/>
  </w:num>
  <w:num w:numId="206">
    <w:abstractNumId w:val="238"/>
  </w:num>
  <w:num w:numId="207">
    <w:abstractNumId w:val="271"/>
  </w:num>
  <w:num w:numId="208">
    <w:abstractNumId w:val="46"/>
  </w:num>
  <w:num w:numId="209">
    <w:abstractNumId w:val="12"/>
  </w:num>
  <w:num w:numId="210">
    <w:abstractNumId w:val="114"/>
  </w:num>
  <w:num w:numId="211">
    <w:abstractNumId w:val="139"/>
  </w:num>
  <w:num w:numId="212">
    <w:abstractNumId w:val="262"/>
  </w:num>
  <w:num w:numId="213">
    <w:abstractNumId w:val="136"/>
  </w:num>
  <w:num w:numId="214">
    <w:abstractNumId w:val="261"/>
  </w:num>
  <w:num w:numId="215">
    <w:abstractNumId w:val="249"/>
  </w:num>
  <w:num w:numId="216">
    <w:abstractNumId w:val="50"/>
  </w:num>
  <w:num w:numId="217">
    <w:abstractNumId w:val="151"/>
  </w:num>
  <w:num w:numId="218">
    <w:abstractNumId w:val="115"/>
  </w:num>
  <w:num w:numId="219">
    <w:abstractNumId w:val="144"/>
  </w:num>
  <w:num w:numId="220">
    <w:abstractNumId w:val="109"/>
  </w:num>
  <w:num w:numId="221">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5"/>
  </w:num>
  <w:num w:numId="223">
    <w:abstractNumId w:val="171"/>
  </w:num>
  <w:num w:numId="224">
    <w:abstractNumId w:val="274"/>
  </w:num>
  <w:num w:numId="225">
    <w:abstractNumId w:val="15"/>
  </w:num>
  <w:num w:numId="226">
    <w:abstractNumId w:val="181"/>
  </w:num>
  <w:num w:numId="227">
    <w:abstractNumId w:val="19"/>
  </w:num>
  <w:num w:numId="228">
    <w:abstractNumId w:val="198"/>
  </w:num>
  <w:num w:numId="229">
    <w:abstractNumId w:val="73"/>
  </w:num>
  <w:num w:numId="230">
    <w:abstractNumId w:val="143"/>
  </w:num>
  <w:num w:numId="231">
    <w:abstractNumId w:val="121"/>
  </w:num>
  <w:num w:numId="232">
    <w:abstractNumId w:val="196"/>
  </w:num>
  <w:num w:numId="233">
    <w:abstractNumId w:val="82"/>
  </w:num>
  <w:num w:numId="234">
    <w:abstractNumId w:val="72"/>
  </w:num>
  <w:num w:numId="235">
    <w:abstractNumId w:val="64"/>
  </w:num>
  <w:num w:numId="236">
    <w:abstractNumId w:val="93"/>
  </w:num>
  <w:num w:numId="237">
    <w:abstractNumId w:val="76"/>
  </w:num>
  <w:num w:numId="238">
    <w:abstractNumId w:val="128"/>
  </w:num>
  <w:num w:numId="239">
    <w:abstractNumId w:val="228"/>
  </w:num>
  <w:num w:numId="240">
    <w:abstractNumId w:val="226"/>
  </w:num>
  <w:num w:numId="241">
    <w:abstractNumId w:val="74"/>
  </w:num>
  <w:num w:numId="242">
    <w:abstractNumId w:val="69"/>
  </w:num>
  <w:num w:numId="243">
    <w:abstractNumId w:val="159"/>
  </w:num>
  <w:num w:numId="244">
    <w:abstractNumId w:val="30"/>
  </w:num>
  <w:num w:numId="245">
    <w:abstractNumId w:val="37"/>
  </w:num>
  <w:num w:numId="246">
    <w:abstractNumId w:val="258"/>
  </w:num>
  <w:num w:numId="247">
    <w:abstractNumId w:val="48"/>
  </w:num>
  <w:num w:numId="248">
    <w:abstractNumId w:val="118"/>
  </w:num>
  <w:num w:numId="249">
    <w:abstractNumId w:val="11"/>
  </w:num>
  <w:num w:numId="250">
    <w:abstractNumId w:val="227"/>
  </w:num>
  <w:num w:numId="251">
    <w:abstractNumId w:val="157"/>
  </w:num>
  <w:num w:numId="252">
    <w:abstractNumId w:val="217"/>
  </w:num>
  <w:num w:numId="253">
    <w:abstractNumId w:val="20"/>
  </w:num>
  <w:num w:numId="254">
    <w:abstractNumId w:val="110"/>
  </w:num>
  <w:num w:numId="255">
    <w:abstractNumId w:val="31"/>
  </w:num>
  <w:num w:numId="256">
    <w:abstractNumId w:val="66"/>
  </w:num>
  <w:num w:numId="257">
    <w:abstractNumId w:val="122"/>
  </w:num>
  <w:num w:numId="258">
    <w:abstractNumId w:val="246"/>
  </w:num>
  <w:num w:numId="259">
    <w:abstractNumId w:val="153"/>
  </w:num>
  <w:num w:numId="260">
    <w:abstractNumId w:val="244"/>
  </w:num>
  <w:num w:numId="261">
    <w:abstractNumId w:val="123"/>
  </w:num>
  <w:num w:numId="262">
    <w:abstractNumId w:val="267"/>
  </w:num>
  <w:num w:numId="263">
    <w:abstractNumId w:val="251"/>
  </w:num>
  <w:num w:numId="264">
    <w:abstractNumId w:val="156"/>
  </w:num>
  <w:num w:numId="265">
    <w:abstractNumId w:val="256"/>
  </w:num>
  <w:num w:numId="266">
    <w:abstractNumId w:val="207"/>
  </w:num>
  <w:num w:numId="267">
    <w:abstractNumId w:val="240"/>
  </w:num>
  <w:num w:numId="268">
    <w:abstractNumId w:val="67"/>
  </w:num>
  <w:num w:numId="269">
    <w:abstractNumId w:val="191"/>
  </w:num>
  <w:num w:numId="270">
    <w:abstractNumId w:val="255"/>
  </w:num>
  <w:num w:numId="271">
    <w:abstractNumId w:val="273"/>
  </w:num>
  <w:num w:numId="272">
    <w:abstractNumId w:val="68"/>
  </w:num>
  <w:num w:numId="273">
    <w:abstractNumId w:val="120"/>
  </w:num>
  <w:num w:numId="274">
    <w:abstractNumId w:val="90"/>
  </w:num>
  <w:num w:numId="275">
    <w:abstractNumId w:val="39"/>
  </w:num>
  <w:num w:numId="276">
    <w:abstractNumId w:val="208"/>
  </w:num>
  <w:num w:numId="277">
    <w:abstractNumId w:val="61"/>
  </w:num>
  <w:num w:numId="278">
    <w:abstractNumId w:val="32"/>
  </w:num>
  <w:num w:numId="279">
    <w:abstractNumId w:val="27"/>
  </w:num>
  <w:num w:numId="280">
    <w:abstractNumId w:val="268"/>
  </w:num>
  <w:num w:numId="28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53"/>
  </w:num>
  <w:num w:numId="283">
    <w:abstractNumId w:val="63"/>
  </w:num>
  <w:num w:numId="28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23"/>
  </w:num>
  <w:num w:numId="286">
    <w:abstractNumId w:val="54"/>
  </w:num>
  <w:num w:numId="287">
    <w:abstractNumId w:val="52"/>
  </w:num>
  <w:num w:numId="288">
    <w:abstractNumId w:val="214"/>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I3Mra0NDYzNDc2MDJT0lEKTi0uzszPAykwNKsFAOr/qBktAAAA"/>
  </w:docVars>
  <w:rsids>
    <w:rsidRoot w:val="005C2A93"/>
    <w:rsid w:val="0000011D"/>
    <w:rsid w:val="00000223"/>
    <w:rsid w:val="000006FB"/>
    <w:rsid w:val="00001308"/>
    <w:rsid w:val="00001385"/>
    <w:rsid w:val="000014CA"/>
    <w:rsid w:val="0000168A"/>
    <w:rsid w:val="00001994"/>
    <w:rsid w:val="00001DAC"/>
    <w:rsid w:val="00001F02"/>
    <w:rsid w:val="000023D4"/>
    <w:rsid w:val="000024D5"/>
    <w:rsid w:val="00002763"/>
    <w:rsid w:val="00002844"/>
    <w:rsid w:val="000029E0"/>
    <w:rsid w:val="00002E72"/>
    <w:rsid w:val="00002EBF"/>
    <w:rsid w:val="00003032"/>
    <w:rsid w:val="00003447"/>
    <w:rsid w:val="00003562"/>
    <w:rsid w:val="000035A5"/>
    <w:rsid w:val="000037C8"/>
    <w:rsid w:val="00003C35"/>
    <w:rsid w:val="00003D2A"/>
    <w:rsid w:val="00004036"/>
    <w:rsid w:val="000043A9"/>
    <w:rsid w:val="0000442D"/>
    <w:rsid w:val="00004591"/>
    <w:rsid w:val="0000495C"/>
    <w:rsid w:val="00004B11"/>
    <w:rsid w:val="00004C20"/>
    <w:rsid w:val="00004F15"/>
    <w:rsid w:val="00005890"/>
    <w:rsid w:val="000058B5"/>
    <w:rsid w:val="00005DD8"/>
    <w:rsid w:val="00006028"/>
    <w:rsid w:val="000063DB"/>
    <w:rsid w:val="00006452"/>
    <w:rsid w:val="00006506"/>
    <w:rsid w:val="00006615"/>
    <w:rsid w:val="00006834"/>
    <w:rsid w:val="00006D52"/>
    <w:rsid w:val="00007168"/>
    <w:rsid w:val="000072ED"/>
    <w:rsid w:val="0000752D"/>
    <w:rsid w:val="0000764D"/>
    <w:rsid w:val="00007769"/>
    <w:rsid w:val="00007879"/>
    <w:rsid w:val="000079B1"/>
    <w:rsid w:val="00007C07"/>
    <w:rsid w:val="00007C80"/>
    <w:rsid w:val="000106DA"/>
    <w:rsid w:val="0001075F"/>
    <w:rsid w:val="000109BE"/>
    <w:rsid w:val="00010BAB"/>
    <w:rsid w:val="00010FC2"/>
    <w:rsid w:val="00011497"/>
    <w:rsid w:val="00011616"/>
    <w:rsid w:val="000117CF"/>
    <w:rsid w:val="000117E1"/>
    <w:rsid w:val="00011CE6"/>
    <w:rsid w:val="00011DDD"/>
    <w:rsid w:val="00011FDD"/>
    <w:rsid w:val="0001211A"/>
    <w:rsid w:val="0001239A"/>
    <w:rsid w:val="0001255A"/>
    <w:rsid w:val="000127A1"/>
    <w:rsid w:val="000128D4"/>
    <w:rsid w:val="000129D9"/>
    <w:rsid w:val="00012A26"/>
    <w:rsid w:val="00012D6D"/>
    <w:rsid w:val="00012E40"/>
    <w:rsid w:val="000131C3"/>
    <w:rsid w:val="0001339F"/>
    <w:rsid w:val="00013539"/>
    <w:rsid w:val="000136E3"/>
    <w:rsid w:val="00013844"/>
    <w:rsid w:val="00013A49"/>
    <w:rsid w:val="00013E28"/>
    <w:rsid w:val="00013F2B"/>
    <w:rsid w:val="000142F1"/>
    <w:rsid w:val="00014669"/>
    <w:rsid w:val="00014AFD"/>
    <w:rsid w:val="00014F3D"/>
    <w:rsid w:val="00014F7D"/>
    <w:rsid w:val="00015603"/>
    <w:rsid w:val="00015839"/>
    <w:rsid w:val="0001635C"/>
    <w:rsid w:val="0001641A"/>
    <w:rsid w:val="000164B9"/>
    <w:rsid w:val="00016508"/>
    <w:rsid w:val="00016707"/>
    <w:rsid w:val="00016751"/>
    <w:rsid w:val="000167FF"/>
    <w:rsid w:val="00016BAF"/>
    <w:rsid w:val="00016ECF"/>
    <w:rsid w:val="00016F3E"/>
    <w:rsid w:val="000176EB"/>
    <w:rsid w:val="00017BA9"/>
    <w:rsid w:val="00017EDD"/>
    <w:rsid w:val="0002036C"/>
    <w:rsid w:val="00020C06"/>
    <w:rsid w:val="00020ED1"/>
    <w:rsid w:val="000210C4"/>
    <w:rsid w:val="00021208"/>
    <w:rsid w:val="0002127D"/>
    <w:rsid w:val="000215B2"/>
    <w:rsid w:val="00021796"/>
    <w:rsid w:val="00021B8C"/>
    <w:rsid w:val="00021F00"/>
    <w:rsid w:val="000220B4"/>
    <w:rsid w:val="000220E8"/>
    <w:rsid w:val="00022175"/>
    <w:rsid w:val="00022306"/>
    <w:rsid w:val="00022438"/>
    <w:rsid w:val="00022CC3"/>
    <w:rsid w:val="00022E76"/>
    <w:rsid w:val="00022EC6"/>
    <w:rsid w:val="00023148"/>
    <w:rsid w:val="0002355A"/>
    <w:rsid w:val="0002364A"/>
    <w:rsid w:val="00023762"/>
    <w:rsid w:val="000243C0"/>
    <w:rsid w:val="0002464E"/>
    <w:rsid w:val="00024B0A"/>
    <w:rsid w:val="00024F31"/>
    <w:rsid w:val="00024F6F"/>
    <w:rsid w:val="00025158"/>
    <w:rsid w:val="00025338"/>
    <w:rsid w:val="00025725"/>
    <w:rsid w:val="00025877"/>
    <w:rsid w:val="000258B4"/>
    <w:rsid w:val="00025AFC"/>
    <w:rsid w:val="000261DD"/>
    <w:rsid w:val="0002647C"/>
    <w:rsid w:val="0002689A"/>
    <w:rsid w:val="00026CF0"/>
    <w:rsid w:val="00026F2D"/>
    <w:rsid w:val="000270AC"/>
    <w:rsid w:val="000270FB"/>
    <w:rsid w:val="00027D08"/>
    <w:rsid w:val="00027D86"/>
    <w:rsid w:val="00027F32"/>
    <w:rsid w:val="00030566"/>
    <w:rsid w:val="00030642"/>
    <w:rsid w:val="00030894"/>
    <w:rsid w:val="00030AA8"/>
    <w:rsid w:val="00030C3A"/>
    <w:rsid w:val="000310B1"/>
    <w:rsid w:val="00031172"/>
    <w:rsid w:val="000312E3"/>
    <w:rsid w:val="00031C0F"/>
    <w:rsid w:val="000323E8"/>
    <w:rsid w:val="00032589"/>
    <w:rsid w:val="00032B11"/>
    <w:rsid w:val="00032C1E"/>
    <w:rsid w:val="00032D72"/>
    <w:rsid w:val="000336B8"/>
    <w:rsid w:val="000337E7"/>
    <w:rsid w:val="00033840"/>
    <w:rsid w:val="00033C5F"/>
    <w:rsid w:val="00033F66"/>
    <w:rsid w:val="00033F85"/>
    <w:rsid w:val="00034AF3"/>
    <w:rsid w:val="00034F49"/>
    <w:rsid w:val="0003508D"/>
    <w:rsid w:val="0003546C"/>
    <w:rsid w:val="00035613"/>
    <w:rsid w:val="00035931"/>
    <w:rsid w:val="00035A36"/>
    <w:rsid w:val="00035D2A"/>
    <w:rsid w:val="0003618A"/>
    <w:rsid w:val="00036229"/>
    <w:rsid w:val="000363BA"/>
    <w:rsid w:val="00036601"/>
    <w:rsid w:val="0003666F"/>
    <w:rsid w:val="00036914"/>
    <w:rsid w:val="00036D7A"/>
    <w:rsid w:val="00036E3C"/>
    <w:rsid w:val="00036FFD"/>
    <w:rsid w:val="0003793A"/>
    <w:rsid w:val="00037A04"/>
    <w:rsid w:val="00037B97"/>
    <w:rsid w:val="00040016"/>
    <w:rsid w:val="0004046F"/>
    <w:rsid w:val="00040946"/>
    <w:rsid w:val="00041267"/>
    <w:rsid w:val="0004136C"/>
    <w:rsid w:val="000413B7"/>
    <w:rsid w:val="0004224F"/>
    <w:rsid w:val="00042922"/>
    <w:rsid w:val="00042929"/>
    <w:rsid w:val="00042AC2"/>
    <w:rsid w:val="00042B89"/>
    <w:rsid w:val="00042C78"/>
    <w:rsid w:val="00042D53"/>
    <w:rsid w:val="00042D86"/>
    <w:rsid w:val="00042D8D"/>
    <w:rsid w:val="00042FF8"/>
    <w:rsid w:val="000432DA"/>
    <w:rsid w:val="000435D3"/>
    <w:rsid w:val="00043989"/>
    <w:rsid w:val="00043B6C"/>
    <w:rsid w:val="00043C00"/>
    <w:rsid w:val="00043F89"/>
    <w:rsid w:val="000441E4"/>
    <w:rsid w:val="0004426E"/>
    <w:rsid w:val="000443B2"/>
    <w:rsid w:val="00044658"/>
    <w:rsid w:val="00044EAC"/>
    <w:rsid w:val="000451E4"/>
    <w:rsid w:val="0004523B"/>
    <w:rsid w:val="00045243"/>
    <w:rsid w:val="000452C0"/>
    <w:rsid w:val="00045341"/>
    <w:rsid w:val="0004549C"/>
    <w:rsid w:val="000454A7"/>
    <w:rsid w:val="000454B6"/>
    <w:rsid w:val="00045750"/>
    <w:rsid w:val="000458A8"/>
    <w:rsid w:val="000459E9"/>
    <w:rsid w:val="000459F7"/>
    <w:rsid w:val="00045C2B"/>
    <w:rsid w:val="00045EAE"/>
    <w:rsid w:val="000461D6"/>
    <w:rsid w:val="000461D7"/>
    <w:rsid w:val="0004680A"/>
    <w:rsid w:val="00046865"/>
    <w:rsid w:val="00046A04"/>
    <w:rsid w:val="00046A91"/>
    <w:rsid w:val="00046ADD"/>
    <w:rsid w:val="00046E8D"/>
    <w:rsid w:val="0004705D"/>
    <w:rsid w:val="00047673"/>
    <w:rsid w:val="00047A66"/>
    <w:rsid w:val="00047BE5"/>
    <w:rsid w:val="00047EF3"/>
    <w:rsid w:val="000500C9"/>
    <w:rsid w:val="000502F3"/>
    <w:rsid w:val="00050527"/>
    <w:rsid w:val="00050608"/>
    <w:rsid w:val="0005084E"/>
    <w:rsid w:val="00050932"/>
    <w:rsid w:val="00050A53"/>
    <w:rsid w:val="00050ECB"/>
    <w:rsid w:val="00051203"/>
    <w:rsid w:val="00051436"/>
    <w:rsid w:val="0005158A"/>
    <w:rsid w:val="000516EA"/>
    <w:rsid w:val="00051AD2"/>
    <w:rsid w:val="00051D23"/>
    <w:rsid w:val="00052076"/>
    <w:rsid w:val="0005211D"/>
    <w:rsid w:val="00052903"/>
    <w:rsid w:val="0005332D"/>
    <w:rsid w:val="000533D8"/>
    <w:rsid w:val="0005362C"/>
    <w:rsid w:val="00053854"/>
    <w:rsid w:val="00053C11"/>
    <w:rsid w:val="00053FE6"/>
    <w:rsid w:val="0005403E"/>
    <w:rsid w:val="00054711"/>
    <w:rsid w:val="0005475D"/>
    <w:rsid w:val="00054974"/>
    <w:rsid w:val="00054A4B"/>
    <w:rsid w:val="00054B35"/>
    <w:rsid w:val="00054CA6"/>
    <w:rsid w:val="00054DBD"/>
    <w:rsid w:val="000550A6"/>
    <w:rsid w:val="0005535B"/>
    <w:rsid w:val="00055951"/>
    <w:rsid w:val="000559AB"/>
    <w:rsid w:val="000559FA"/>
    <w:rsid w:val="00055C70"/>
    <w:rsid w:val="00055C8C"/>
    <w:rsid w:val="000561BB"/>
    <w:rsid w:val="00056358"/>
    <w:rsid w:val="0005693D"/>
    <w:rsid w:val="00056BAD"/>
    <w:rsid w:val="00057018"/>
    <w:rsid w:val="000577D5"/>
    <w:rsid w:val="0005793E"/>
    <w:rsid w:val="00057A8C"/>
    <w:rsid w:val="00057B88"/>
    <w:rsid w:val="00060475"/>
    <w:rsid w:val="00060745"/>
    <w:rsid w:val="0006074F"/>
    <w:rsid w:val="00060B81"/>
    <w:rsid w:val="00060BE9"/>
    <w:rsid w:val="00060C9D"/>
    <w:rsid w:val="00060D92"/>
    <w:rsid w:val="00060DFC"/>
    <w:rsid w:val="00060E2F"/>
    <w:rsid w:val="00061052"/>
    <w:rsid w:val="00061483"/>
    <w:rsid w:val="000618A9"/>
    <w:rsid w:val="0006190E"/>
    <w:rsid w:val="000620B3"/>
    <w:rsid w:val="0006211A"/>
    <w:rsid w:val="000628F6"/>
    <w:rsid w:val="00062E84"/>
    <w:rsid w:val="0006341D"/>
    <w:rsid w:val="00063561"/>
    <w:rsid w:val="00063AAE"/>
    <w:rsid w:val="00063BEB"/>
    <w:rsid w:val="00063E9E"/>
    <w:rsid w:val="00063F65"/>
    <w:rsid w:val="00064B0F"/>
    <w:rsid w:val="00064C53"/>
    <w:rsid w:val="00064F08"/>
    <w:rsid w:val="000650E1"/>
    <w:rsid w:val="00065B67"/>
    <w:rsid w:val="00065BDB"/>
    <w:rsid w:val="00065C2E"/>
    <w:rsid w:val="00065C93"/>
    <w:rsid w:val="00065CD2"/>
    <w:rsid w:val="00065E40"/>
    <w:rsid w:val="00065F2F"/>
    <w:rsid w:val="00065F74"/>
    <w:rsid w:val="00065FD3"/>
    <w:rsid w:val="00066689"/>
    <w:rsid w:val="00067506"/>
    <w:rsid w:val="0006765C"/>
    <w:rsid w:val="00067A86"/>
    <w:rsid w:val="00070094"/>
    <w:rsid w:val="00070252"/>
    <w:rsid w:val="00070409"/>
    <w:rsid w:val="0007071D"/>
    <w:rsid w:val="00070734"/>
    <w:rsid w:val="000708A3"/>
    <w:rsid w:val="000709F7"/>
    <w:rsid w:val="00070A18"/>
    <w:rsid w:val="00070C2A"/>
    <w:rsid w:val="000717D6"/>
    <w:rsid w:val="000719DD"/>
    <w:rsid w:val="00071CAB"/>
    <w:rsid w:val="00071EEA"/>
    <w:rsid w:val="0007219F"/>
    <w:rsid w:val="00072782"/>
    <w:rsid w:val="00073007"/>
    <w:rsid w:val="000731D3"/>
    <w:rsid w:val="000734FA"/>
    <w:rsid w:val="00073578"/>
    <w:rsid w:val="000737E0"/>
    <w:rsid w:val="00073EB5"/>
    <w:rsid w:val="00074676"/>
    <w:rsid w:val="00074A9B"/>
    <w:rsid w:val="00074BCA"/>
    <w:rsid w:val="00074C5E"/>
    <w:rsid w:val="00075264"/>
    <w:rsid w:val="00075640"/>
    <w:rsid w:val="00075679"/>
    <w:rsid w:val="000756FA"/>
    <w:rsid w:val="00075822"/>
    <w:rsid w:val="00075DCB"/>
    <w:rsid w:val="00076101"/>
    <w:rsid w:val="00076203"/>
    <w:rsid w:val="00076239"/>
    <w:rsid w:val="00076747"/>
    <w:rsid w:val="00076867"/>
    <w:rsid w:val="000768F3"/>
    <w:rsid w:val="00076AA1"/>
    <w:rsid w:val="00076AF9"/>
    <w:rsid w:val="00076D03"/>
    <w:rsid w:val="00077086"/>
    <w:rsid w:val="00077477"/>
    <w:rsid w:val="0007764A"/>
    <w:rsid w:val="00077887"/>
    <w:rsid w:val="00077968"/>
    <w:rsid w:val="00077A78"/>
    <w:rsid w:val="00077D5A"/>
    <w:rsid w:val="00077EB2"/>
    <w:rsid w:val="00077F06"/>
    <w:rsid w:val="00080485"/>
    <w:rsid w:val="00080836"/>
    <w:rsid w:val="00080B97"/>
    <w:rsid w:val="000813B8"/>
    <w:rsid w:val="000816E4"/>
    <w:rsid w:val="00081881"/>
    <w:rsid w:val="00081D6F"/>
    <w:rsid w:val="000823DD"/>
    <w:rsid w:val="0008242F"/>
    <w:rsid w:val="0008247C"/>
    <w:rsid w:val="000825AC"/>
    <w:rsid w:val="000825FA"/>
    <w:rsid w:val="00082F06"/>
    <w:rsid w:val="00082F61"/>
    <w:rsid w:val="0008330D"/>
    <w:rsid w:val="000833CB"/>
    <w:rsid w:val="00083AEA"/>
    <w:rsid w:val="00083B7C"/>
    <w:rsid w:val="00083B97"/>
    <w:rsid w:val="00083B9D"/>
    <w:rsid w:val="00083BCF"/>
    <w:rsid w:val="00083CDB"/>
    <w:rsid w:val="00083EF7"/>
    <w:rsid w:val="000844F3"/>
    <w:rsid w:val="0008458B"/>
    <w:rsid w:val="000846F1"/>
    <w:rsid w:val="00084ADA"/>
    <w:rsid w:val="00084B6A"/>
    <w:rsid w:val="00084D37"/>
    <w:rsid w:val="00085071"/>
    <w:rsid w:val="000851B9"/>
    <w:rsid w:val="00085207"/>
    <w:rsid w:val="000853D8"/>
    <w:rsid w:val="000856F6"/>
    <w:rsid w:val="00085822"/>
    <w:rsid w:val="00085BEA"/>
    <w:rsid w:val="00085CD2"/>
    <w:rsid w:val="00085D2A"/>
    <w:rsid w:val="00085F1E"/>
    <w:rsid w:val="00086605"/>
    <w:rsid w:val="00086E20"/>
    <w:rsid w:val="0008718D"/>
    <w:rsid w:val="000875EF"/>
    <w:rsid w:val="000878D9"/>
    <w:rsid w:val="00087966"/>
    <w:rsid w:val="00090315"/>
    <w:rsid w:val="00090410"/>
    <w:rsid w:val="00090474"/>
    <w:rsid w:val="000905A9"/>
    <w:rsid w:val="00090A33"/>
    <w:rsid w:val="0009139F"/>
    <w:rsid w:val="00091943"/>
    <w:rsid w:val="00091AE8"/>
    <w:rsid w:val="00091C1A"/>
    <w:rsid w:val="00091D61"/>
    <w:rsid w:val="00091FA0"/>
    <w:rsid w:val="00092061"/>
    <w:rsid w:val="00092363"/>
    <w:rsid w:val="00092794"/>
    <w:rsid w:val="000927DC"/>
    <w:rsid w:val="00092853"/>
    <w:rsid w:val="00092B4E"/>
    <w:rsid w:val="00092D52"/>
    <w:rsid w:val="000935A7"/>
    <w:rsid w:val="00093782"/>
    <w:rsid w:val="00093A41"/>
    <w:rsid w:val="00093A98"/>
    <w:rsid w:val="00093CBF"/>
    <w:rsid w:val="00093E27"/>
    <w:rsid w:val="00094014"/>
    <w:rsid w:val="000944BD"/>
    <w:rsid w:val="00094D54"/>
    <w:rsid w:val="00094F01"/>
    <w:rsid w:val="00095318"/>
    <w:rsid w:val="00095995"/>
    <w:rsid w:val="00095C19"/>
    <w:rsid w:val="00095ED8"/>
    <w:rsid w:val="00095F1B"/>
    <w:rsid w:val="0009648C"/>
    <w:rsid w:val="000971BA"/>
    <w:rsid w:val="00097390"/>
    <w:rsid w:val="00097451"/>
    <w:rsid w:val="000975C9"/>
    <w:rsid w:val="00097A5B"/>
    <w:rsid w:val="000A005E"/>
    <w:rsid w:val="000A0670"/>
    <w:rsid w:val="000A09AC"/>
    <w:rsid w:val="000A0BCE"/>
    <w:rsid w:val="000A0C7D"/>
    <w:rsid w:val="000A0D01"/>
    <w:rsid w:val="000A0D3D"/>
    <w:rsid w:val="000A0D5C"/>
    <w:rsid w:val="000A0DCB"/>
    <w:rsid w:val="000A0E46"/>
    <w:rsid w:val="000A1811"/>
    <w:rsid w:val="000A1940"/>
    <w:rsid w:val="000A1A96"/>
    <w:rsid w:val="000A2AED"/>
    <w:rsid w:val="000A2CEA"/>
    <w:rsid w:val="000A2D2F"/>
    <w:rsid w:val="000A2F6B"/>
    <w:rsid w:val="000A30A1"/>
    <w:rsid w:val="000A33DA"/>
    <w:rsid w:val="000A36CB"/>
    <w:rsid w:val="000A3B9C"/>
    <w:rsid w:val="000A3EC6"/>
    <w:rsid w:val="000A3F38"/>
    <w:rsid w:val="000A40F2"/>
    <w:rsid w:val="000A432C"/>
    <w:rsid w:val="000A4961"/>
    <w:rsid w:val="000A4C7B"/>
    <w:rsid w:val="000A5576"/>
    <w:rsid w:val="000A55E3"/>
    <w:rsid w:val="000A568F"/>
    <w:rsid w:val="000A5912"/>
    <w:rsid w:val="000A5BA4"/>
    <w:rsid w:val="000A5ECB"/>
    <w:rsid w:val="000A5F38"/>
    <w:rsid w:val="000A61CE"/>
    <w:rsid w:val="000A61FE"/>
    <w:rsid w:val="000A62C2"/>
    <w:rsid w:val="000A657D"/>
    <w:rsid w:val="000A6CD5"/>
    <w:rsid w:val="000A6DC8"/>
    <w:rsid w:val="000A6DD5"/>
    <w:rsid w:val="000A783E"/>
    <w:rsid w:val="000A7E8B"/>
    <w:rsid w:val="000A7EEF"/>
    <w:rsid w:val="000B04D1"/>
    <w:rsid w:val="000B09D2"/>
    <w:rsid w:val="000B0A3B"/>
    <w:rsid w:val="000B11AB"/>
    <w:rsid w:val="000B11FE"/>
    <w:rsid w:val="000B18DE"/>
    <w:rsid w:val="000B190C"/>
    <w:rsid w:val="000B1E8D"/>
    <w:rsid w:val="000B274C"/>
    <w:rsid w:val="000B2A90"/>
    <w:rsid w:val="000B2DED"/>
    <w:rsid w:val="000B3137"/>
    <w:rsid w:val="000B34BF"/>
    <w:rsid w:val="000B3509"/>
    <w:rsid w:val="000B3891"/>
    <w:rsid w:val="000B392E"/>
    <w:rsid w:val="000B3D79"/>
    <w:rsid w:val="000B3DD3"/>
    <w:rsid w:val="000B3DFC"/>
    <w:rsid w:val="000B3F5B"/>
    <w:rsid w:val="000B424E"/>
    <w:rsid w:val="000B4BEC"/>
    <w:rsid w:val="000B4E19"/>
    <w:rsid w:val="000B5009"/>
    <w:rsid w:val="000B504E"/>
    <w:rsid w:val="000B50D5"/>
    <w:rsid w:val="000B5741"/>
    <w:rsid w:val="000B57D2"/>
    <w:rsid w:val="000B57D4"/>
    <w:rsid w:val="000B5A11"/>
    <w:rsid w:val="000B5B9E"/>
    <w:rsid w:val="000B5C1B"/>
    <w:rsid w:val="000B5DE0"/>
    <w:rsid w:val="000B60A2"/>
    <w:rsid w:val="000B62A0"/>
    <w:rsid w:val="000B6338"/>
    <w:rsid w:val="000B646F"/>
    <w:rsid w:val="000B667E"/>
    <w:rsid w:val="000B6994"/>
    <w:rsid w:val="000B6D0E"/>
    <w:rsid w:val="000B7139"/>
    <w:rsid w:val="000B7582"/>
    <w:rsid w:val="000B765A"/>
    <w:rsid w:val="000B77BB"/>
    <w:rsid w:val="000B7BFE"/>
    <w:rsid w:val="000C0373"/>
    <w:rsid w:val="000C0868"/>
    <w:rsid w:val="000C0AB6"/>
    <w:rsid w:val="000C0DC2"/>
    <w:rsid w:val="000C0F6A"/>
    <w:rsid w:val="000C1386"/>
    <w:rsid w:val="000C1424"/>
    <w:rsid w:val="000C144F"/>
    <w:rsid w:val="000C1495"/>
    <w:rsid w:val="000C15EE"/>
    <w:rsid w:val="000C1B31"/>
    <w:rsid w:val="000C1D16"/>
    <w:rsid w:val="000C1D95"/>
    <w:rsid w:val="000C1ECE"/>
    <w:rsid w:val="000C20A2"/>
    <w:rsid w:val="000C215F"/>
    <w:rsid w:val="000C224B"/>
    <w:rsid w:val="000C2ACE"/>
    <w:rsid w:val="000C30E3"/>
    <w:rsid w:val="000C367C"/>
    <w:rsid w:val="000C3714"/>
    <w:rsid w:val="000C372B"/>
    <w:rsid w:val="000C3A0A"/>
    <w:rsid w:val="000C3A71"/>
    <w:rsid w:val="000C3B97"/>
    <w:rsid w:val="000C3C5F"/>
    <w:rsid w:val="000C3D0B"/>
    <w:rsid w:val="000C3E2A"/>
    <w:rsid w:val="000C4663"/>
    <w:rsid w:val="000C4A50"/>
    <w:rsid w:val="000C4B61"/>
    <w:rsid w:val="000C4CE0"/>
    <w:rsid w:val="000C507C"/>
    <w:rsid w:val="000C51BD"/>
    <w:rsid w:val="000C53D8"/>
    <w:rsid w:val="000C5727"/>
    <w:rsid w:val="000C5831"/>
    <w:rsid w:val="000C5B60"/>
    <w:rsid w:val="000C5C00"/>
    <w:rsid w:val="000C5C6E"/>
    <w:rsid w:val="000C66B5"/>
    <w:rsid w:val="000C6A90"/>
    <w:rsid w:val="000C6B55"/>
    <w:rsid w:val="000C7180"/>
    <w:rsid w:val="000C71B1"/>
    <w:rsid w:val="000C7288"/>
    <w:rsid w:val="000C7C31"/>
    <w:rsid w:val="000C7E7D"/>
    <w:rsid w:val="000D0061"/>
    <w:rsid w:val="000D01A9"/>
    <w:rsid w:val="000D0AB0"/>
    <w:rsid w:val="000D0AE2"/>
    <w:rsid w:val="000D0CB2"/>
    <w:rsid w:val="000D154D"/>
    <w:rsid w:val="000D1CE1"/>
    <w:rsid w:val="000D1D09"/>
    <w:rsid w:val="000D237B"/>
    <w:rsid w:val="000D2581"/>
    <w:rsid w:val="000D25B2"/>
    <w:rsid w:val="000D26A5"/>
    <w:rsid w:val="000D2760"/>
    <w:rsid w:val="000D2A58"/>
    <w:rsid w:val="000D2CB8"/>
    <w:rsid w:val="000D3136"/>
    <w:rsid w:val="000D3146"/>
    <w:rsid w:val="000D349B"/>
    <w:rsid w:val="000D366D"/>
    <w:rsid w:val="000D372F"/>
    <w:rsid w:val="000D3EA3"/>
    <w:rsid w:val="000D4425"/>
    <w:rsid w:val="000D4528"/>
    <w:rsid w:val="000D486B"/>
    <w:rsid w:val="000D499C"/>
    <w:rsid w:val="000D5378"/>
    <w:rsid w:val="000D5795"/>
    <w:rsid w:val="000D587E"/>
    <w:rsid w:val="000D58C7"/>
    <w:rsid w:val="000D5D13"/>
    <w:rsid w:val="000D6004"/>
    <w:rsid w:val="000D64D7"/>
    <w:rsid w:val="000D652F"/>
    <w:rsid w:val="000D6532"/>
    <w:rsid w:val="000D681C"/>
    <w:rsid w:val="000D6E80"/>
    <w:rsid w:val="000D7027"/>
    <w:rsid w:val="000D775D"/>
    <w:rsid w:val="000D7767"/>
    <w:rsid w:val="000D77A2"/>
    <w:rsid w:val="000D78A3"/>
    <w:rsid w:val="000D7A2F"/>
    <w:rsid w:val="000D7BCB"/>
    <w:rsid w:val="000D7C03"/>
    <w:rsid w:val="000D7E88"/>
    <w:rsid w:val="000D7F1C"/>
    <w:rsid w:val="000E0006"/>
    <w:rsid w:val="000E0137"/>
    <w:rsid w:val="000E0170"/>
    <w:rsid w:val="000E0430"/>
    <w:rsid w:val="000E055C"/>
    <w:rsid w:val="000E0846"/>
    <w:rsid w:val="000E0C71"/>
    <w:rsid w:val="000E10EA"/>
    <w:rsid w:val="000E117C"/>
    <w:rsid w:val="000E130F"/>
    <w:rsid w:val="000E1A4B"/>
    <w:rsid w:val="000E1D2B"/>
    <w:rsid w:val="000E1D50"/>
    <w:rsid w:val="000E1D86"/>
    <w:rsid w:val="000E2021"/>
    <w:rsid w:val="000E2036"/>
    <w:rsid w:val="000E214D"/>
    <w:rsid w:val="000E2378"/>
    <w:rsid w:val="000E25A1"/>
    <w:rsid w:val="000E264E"/>
    <w:rsid w:val="000E281B"/>
    <w:rsid w:val="000E2BB4"/>
    <w:rsid w:val="000E3177"/>
    <w:rsid w:val="000E34EF"/>
    <w:rsid w:val="000E359B"/>
    <w:rsid w:val="000E35AF"/>
    <w:rsid w:val="000E3613"/>
    <w:rsid w:val="000E3679"/>
    <w:rsid w:val="000E372B"/>
    <w:rsid w:val="000E3948"/>
    <w:rsid w:val="000E420E"/>
    <w:rsid w:val="000E43F8"/>
    <w:rsid w:val="000E44F2"/>
    <w:rsid w:val="000E4607"/>
    <w:rsid w:val="000E4C13"/>
    <w:rsid w:val="000E4D3A"/>
    <w:rsid w:val="000E501C"/>
    <w:rsid w:val="000E55D8"/>
    <w:rsid w:val="000E5F30"/>
    <w:rsid w:val="000E5F80"/>
    <w:rsid w:val="000E66E5"/>
    <w:rsid w:val="000E6DB2"/>
    <w:rsid w:val="000E72B5"/>
    <w:rsid w:val="000E79F3"/>
    <w:rsid w:val="000E7BFF"/>
    <w:rsid w:val="000E7C26"/>
    <w:rsid w:val="000F0349"/>
    <w:rsid w:val="000F0A11"/>
    <w:rsid w:val="000F0A27"/>
    <w:rsid w:val="000F0BF2"/>
    <w:rsid w:val="000F1114"/>
    <w:rsid w:val="000F1302"/>
    <w:rsid w:val="000F1653"/>
    <w:rsid w:val="000F1F75"/>
    <w:rsid w:val="000F246E"/>
    <w:rsid w:val="000F2793"/>
    <w:rsid w:val="000F2A48"/>
    <w:rsid w:val="000F32F5"/>
    <w:rsid w:val="000F33F8"/>
    <w:rsid w:val="000F344A"/>
    <w:rsid w:val="000F3C55"/>
    <w:rsid w:val="000F3EB4"/>
    <w:rsid w:val="000F400B"/>
    <w:rsid w:val="000F40E8"/>
    <w:rsid w:val="000F4240"/>
    <w:rsid w:val="000F4659"/>
    <w:rsid w:val="000F4687"/>
    <w:rsid w:val="000F4740"/>
    <w:rsid w:val="000F47B6"/>
    <w:rsid w:val="000F4C19"/>
    <w:rsid w:val="000F4D9E"/>
    <w:rsid w:val="000F5345"/>
    <w:rsid w:val="000F53D2"/>
    <w:rsid w:val="000F5717"/>
    <w:rsid w:val="000F581B"/>
    <w:rsid w:val="000F5902"/>
    <w:rsid w:val="000F618F"/>
    <w:rsid w:val="000F67FA"/>
    <w:rsid w:val="000F693C"/>
    <w:rsid w:val="000F6C4A"/>
    <w:rsid w:val="000F7363"/>
    <w:rsid w:val="000F74C0"/>
    <w:rsid w:val="000F7675"/>
    <w:rsid w:val="000F7882"/>
    <w:rsid w:val="000F78C6"/>
    <w:rsid w:val="000F7922"/>
    <w:rsid w:val="000F7EB2"/>
    <w:rsid w:val="000F7EE5"/>
    <w:rsid w:val="000F7F0D"/>
    <w:rsid w:val="001002FC"/>
    <w:rsid w:val="00100459"/>
    <w:rsid w:val="001005F5"/>
    <w:rsid w:val="00100803"/>
    <w:rsid w:val="001008AC"/>
    <w:rsid w:val="001009FA"/>
    <w:rsid w:val="00100FB6"/>
    <w:rsid w:val="00101422"/>
    <w:rsid w:val="001014A2"/>
    <w:rsid w:val="001018F6"/>
    <w:rsid w:val="0010198E"/>
    <w:rsid w:val="00101F4E"/>
    <w:rsid w:val="00101F59"/>
    <w:rsid w:val="00102548"/>
    <w:rsid w:val="0010259A"/>
    <w:rsid w:val="001026B9"/>
    <w:rsid w:val="00102858"/>
    <w:rsid w:val="00102936"/>
    <w:rsid w:val="00102AC0"/>
    <w:rsid w:val="00102C6C"/>
    <w:rsid w:val="00102D5A"/>
    <w:rsid w:val="001032AF"/>
    <w:rsid w:val="00103495"/>
    <w:rsid w:val="001039EC"/>
    <w:rsid w:val="001039FE"/>
    <w:rsid w:val="00103A08"/>
    <w:rsid w:val="00103B6A"/>
    <w:rsid w:val="001041D5"/>
    <w:rsid w:val="001041FC"/>
    <w:rsid w:val="001044AC"/>
    <w:rsid w:val="0010457E"/>
    <w:rsid w:val="001047CC"/>
    <w:rsid w:val="0010481A"/>
    <w:rsid w:val="001048B8"/>
    <w:rsid w:val="00104A1B"/>
    <w:rsid w:val="00104AF3"/>
    <w:rsid w:val="00104C0C"/>
    <w:rsid w:val="00104D00"/>
    <w:rsid w:val="00104F51"/>
    <w:rsid w:val="00105401"/>
    <w:rsid w:val="00105571"/>
    <w:rsid w:val="00105AE3"/>
    <w:rsid w:val="00105B27"/>
    <w:rsid w:val="00106110"/>
    <w:rsid w:val="0010615A"/>
    <w:rsid w:val="00106186"/>
    <w:rsid w:val="0010628F"/>
    <w:rsid w:val="00106557"/>
    <w:rsid w:val="00106911"/>
    <w:rsid w:val="00106E8E"/>
    <w:rsid w:val="00107111"/>
    <w:rsid w:val="001072DF"/>
    <w:rsid w:val="00107304"/>
    <w:rsid w:val="00107507"/>
    <w:rsid w:val="00107783"/>
    <w:rsid w:val="00107CB7"/>
    <w:rsid w:val="00107E29"/>
    <w:rsid w:val="00110076"/>
    <w:rsid w:val="00110442"/>
    <w:rsid w:val="00110646"/>
    <w:rsid w:val="00110AD7"/>
    <w:rsid w:val="00110AF3"/>
    <w:rsid w:val="00110E2E"/>
    <w:rsid w:val="001114F0"/>
    <w:rsid w:val="001116F6"/>
    <w:rsid w:val="00111754"/>
    <w:rsid w:val="001119CE"/>
    <w:rsid w:val="00111AA3"/>
    <w:rsid w:val="00111B0E"/>
    <w:rsid w:val="00111CD2"/>
    <w:rsid w:val="00112213"/>
    <w:rsid w:val="001127CE"/>
    <w:rsid w:val="001127F5"/>
    <w:rsid w:val="00112F37"/>
    <w:rsid w:val="0011360F"/>
    <w:rsid w:val="001136D5"/>
    <w:rsid w:val="001137E8"/>
    <w:rsid w:val="00113CA4"/>
    <w:rsid w:val="00113EC2"/>
    <w:rsid w:val="00114182"/>
    <w:rsid w:val="0011468A"/>
    <w:rsid w:val="00114C4D"/>
    <w:rsid w:val="00114EE1"/>
    <w:rsid w:val="00114F83"/>
    <w:rsid w:val="00115209"/>
    <w:rsid w:val="001153DB"/>
    <w:rsid w:val="00115509"/>
    <w:rsid w:val="00115570"/>
    <w:rsid w:val="00115722"/>
    <w:rsid w:val="0011596B"/>
    <w:rsid w:val="001159A0"/>
    <w:rsid w:val="00115B82"/>
    <w:rsid w:val="00115BCA"/>
    <w:rsid w:val="00115D23"/>
    <w:rsid w:val="00115E02"/>
    <w:rsid w:val="001160AC"/>
    <w:rsid w:val="001160DE"/>
    <w:rsid w:val="00116242"/>
    <w:rsid w:val="001162C3"/>
    <w:rsid w:val="00116663"/>
    <w:rsid w:val="00116912"/>
    <w:rsid w:val="00116B85"/>
    <w:rsid w:val="00117025"/>
    <w:rsid w:val="0011710D"/>
    <w:rsid w:val="00117576"/>
    <w:rsid w:val="0011779A"/>
    <w:rsid w:val="00117E42"/>
    <w:rsid w:val="00117EE4"/>
    <w:rsid w:val="0012015A"/>
    <w:rsid w:val="001201BC"/>
    <w:rsid w:val="00120435"/>
    <w:rsid w:val="00120647"/>
    <w:rsid w:val="0012067B"/>
    <w:rsid w:val="00120B46"/>
    <w:rsid w:val="00120DD7"/>
    <w:rsid w:val="00121023"/>
    <w:rsid w:val="00121164"/>
    <w:rsid w:val="0012171C"/>
    <w:rsid w:val="00121744"/>
    <w:rsid w:val="0012211C"/>
    <w:rsid w:val="001222A6"/>
    <w:rsid w:val="001223F2"/>
    <w:rsid w:val="0012256D"/>
    <w:rsid w:val="00122775"/>
    <w:rsid w:val="00122926"/>
    <w:rsid w:val="00122A6F"/>
    <w:rsid w:val="00122E6E"/>
    <w:rsid w:val="00122E9F"/>
    <w:rsid w:val="001232CF"/>
    <w:rsid w:val="00123468"/>
    <w:rsid w:val="00123640"/>
    <w:rsid w:val="00123DBC"/>
    <w:rsid w:val="001241F3"/>
    <w:rsid w:val="0012483E"/>
    <w:rsid w:val="001248D1"/>
    <w:rsid w:val="00124CEB"/>
    <w:rsid w:val="00124F08"/>
    <w:rsid w:val="00124FBD"/>
    <w:rsid w:val="001250D5"/>
    <w:rsid w:val="001253E3"/>
    <w:rsid w:val="00125C75"/>
    <w:rsid w:val="001260B6"/>
    <w:rsid w:val="00126534"/>
    <w:rsid w:val="00126657"/>
    <w:rsid w:val="0012668C"/>
    <w:rsid w:val="00126E6A"/>
    <w:rsid w:val="00126F50"/>
    <w:rsid w:val="00126FE8"/>
    <w:rsid w:val="00127016"/>
    <w:rsid w:val="00127181"/>
    <w:rsid w:val="00127265"/>
    <w:rsid w:val="00127421"/>
    <w:rsid w:val="00127865"/>
    <w:rsid w:val="00127A17"/>
    <w:rsid w:val="00127DFB"/>
    <w:rsid w:val="00127E91"/>
    <w:rsid w:val="00127ECB"/>
    <w:rsid w:val="0013028F"/>
    <w:rsid w:val="00130B46"/>
    <w:rsid w:val="00130D05"/>
    <w:rsid w:val="00130D74"/>
    <w:rsid w:val="00130D86"/>
    <w:rsid w:val="00130DEB"/>
    <w:rsid w:val="00130F20"/>
    <w:rsid w:val="0013131B"/>
    <w:rsid w:val="001319F5"/>
    <w:rsid w:val="00131AA7"/>
    <w:rsid w:val="00131CEE"/>
    <w:rsid w:val="00131F44"/>
    <w:rsid w:val="001321FB"/>
    <w:rsid w:val="0013243E"/>
    <w:rsid w:val="001324AF"/>
    <w:rsid w:val="001325C5"/>
    <w:rsid w:val="00132734"/>
    <w:rsid w:val="00132D9D"/>
    <w:rsid w:val="0013316E"/>
    <w:rsid w:val="00133533"/>
    <w:rsid w:val="001336D9"/>
    <w:rsid w:val="00133AF0"/>
    <w:rsid w:val="00134174"/>
    <w:rsid w:val="00134290"/>
    <w:rsid w:val="001344FB"/>
    <w:rsid w:val="00134622"/>
    <w:rsid w:val="0013472B"/>
    <w:rsid w:val="00135122"/>
    <w:rsid w:val="0013518D"/>
    <w:rsid w:val="001352D6"/>
    <w:rsid w:val="0013539B"/>
    <w:rsid w:val="0013562A"/>
    <w:rsid w:val="0013577C"/>
    <w:rsid w:val="001358D8"/>
    <w:rsid w:val="00135C9A"/>
    <w:rsid w:val="00135EFA"/>
    <w:rsid w:val="0013605A"/>
    <w:rsid w:val="001361D0"/>
    <w:rsid w:val="001363CE"/>
    <w:rsid w:val="0013677C"/>
    <w:rsid w:val="00136B79"/>
    <w:rsid w:val="0013707A"/>
    <w:rsid w:val="0013728E"/>
    <w:rsid w:val="0013744D"/>
    <w:rsid w:val="0013756F"/>
    <w:rsid w:val="00137965"/>
    <w:rsid w:val="00137E23"/>
    <w:rsid w:val="00140790"/>
    <w:rsid w:val="001409DB"/>
    <w:rsid w:val="00140D52"/>
    <w:rsid w:val="00140F7A"/>
    <w:rsid w:val="0014103C"/>
    <w:rsid w:val="00141132"/>
    <w:rsid w:val="001412E1"/>
    <w:rsid w:val="0014217F"/>
    <w:rsid w:val="0014229F"/>
    <w:rsid w:val="0014268A"/>
    <w:rsid w:val="00142994"/>
    <w:rsid w:val="00142A10"/>
    <w:rsid w:val="00142CDD"/>
    <w:rsid w:val="00142E1F"/>
    <w:rsid w:val="001436DA"/>
    <w:rsid w:val="0014373D"/>
    <w:rsid w:val="00143819"/>
    <w:rsid w:val="0014394F"/>
    <w:rsid w:val="00143E0C"/>
    <w:rsid w:val="00143F08"/>
    <w:rsid w:val="00144130"/>
    <w:rsid w:val="001444EF"/>
    <w:rsid w:val="00145298"/>
    <w:rsid w:val="001452B6"/>
    <w:rsid w:val="001453B5"/>
    <w:rsid w:val="001456A6"/>
    <w:rsid w:val="001457F1"/>
    <w:rsid w:val="00145908"/>
    <w:rsid w:val="0014590C"/>
    <w:rsid w:val="00145ED1"/>
    <w:rsid w:val="00145F63"/>
    <w:rsid w:val="001466A7"/>
    <w:rsid w:val="00146A06"/>
    <w:rsid w:val="00146A86"/>
    <w:rsid w:val="00146D15"/>
    <w:rsid w:val="00146DA6"/>
    <w:rsid w:val="00146E9A"/>
    <w:rsid w:val="00146ED1"/>
    <w:rsid w:val="00147096"/>
    <w:rsid w:val="001471C9"/>
    <w:rsid w:val="0014730B"/>
    <w:rsid w:val="001473D7"/>
    <w:rsid w:val="0014744C"/>
    <w:rsid w:val="001477C2"/>
    <w:rsid w:val="001479DE"/>
    <w:rsid w:val="00147A7B"/>
    <w:rsid w:val="00147ACA"/>
    <w:rsid w:val="00147F22"/>
    <w:rsid w:val="00150174"/>
    <w:rsid w:val="00150358"/>
    <w:rsid w:val="00150A43"/>
    <w:rsid w:val="00150C29"/>
    <w:rsid w:val="00150C57"/>
    <w:rsid w:val="00150D08"/>
    <w:rsid w:val="00150D63"/>
    <w:rsid w:val="00150D85"/>
    <w:rsid w:val="00150E10"/>
    <w:rsid w:val="00150F91"/>
    <w:rsid w:val="00150FD2"/>
    <w:rsid w:val="00151077"/>
    <w:rsid w:val="00151474"/>
    <w:rsid w:val="001517C5"/>
    <w:rsid w:val="001517F1"/>
    <w:rsid w:val="0015196C"/>
    <w:rsid w:val="00151A2B"/>
    <w:rsid w:val="001520EB"/>
    <w:rsid w:val="00152136"/>
    <w:rsid w:val="001522BA"/>
    <w:rsid w:val="0015246E"/>
    <w:rsid w:val="001526A5"/>
    <w:rsid w:val="00152761"/>
    <w:rsid w:val="001528AC"/>
    <w:rsid w:val="00152D1D"/>
    <w:rsid w:val="00153049"/>
    <w:rsid w:val="00153538"/>
    <w:rsid w:val="001537A8"/>
    <w:rsid w:val="001546F2"/>
    <w:rsid w:val="00154AE8"/>
    <w:rsid w:val="00154F1C"/>
    <w:rsid w:val="00155020"/>
    <w:rsid w:val="001550EE"/>
    <w:rsid w:val="0015572E"/>
    <w:rsid w:val="00155833"/>
    <w:rsid w:val="00155894"/>
    <w:rsid w:val="00155A40"/>
    <w:rsid w:val="00155C4E"/>
    <w:rsid w:val="00155C56"/>
    <w:rsid w:val="00155F42"/>
    <w:rsid w:val="0015618B"/>
    <w:rsid w:val="00156865"/>
    <w:rsid w:val="00156D9F"/>
    <w:rsid w:val="00157035"/>
    <w:rsid w:val="00157064"/>
    <w:rsid w:val="00157446"/>
    <w:rsid w:val="00157534"/>
    <w:rsid w:val="00157590"/>
    <w:rsid w:val="0015765A"/>
    <w:rsid w:val="0015786E"/>
    <w:rsid w:val="00157952"/>
    <w:rsid w:val="00157ACF"/>
    <w:rsid w:val="00157C5D"/>
    <w:rsid w:val="00157DF9"/>
    <w:rsid w:val="00157E65"/>
    <w:rsid w:val="00160129"/>
    <w:rsid w:val="00160344"/>
    <w:rsid w:val="00160E81"/>
    <w:rsid w:val="00161273"/>
    <w:rsid w:val="001613DB"/>
    <w:rsid w:val="001615CA"/>
    <w:rsid w:val="00161601"/>
    <w:rsid w:val="00161892"/>
    <w:rsid w:val="00161AEF"/>
    <w:rsid w:val="00161C86"/>
    <w:rsid w:val="00162653"/>
    <w:rsid w:val="00162670"/>
    <w:rsid w:val="001629C3"/>
    <w:rsid w:val="00162B31"/>
    <w:rsid w:val="00162C75"/>
    <w:rsid w:val="00162E89"/>
    <w:rsid w:val="001632F1"/>
    <w:rsid w:val="0016371A"/>
    <w:rsid w:val="001641C5"/>
    <w:rsid w:val="00164320"/>
    <w:rsid w:val="00164433"/>
    <w:rsid w:val="0016485D"/>
    <w:rsid w:val="00164909"/>
    <w:rsid w:val="00164A82"/>
    <w:rsid w:val="00164B52"/>
    <w:rsid w:val="00164EF5"/>
    <w:rsid w:val="00164F7A"/>
    <w:rsid w:val="001652C0"/>
    <w:rsid w:val="0016530F"/>
    <w:rsid w:val="001654E3"/>
    <w:rsid w:val="00165F19"/>
    <w:rsid w:val="00166088"/>
    <w:rsid w:val="0016609E"/>
    <w:rsid w:val="001661FE"/>
    <w:rsid w:val="001664BB"/>
    <w:rsid w:val="00166E8F"/>
    <w:rsid w:val="00166F1D"/>
    <w:rsid w:val="00167107"/>
    <w:rsid w:val="001671A6"/>
    <w:rsid w:val="0016730F"/>
    <w:rsid w:val="001674CB"/>
    <w:rsid w:val="00167902"/>
    <w:rsid w:val="00167F2A"/>
    <w:rsid w:val="00170036"/>
    <w:rsid w:val="001700E8"/>
    <w:rsid w:val="001701C5"/>
    <w:rsid w:val="001702DB"/>
    <w:rsid w:val="00170432"/>
    <w:rsid w:val="00170447"/>
    <w:rsid w:val="0017094B"/>
    <w:rsid w:val="00170DA0"/>
    <w:rsid w:val="001712E7"/>
    <w:rsid w:val="001713E0"/>
    <w:rsid w:val="00171856"/>
    <w:rsid w:val="00171DED"/>
    <w:rsid w:val="00171FC5"/>
    <w:rsid w:val="00172163"/>
    <w:rsid w:val="00172460"/>
    <w:rsid w:val="00172A02"/>
    <w:rsid w:val="00172BBA"/>
    <w:rsid w:val="00172F56"/>
    <w:rsid w:val="00173084"/>
    <w:rsid w:val="00173136"/>
    <w:rsid w:val="00173557"/>
    <w:rsid w:val="00173CA9"/>
    <w:rsid w:val="00173E74"/>
    <w:rsid w:val="00174012"/>
    <w:rsid w:val="001742DD"/>
    <w:rsid w:val="00174329"/>
    <w:rsid w:val="001744C6"/>
    <w:rsid w:val="001744EF"/>
    <w:rsid w:val="0017476A"/>
    <w:rsid w:val="00174C4B"/>
    <w:rsid w:val="00174FE4"/>
    <w:rsid w:val="001750A4"/>
    <w:rsid w:val="00175139"/>
    <w:rsid w:val="001756F8"/>
    <w:rsid w:val="0017579A"/>
    <w:rsid w:val="001757B5"/>
    <w:rsid w:val="00176222"/>
    <w:rsid w:val="001763DB"/>
    <w:rsid w:val="001765A2"/>
    <w:rsid w:val="00176B04"/>
    <w:rsid w:val="001772AA"/>
    <w:rsid w:val="0017749A"/>
    <w:rsid w:val="0017764C"/>
    <w:rsid w:val="001777A4"/>
    <w:rsid w:val="00177E0B"/>
    <w:rsid w:val="0018036F"/>
    <w:rsid w:val="00180379"/>
    <w:rsid w:val="00180791"/>
    <w:rsid w:val="001807F9"/>
    <w:rsid w:val="00180834"/>
    <w:rsid w:val="00180905"/>
    <w:rsid w:val="00180DE6"/>
    <w:rsid w:val="00180E7B"/>
    <w:rsid w:val="00181173"/>
    <w:rsid w:val="00181A38"/>
    <w:rsid w:val="00181E4B"/>
    <w:rsid w:val="001823B7"/>
    <w:rsid w:val="001826EF"/>
    <w:rsid w:val="0018291C"/>
    <w:rsid w:val="00182B08"/>
    <w:rsid w:val="00183230"/>
    <w:rsid w:val="00183476"/>
    <w:rsid w:val="00183675"/>
    <w:rsid w:val="001837C3"/>
    <w:rsid w:val="00183B93"/>
    <w:rsid w:val="00183C93"/>
    <w:rsid w:val="00183EF8"/>
    <w:rsid w:val="001841D9"/>
    <w:rsid w:val="00184B58"/>
    <w:rsid w:val="00184E09"/>
    <w:rsid w:val="00185041"/>
    <w:rsid w:val="0018510D"/>
    <w:rsid w:val="001851C0"/>
    <w:rsid w:val="0018520F"/>
    <w:rsid w:val="001856F5"/>
    <w:rsid w:val="001857BC"/>
    <w:rsid w:val="001858FD"/>
    <w:rsid w:val="0018594F"/>
    <w:rsid w:val="00185F8E"/>
    <w:rsid w:val="00186233"/>
    <w:rsid w:val="0018635C"/>
    <w:rsid w:val="00186618"/>
    <w:rsid w:val="00186ABF"/>
    <w:rsid w:val="00186AFD"/>
    <w:rsid w:val="00186ED5"/>
    <w:rsid w:val="001875E6"/>
    <w:rsid w:val="00187856"/>
    <w:rsid w:val="00187EBE"/>
    <w:rsid w:val="00187EEC"/>
    <w:rsid w:val="00187F69"/>
    <w:rsid w:val="00187F91"/>
    <w:rsid w:val="00187FE0"/>
    <w:rsid w:val="00187FE5"/>
    <w:rsid w:val="00190076"/>
    <w:rsid w:val="001903DE"/>
    <w:rsid w:val="00190848"/>
    <w:rsid w:val="001909FD"/>
    <w:rsid w:val="00190B08"/>
    <w:rsid w:val="00191447"/>
    <w:rsid w:val="0019172C"/>
    <w:rsid w:val="00191DAF"/>
    <w:rsid w:val="00191DF9"/>
    <w:rsid w:val="0019240A"/>
    <w:rsid w:val="0019246D"/>
    <w:rsid w:val="00193065"/>
    <w:rsid w:val="001931FF"/>
    <w:rsid w:val="00193A14"/>
    <w:rsid w:val="00193BB3"/>
    <w:rsid w:val="00193D30"/>
    <w:rsid w:val="00194041"/>
    <w:rsid w:val="0019410E"/>
    <w:rsid w:val="00194A74"/>
    <w:rsid w:val="00194BA9"/>
    <w:rsid w:val="0019528C"/>
    <w:rsid w:val="0019599D"/>
    <w:rsid w:val="00195C54"/>
    <w:rsid w:val="00195D40"/>
    <w:rsid w:val="00196838"/>
    <w:rsid w:val="0019687F"/>
    <w:rsid w:val="00196A07"/>
    <w:rsid w:val="00196CB3"/>
    <w:rsid w:val="00196F90"/>
    <w:rsid w:val="00196F91"/>
    <w:rsid w:val="00197332"/>
    <w:rsid w:val="00197D48"/>
    <w:rsid w:val="001A028C"/>
    <w:rsid w:val="001A0C76"/>
    <w:rsid w:val="001A0D27"/>
    <w:rsid w:val="001A11AF"/>
    <w:rsid w:val="001A11C6"/>
    <w:rsid w:val="001A126F"/>
    <w:rsid w:val="001A1635"/>
    <w:rsid w:val="001A18ED"/>
    <w:rsid w:val="001A1C39"/>
    <w:rsid w:val="001A1DA7"/>
    <w:rsid w:val="001A1DEC"/>
    <w:rsid w:val="001A1F7F"/>
    <w:rsid w:val="001A1FAA"/>
    <w:rsid w:val="001A200E"/>
    <w:rsid w:val="001A20B8"/>
    <w:rsid w:val="001A24BB"/>
    <w:rsid w:val="001A2584"/>
    <w:rsid w:val="001A2678"/>
    <w:rsid w:val="001A2C5C"/>
    <w:rsid w:val="001A2DB9"/>
    <w:rsid w:val="001A2E48"/>
    <w:rsid w:val="001A2F6D"/>
    <w:rsid w:val="001A35F6"/>
    <w:rsid w:val="001A3951"/>
    <w:rsid w:val="001A3C21"/>
    <w:rsid w:val="001A3D3E"/>
    <w:rsid w:val="001A41C8"/>
    <w:rsid w:val="001A44D9"/>
    <w:rsid w:val="001A465D"/>
    <w:rsid w:val="001A4A7D"/>
    <w:rsid w:val="001A4B0E"/>
    <w:rsid w:val="001A5BB0"/>
    <w:rsid w:val="001A5C11"/>
    <w:rsid w:val="001A5CAB"/>
    <w:rsid w:val="001A5CF8"/>
    <w:rsid w:val="001A5F12"/>
    <w:rsid w:val="001A60CE"/>
    <w:rsid w:val="001A622F"/>
    <w:rsid w:val="001A62A8"/>
    <w:rsid w:val="001A64DF"/>
    <w:rsid w:val="001A68F3"/>
    <w:rsid w:val="001A6AB5"/>
    <w:rsid w:val="001A6B55"/>
    <w:rsid w:val="001A6F10"/>
    <w:rsid w:val="001A72CD"/>
    <w:rsid w:val="001A76FD"/>
    <w:rsid w:val="001B09D2"/>
    <w:rsid w:val="001B0BE3"/>
    <w:rsid w:val="001B0E3A"/>
    <w:rsid w:val="001B1EAC"/>
    <w:rsid w:val="001B21FB"/>
    <w:rsid w:val="001B2266"/>
    <w:rsid w:val="001B22B7"/>
    <w:rsid w:val="001B2A58"/>
    <w:rsid w:val="001B2D59"/>
    <w:rsid w:val="001B30F7"/>
    <w:rsid w:val="001B332D"/>
    <w:rsid w:val="001B3CBD"/>
    <w:rsid w:val="001B3D3E"/>
    <w:rsid w:val="001B3F3C"/>
    <w:rsid w:val="001B3F7F"/>
    <w:rsid w:val="001B47B9"/>
    <w:rsid w:val="001B4939"/>
    <w:rsid w:val="001B4DC1"/>
    <w:rsid w:val="001B5040"/>
    <w:rsid w:val="001B5320"/>
    <w:rsid w:val="001B5425"/>
    <w:rsid w:val="001B542A"/>
    <w:rsid w:val="001B552C"/>
    <w:rsid w:val="001B5F61"/>
    <w:rsid w:val="001B6A4E"/>
    <w:rsid w:val="001B6BD8"/>
    <w:rsid w:val="001B6F65"/>
    <w:rsid w:val="001B72FB"/>
    <w:rsid w:val="001B7663"/>
    <w:rsid w:val="001B76CB"/>
    <w:rsid w:val="001B77D2"/>
    <w:rsid w:val="001B782A"/>
    <w:rsid w:val="001B7D95"/>
    <w:rsid w:val="001B7DE5"/>
    <w:rsid w:val="001C0293"/>
    <w:rsid w:val="001C048E"/>
    <w:rsid w:val="001C0511"/>
    <w:rsid w:val="001C05A3"/>
    <w:rsid w:val="001C0658"/>
    <w:rsid w:val="001C0767"/>
    <w:rsid w:val="001C08C8"/>
    <w:rsid w:val="001C0A8A"/>
    <w:rsid w:val="001C0CAA"/>
    <w:rsid w:val="001C1213"/>
    <w:rsid w:val="001C14F7"/>
    <w:rsid w:val="001C15AC"/>
    <w:rsid w:val="001C16FA"/>
    <w:rsid w:val="001C1A34"/>
    <w:rsid w:val="001C1A92"/>
    <w:rsid w:val="001C1C29"/>
    <w:rsid w:val="001C1CF3"/>
    <w:rsid w:val="001C1E47"/>
    <w:rsid w:val="001C1F3B"/>
    <w:rsid w:val="001C21D3"/>
    <w:rsid w:val="001C23CF"/>
    <w:rsid w:val="001C272A"/>
    <w:rsid w:val="001C2C33"/>
    <w:rsid w:val="001C2DDC"/>
    <w:rsid w:val="001C2E51"/>
    <w:rsid w:val="001C2EC8"/>
    <w:rsid w:val="001C3070"/>
    <w:rsid w:val="001C30E0"/>
    <w:rsid w:val="001C314C"/>
    <w:rsid w:val="001C3223"/>
    <w:rsid w:val="001C3338"/>
    <w:rsid w:val="001C3511"/>
    <w:rsid w:val="001C3933"/>
    <w:rsid w:val="001C395D"/>
    <w:rsid w:val="001C3B38"/>
    <w:rsid w:val="001C3DB3"/>
    <w:rsid w:val="001C4071"/>
    <w:rsid w:val="001C4270"/>
    <w:rsid w:val="001C436F"/>
    <w:rsid w:val="001C455E"/>
    <w:rsid w:val="001C46EE"/>
    <w:rsid w:val="001C471F"/>
    <w:rsid w:val="001C4932"/>
    <w:rsid w:val="001C4D42"/>
    <w:rsid w:val="001C4D4F"/>
    <w:rsid w:val="001C4E2F"/>
    <w:rsid w:val="001C5437"/>
    <w:rsid w:val="001C5486"/>
    <w:rsid w:val="001C5593"/>
    <w:rsid w:val="001C599E"/>
    <w:rsid w:val="001C5C18"/>
    <w:rsid w:val="001C6647"/>
    <w:rsid w:val="001C6919"/>
    <w:rsid w:val="001C6A9A"/>
    <w:rsid w:val="001C6FB6"/>
    <w:rsid w:val="001C7113"/>
    <w:rsid w:val="001C72FE"/>
    <w:rsid w:val="001C74F1"/>
    <w:rsid w:val="001C760D"/>
    <w:rsid w:val="001C798E"/>
    <w:rsid w:val="001C7B03"/>
    <w:rsid w:val="001C7B92"/>
    <w:rsid w:val="001C7D91"/>
    <w:rsid w:val="001C7FEA"/>
    <w:rsid w:val="001D0045"/>
    <w:rsid w:val="001D02E7"/>
    <w:rsid w:val="001D07D0"/>
    <w:rsid w:val="001D0CEB"/>
    <w:rsid w:val="001D0D92"/>
    <w:rsid w:val="001D0E10"/>
    <w:rsid w:val="001D1372"/>
    <w:rsid w:val="001D1D2D"/>
    <w:rsid w:val="001D1D78"/>
    <w:rsid w:val="001D1E0B"/>
    <w:rsid w:val="001D28EC"/>
    <w:rsid w:val="001D2E91"/>
    <w:rsid w:val="001D3373"/>
    <w:rsid w:val="001D3523"/>
    <w:rsid w:val="001D37D9"/>
    <w:rsid w:val="001D3A98"/>
    <w:rsid w:val="001D3F35"/>
    <w:rsid w:val="001D3F83"/>
    <w:rsid w:val="001D4003"/>
    <w:rsid w:val="001D4267"/>
    <w:rsid w:val="001D427B"/>
    <w:rsid w:val="001D4337"/>
    <w:rsid w:val="001D477B"/>
    <w:rsid w:val="001D479D"/>
    <w:rsid w:val="001D4EC5"/>
    <w:rsid w:val="001D5560"/>
    <w:rsid w:val="001D5734"/>
    <w:rsid w:val="001D5AC3"/>
    <w:rsid w:val="001D5AF5"/>
    <w:rsid w:val="001D5C39"/>
    <w:rsid w:val="001D607E"/>
    <w:rsid w:val="001D6614"/>
    <w:rsid w:val="001D67C3"/>
    <w:rsid w:val="001D6907"/>
    <w:rsid w:val="001D6B44"/>
    <w:rsid w:val="001D6E6B"/>
    <w:rsid w:val="001D6E6D"/>
    <w:rsid w:val="001D7106"/>
    <w:rsid w:val="001D7374"/>
    <w:rsid w:val="001D75BF"/>
    <w:rsid w:val="001D7F0D"/>
    <w:rsid w:val="001E006E"/>
    <w:rsid w:val="001E0084"/>
    <w:rsid w:val="001E0217"/>
    <w:rsid w:val="001E022C"/>
    <w:rsid w:val="001E04C4"/>
    <w:rsid w:val="001E05FA"/>
    <w:rsid w:val="001E07DC"/>
    <w:rsid w:val="001E0C6B"/>
    <w:rsid w:val="001E0DE2"/>
    <w:rsid w:val="001E1262"/>
    <w:rsid w:val="001E129D"/>
    <w:rsid w:val="001E13C0"/>
    <w:rsid w:val="001E16E1"/>
    <w:rsid w:val="001E2008"/>
    <w:rsid w:val="001E22B2"/>
    <w:rsid w:val="001E234C"/>
    <w:rsid w:val="001E249C"/>
    <w:rsid w:val="001E2677"/>
    <w:rsid w:val="001E3166"/>
    <w:rsid w:val="001E321E"/>
    <w:rsid w:val="001E32D8"/>
    <w:rsid w:val="001E350A"/>
    <w:rsid w:val="001E35C4"/>
    <w:rsid w:val="001E3C09"/>
    <w:rsid w:val="001E3FE3"/>
    <w:rsid w:val="001E4223"/>
    <w:rsid w:val="001E444C"/>
    <w:rsid w:val="001E4592"/>
    <w:rsid w:val="001E4596"/>
    <w:rsid w:val="001E4D5F"/>
    <w:rsid w:val="001E516B"/>
    <w:rsid w:val="001E565B"/>
    <w:rsid w:val="001E5CFB"/>
    <w:rsid w:val="001E5D99"/>
    <w:rsid w:val="001E5ED0"/>
    <w:rsid w:val="001E5ED4"/>
    <w:rsid w:val="001E5FBD"/>
    <w:rsid w:val="001E6135"/>
    <w:rsid w:val="001E6141"/>
    <w:rsid w:val="001E62AF"/>
    <w:rsid w:val="001E62BC"/>
    <w:rsid w:val="001E6312"/>
    <w:rsid w:val="001E66CD"/>
    <w:rsid w:val="001E6CDD"/>
    <w:rsid w:val="001E6D70"/>
    <w:rsid w:val="001E70DE"/>
    <w:rsid w:val="001E74C1"/>
    <w:rsid w:val="001E7844"/>
    <w:rsid w:val="001E7A58"/>
    <w:rsid w:val="001E7D5D"/>
    <w:rsid w:val="001E7E5F"/>
    <w:rsid w:val="001F0242"/>
    <w:rsid w:val="001F03AA"/>
    <w:rsid w:val="001F03FE"/>
    <w:rsid w:val="001F0779"/>
    <w:rsid w:val="001F0852"/>
    <w:rsid w:val="001F0BF3"/>
    <w:rsid w:val="001F0C6C"/>
    <w:rsid w:val="001F0D40"/>
    <w:rsid w:val="001F0D60"/>
    <w:rsid w:val="001F0E80"/>
    <w:rsid w:val="001F166C"/>
    <w:rsid w:val="001F16AA"/>
    <w:rsid w:val="001F16AF"/>
    <w:rsid w:val="001F1B71"/>
    <w:rsid w:val="001F1D7B"/>
    <w:rsid w:val="001F1F65"/>
    <w:rsid w:val="001F2267"/>
    <w:rsid w:val="001F2598"/>
    <w:rsid w:val="001F261E"/>
    <w:rsid w:val="001F2701"/>
    <w:rsid w:val="001F2727"/>
    <w:rsid w:val="001F2864"/>
    <w:rsid w:val="001F2B99"/>
    <w:rsid w:val="001F324E"/>
    <w:rsid w:val="001F356A"/>
    <w:rsid w:val="001F35D2"/>
    <w:rsid w:val="001F3684"/>
    <w:rsid w:val="001F3754"/>
    <w:rsid w:val="001F3804"/>
    <w:rsid w:val="001F3A5C"/>
    <w:rsid w:val="001F3DDC"/>
    <w:rsid w:val="001F4660"/>
    <w:rsid w:val="001F5335"/>
    <w:rsid w:val="001F55E8"/>
    <w:rsid w:val="001F59AC"/>
    <w:rsid w:val="001F59B5"/>
    <w:rsid w:val="001F5BDA"/>
    <w:rsid w:val="001F5CCB"/>
    <w:rsid w:val="001F5EED"/>
    <w:rsid w:val="001F604F"/>
    <w:rsid w:val="001F6328"/>
    <w:rsid w:val="001F6511"/>
    <w:rsid w:val="001F670D"/>
    <w:rsid w:val="001F6724"/>
    <w:rsid w:val="001F6CDF"/>
    <w:rsid w:val="001F724D"/>
    <w:rsid w:val="001F78A4"/>
    <w:rsid w:val="001F7C37"/>
    <w:rsid w:val="00200042"/>
    <w:rsid w:val="0020076E"/>
    <w:rsid w:val="00200AB2"/>
    <w:rsid w:val="00201408"/>
    <w:rsid w:val="00201868"/>
    <w:rsid w:val="002018FC"/>
    <w:rsid w:val="00201A42"/>
    <w:rsid w:val="00201A7A"/>
    <w:rsid w:val="00201B0C"/>
    <w:rsid w:val="00201D12"/>
    <w:rsid w:val="00202318"/>
    <w:rsid w:val="00202474"/>
    <w:rsid w:val="0020255A"/>
    <w:rsid w:val="002026CE"/>
    <w:rsid w:val="00202788"/>
    <w:rsid w:val="00202796"/>
    <w:rsid w:val="0020294E"/>
    <w:rsid w:val="00202FE4"/>
    <w:rsid w:val="00203118"/>
    <w:rsid w:val="002036A0"/>
    <w:rsid w:val="00203C94"/>
    <w:rsid w:val="00203F08"/>
    <w:rsid w:val="002043B5"/>
    <w:rsid w:val="002049D7"/>
    <w:rsid w:val="00204B63"/>
    <w:rsid w:val="0020525F"/>
    <w:rsid w:val="00205564"/>
    <w:rsid w:val="00205629"/>
    <w:rsid w:val="00205985"/>
    <w:rsid w:val="00205B6B"/>
    <w:rsid w:val="00205C89"/>
    <w:rsid w:val="00205D9D"/>
    <w:rsid w:val="00205DC0"/>
    <w:rsid w:val="00205FB4"/>
    <w:rsid w:val="00206204"/>
    <w:rsid w:val="00206475"/>
    <w:rsid w:val="00206621"/>
    <w:rsid w:val="0020666F"/>
    <w:rsid w:val="0020669A"/>
    <w:rsid w:val="00206966"/>
    <w:rsid w:val="00206A94"/>
    <w:rsid w:val="00206E2C"/>
    <w:rsid w:val="00206ECB"/>
    <w:rsid w:val="002071C5"/>
    <w:rsid w:val="00207376"/>
    <w:rsid w:val="002078CA"/>
    <w:rsid w:val="0021014A"/>
    <w:rsid w:val="00210976"/>
    <w:rsid w:val="002109A0"/>
    <w:rsid w:val="00210A56"/>
    <w:rsid w:val="00210BAD"/>
    <w:rsid w:val="00210ECC"/>
    <w:rsid w:val="00210FA1"/>
    <w:rsid w:val="00211041"/>
    <w:rsid w:val="002110A3"/>
    <w:rsid w:val="002113A3"/>
    <w:rsid w:val="00211435"/>
    <w:rsid w:val="00211544"/>
    <w:rsid w:val="00211984"/>
    <w:rsid w:val="002119E2"/>
    <w:rsid w:val="00211CC9"/>
    <w:rsid w:val="00211E1C"/>
    <w:rsid w:val="002122FB"/>
    <w:rsid w:val="00212483"/>
    <w:rsid w:val="00212617"/>
    <w:rsid w:val="00212D92"/>
    <w:rsid w:val="002130BA"/>
    <w:rsid w:val="0021312F"/>
    <w:rsid w:val="0021317C"/>
    <w:rsid w:val="002132F6"/>
    <w:rsid w:val="00213367"/>
    <w:rsid w:val="0021353F"/>
    <w:rsid w:val="002137F5"/>
    <w:rsid w:val="00213A32"/>
    <w:rsid w:val="00213AA2"/>
    <w:rsid w:val="00213BB1"/>
    <w:rsid w:val="00213BC4"/>
    <w:rsid w:val="00213D6C"/>
    <w:rsid w:val="002141E0"/>
    <w:rsid w:val="002145A3"/>
    <w:rsid w:val="00214AAC"/>
    <w:rsid w:val="00214FE7"/>
    <w:rsid w:val="002154AF"/>
    <w:rsid w:val="002155D9"/>
    <w:rsid w:val="002155E7"/>
    <w:rsid w:val="002157CE"/>
    <w:rsid w:val="002158D2"/>
    <w:rsid w:val="002158E2"/>
    <w:rsid w:val="002158EF"/>
    <w:rsid w:val="00215F84"/>
    <w:rsid w:val="00216056"/>
    <w:rsid w:val="0021646A"/>
    <w:rsid w:val="00216D2F"/>
    <w:rsid w:val="00216E5B"/>
    <w:rsid w:val="002173AF"/>
    <w:rsid w:val="00217570"/>
    <w:rsid w:val="002175BC"/>
    <w:rsid w:val="002175E0"/>
    <w:rsid w:val="002179E0"/>
    <w:rsid w:val="00217C68"/>
    <w:rsid w:val="00217F2D"/>
    <w:rsid w:val="002204CA"/>
    <w:rsid w:val="00220C00"/>
    <w:rsid w:val="0022119E"/>
    <w:rsid w:val="00221272"/>
    <w:rsid w:val="0022146A"/>
    <w:rsid w:val="00221609"/>
    <w:rsid w:val="002218A2"/>
    <w:rsid w:val="00221F48"/>
    <w:rsid w:val="002222DD"/>
    <w:rsid w:val="0022238E"/>
    <w:rsid w:val="00222472"/>
    <w:rsid w:val="00222595"/>
    <w:rsid w:val="002226C4"/>
    <w:rsid w:val="0022298F"/>
    <w:rsid w:val="00222A91"/>
    <w:rsid w:val="00222EA2"/>
    <w:rsid w:val="00223198"/>
    <w:rsid w:val="00223725"/>
    <w:rsid w:val="00223AE3"/>
    <w:rsid w:val="00223C38"/>
    <w:rsid w:val="00224092"/>
    <w:rsid w:val="002240AC"/>
    <w:rsid w:val="002240D2"/>
    <w:rsid w:val="0022420B"/>
    <w:rsid w:val="00224265"/>
    <w:rsid w:val="0022427B"/>
    <w:rsid w:val="0022431B"/>
    <w:rsid w:val="002244C9"/>
    <w:rsid w:val="002244F5"/>
    <w:rsid w:val="00224B2F"/>
    <w:rsid w:val="00224BC6"/>
    <w:rsid w:val="00224C12"/>
    <w:rsid w:val="00224ED5"/>
    <w:rsid w:val="0022527F"/>
    <w:rsid w:val="00225741"/>
    <w:rsid w:val="00225A21"/>
    <w:rsid w:val="00226138"/>
    <w:rsid w:val="0022658B"/>
    <w:rsid w:val="002265B4"/>
    <w:rsid w:val="00226698"/>
    <w:rsid w:val="00227227"/>
    <w:rsid w:val="002279DE"/>
    <w:rsid w:val="00227CDA"/>
    <w:rsid w:val="00227D89"/>
    <w:rsid w:val="00227E7F"/>
    <w:rsid w:val="002300FF"/>
    <w:rsid w:val="00230835"/>
    <w:rsid w:val="00230D7E"/>
    <w:rsid w:val="00230F38"/>
    <w:rsid w:val="002314FE"/>
    <w:rsid w:val="00231722"/>
    <w:rsid w:val="002317CF"/>
    <w:rsid w:val="00231E05"/>
    <w:rsid w:val="00232076"/>
    <w:rsid w:val="002324E4"/>
    <w:rsid w:val="0023253E"/>
    <w:rsid w:val="00232720"/>
    <w:rsid w:val="00232870"/>
    <w:rsid w:val="0023298B"/>
    <w:rsid w:val="00232AAD"/>
    <w:rsid w:val="00233D1D"/>
    <w:rsid w:val="002345CB"/>
    <w:rsid w:val="00234A68"/>
    <w:rsid w:val="00234F50"/>
    <w:rsid w:val="00235050"/>
    <w:rsid w:val="002352F0"/>
    <w:rsid w:val="00235703"/>
    <w:rsid w:val="002357D0"/>
    <w:rsid w:val="00235BBA"/>
    <w:rsid w:val="00235DCE"/>
    <w:rsid w:val="00236848"/>
    <w:rsid w:val="00236B5B"/>
    <w:rsid w:val="00236CD3"/>
    <w:rsid w:val="0023771B"/>
    <w:rsid w:val="00237774"/>
    <w:rsid w:val="002379F2"/>
    <w:rsid w:val="00237A44"/>
    <w:rsid w:val="00237B6D"/>
    <w:rsid w:val="00237E86"/>
    <w:rsid w:val="00237F48"/>
    <w:rsid w:val="0024052C"/>
    <w:rsid w:val="00240C52"/>
    <w:rsid w:val="002410CA"/>
    <w:rsid w:val="00241975"/>
    <w:rsid w:val="00242039"/>
    <w:rsid w:val="0024211C"/>
    <w:rsid w:val="00242572"/>
    <w:rsid w:val="002425C6"/>
    <w:rsid w:val="00242657"/>
    <w:rsid w:val="0024269A"/>
    <w:rsid w:val="0024277E"/>
    <w:rsid w:val="002427B3"/>
    <w:rsid w:val="00242805"/>
    <w:rsid w:val="00242A27"/>
    <w:rsid w:val="00242A77"/>
    <w:rsid w:val="00242C0D"/>
    <w:rsid w:val="00243040"/>
    <w:rsid w:val="00243B26"/>
    <w:rsid w:val="00243F3E"/>
    <w:rsid w:val="002440B3"/>
    <w:rsid w:val="00244258"/>
    <w:rsid w:val="002442FE"/>
    <w:rsid w:val="0024481E"/>
    <w:rsid w:val="0024487D"/>
    <w:rsid w:val="002448E1"/>
    <w:rsid w:val="00244A7B"/>
    <w:rsid w:val="00244B23"/>
    <w:rsid w:val="00244E15"/>
    <w:rsid w:val="00245171"/>
    <w:rsid w:val="00245445"/>
    <w:rsid w:val="00245B3D"/>
    <w:rsid w:val="00245BD2"/>
    <w:rsid w:val="00245C90"/>
    <w:rsid w:val="00245FB4"/>
    <w:rsid w:val="0024623F"/>
    <w:rsid w:val="002462F8"/>
    <w:rsid w:val="00246370"/>
    <w:rsid w:val="002465A6"/>
    <w:rsid w:val="002465AF"/>
    <w:rsid w:val="002467B9"/>
    <w:rsid w:val="002467C8"/>
    <w:rsid w:val="0024680E"/>
    <w:rsid w:val="00246D14"/>
    <w:rsid w:val="00246DB5"/>
    <w:rsid w:val="002473A6"/>
    <w:rsid w:val="0024796B"/>
    <w:rsid w:val="00247CB8"/>
    <w:rsid w:val="002504EC"/>
    <w:rsid w:val="00250931"/>
    <w:rsid w:val="00250BC8"/>
    <w:rsid w:val="00250DA0"/>
    <w:rsid w:val="00250E8F"/>
    <w:rsid w:val="00251D71"/>
    <w:rsid w:val="00251EE4"/>
    <w:rsid w:val="00251EEB"/>
    <w:rsid w:val="00252348"/>
    <w:rsid w:val="00252B4C"/>
    <w:rsid w:val="00252F4A"/>
    <w:rsid w:val="00252F5A"/>
    <w:rsid w:val="002531FD"/>
    <w:rsid w:val="0025321C"/>
    <w:rsid w:val="002532CA"/>
    <w:rsid w:val="0025339D"/>
    <w:rsid w:val="00253439"/>
    <w:rsid w:val="00253546"/>
    <w:rsid w:val="00253A94"/>
    <w:rsid w:val="00253AAC"/>
    <w:rsid w:val="00253CAF"/>
    <w:rsid w:val="002540F2"/>
    <w:rsid w:val="00254359"/>
    <w:rsid w:val="00254800"/>
    <w:rsid w:val="002548F5"/>
    <w:rsid w:val="00255162"/>
    <w:rsid w:val="002552DA"/>
    <w:rsid w:val="002555BB"/>
    <w:rsid w:val="00255945"/>
    <w:rsid w:val="0025689C"/>
    <w:rsid w:val="002568D8"/>
    <w:rsid w:val="00256CD4"/>
    <w:rsid w:val="00256D5C"/>
    <w:rsid w:val="0025747A"/>
    <w:rsid w:val="00257588"/>
    <w:rsid w:val="00257785"/>
    <w:rsid w:val="00260567"/>
    <w:rsid w:val="002607F2"/>
    <w:rsid w:val="002609AE"/>
    <w:rsid w:val="002609FC"/>
    <w:rsid w:val="00260B47"/>
    <w:rsid w:val="00260E36"/>
    <w:rsid w:val="00260EC4"/>
    <w:rsid w:val="00260F28"/>
    <w:rsid w:val="00260F79"/>
    <w:rsid w:val="00261720"/>
    <w:rsid w:val="00261F38"/>
    <w:rsid w:val="002623EB"/>
    <w:rsid w:val="0026243C"/>
    <w:rsid w:val="00263856"/>
    <w:rsid w:val="00263B20"/>
    <w:rsid w:val="00263B91"/>
    <w:rsid w:val="00263C36"/>
    <w:rsid w:val="00263EF6"/>
    <w:rsid w:val="00264355"/>
    <w:rsid w:val="00264468"/>
    <w:rsid w:val="00264783"/>
    <w:rsid w:val="0026482A"/>
    <w:rsid w:val="00264C0E"/>
    <w:rsid w:val="00264F95"/>
    <w:rsid w:val="002650E5"/>
    <w:rsid w:val="002657DB"/>
    <w:rsid w:val="00265954"/>
    <w:rsid w:val="002664E1"/>
    <w:rsid w:val="0026665E"/>
    <w:rsid w:val="00266763"/>
    <w:rsid w:val="00266C22"/>
    <w:rsid w:val="00266CCF"/>
    <w:rsid w:val="00266D52"/>
    <w:rsid w:val="00267097"/>
    <w:rsid w:val="00267746"/>
    <w:rsid w:val="00267825"/>
    <w:rsid w:val="00267A69"/>
    <w:rsid w:val="00267C07"/>
    <w:rsid w:val="00267D0E"/>
    <w:rsid w:val="0027003D"/>
    <w:rsid w:val="00270239"/>
    <w:rsid w:val="0027065F"/>
    <w:rsid w:val="0027074D"/>
    <w:rsid w:val="002707BB"/>
    <w:rsid w:val="00270B17"/>
    <w:rsid w:val="00270B37"/>
    <w:rsid w:val="0027102D"/>
    <w:rsid w:val="002712BB"/>
    <w:rsid w:val="00271598"/>
    <w:rsid w:val="00271636"/>
    <w:rsid w:val="00271EDB"/>
    <w:rsid w:val="00272263"/>
    <w:rsid w:val="0027229F"/>
    <w:rsid w:val="002723A5"/>
    <w:rsid w:val="002727C5"/>
    <w:rsid w:val="002728EA"/>
    <w:rsid w:val="00272992"/>
    <w:rsid w:val="00272D2A"/>
    <w:rsid w:val="00272D40"/>
    <w:rsid w:val="00272D94"/>
    <w:rsid w:val="00272ECC"/>
    <w:rsid w:val="002733A5"/>
    <w:rsid w:val="00273575"/>
    <w:rsid w:val="00273939"/>
    <w:rsid w:val="00273B04"/>
    <w:rsid w:val="00273C63"/>
    <w:rsid w:val="00274112"/>
    <w:rsid w:val="0027418C"/>
    <w:rsid w:val="002748EB"/>
    <w:rsid w:val="00274B8B"/>
    <w:rsid w:val="00274FB3"/>
    <w:rsid w:val="0027518F"/>
    <w:rsid w:val="002753BF"/>
    <w:rsid w:val="002755B4"/>
    <w:rsid w:val="0027617E"/>
    <w:rsid w:val="00276190"/>
    <w:rsid w:val="00276298"/>
    <w:rsid w:val="002764B5"/>
    <w:rsid w:val="0027650D"/>
    <w:rsid w:val="00276859"/>
    <w:rsid w:val="00276D21"/>
    <w:rsid w:val="00277292"/>
    <w:rsid w:val="0027752D"/>
    <w:rsid w:val="0027770F"/>
    <w:rsid w:val="00280074"/>
    <w:rsid w:val="00280089"/>
    <w:rsid w:val="00280201"/>
    <w:rsid w:val="00280807"/>
    <w:rsid w:val="0028082E"/>
    <w:rsid w:val="00280C2A"/>
    <w:rsid w:val="00280F6B"/>
    <w:rsid w:val="002810BB"/>
    <w:rsid w:val="002814A4"/>
    <w:rsid w:val="00281878"/>
    <w:rsid w:val="00281B9D"/>
    <w:rsid w:val="00281D8E"/>
    <w:rsid w:val="00281DA2"/>
    <w:rsid w:val="00281EED"/>
    <w:rsid w:val="002822F4"/>
    <w:rsid w:val="00282568"/>
    <w:rsid w:val="00282A4B"/>
    <w:rsid w:val="00282A9E"/>
    <w:rsid w:val="00283252"/>
    <w:rsid w:val="00283500"/>
    <w:rsid w:val="002840E5"/>
    <w:rsid w:val="002840FF"/>
    <w:rsid w:val="0028427C"/>
    <w:rsid w:val="002848D8"/>
    <w:rsid w:val="002853E5"/>
    <w:rsid w:val="00285890"/>
    <w:rsid w:val="002861C8"/>
    <w:rsid w:val="0028649C"/>
    <w:rsid w:val="0028657B"/>
    <w:rsid w:val="002865FD"/>
    <w:rsid w:val="0028673D"/>
    <w:rsid w:val="00286B6C"/>
    <w:rsid w:val="00286CC1"/>
    <w:rsid w:val="00286E36"/>
    <w:rsid w:val="00286FD0"/>
    <w:rsid w:val="00286FFB"/>
    <w:rsid w:val="00287091"/>
    <w:rsid w:val="0028731C"/>
    <w:rsid w:val="002879C4"/>
    <w:rsid w:val="00287D02"/>
    <w:rsid w:val="00290133"/>
    <w:rsid w:val="0029022A"/>
    <w:rsid w:val="0029060D"/>
    <w:rsid w:val="00290AC6"/>
    <w:rsid w:val="00290ECA"/>
    <w:rsid w:val="0029106D"/>
    <w:rsid w:val="0029110F"/>
    <w:rsid w:val="002915D8"/>
    <w:rsid w:val="00291626"/>
    <w:rsid w:val="00291785"/>
    <w:rsid w:val="002918EF"/>
    <w:rsid w:val="00291945"/>
    <w:rsid w:val="00291AE0"/>
    <w:rsid w:val="00291DC0"/>
    <w:rsid w:val="00291FAC"/>
    <w:rsid w:val="002922A5"/>
    <w:rsid w:val="0029258E"/>
    <w:rsid w:val="002927D4"/>
    <w:rsid w:val="00292989"/>
    <w:rsid w:val="00292EEA"/>
    <w:rsid w:val="00292F6E"/>
    <w:rsid w:val="00293242"/>
    <w:rsid w:val="002932E2"/>
    <w:rsid w:val="00293642"/>
    <w:rsid w:val="0029395A"/>
    <w:rsid w:val="0029398E"/>
    <w:rsid w:val="002939D7"/>
    <w:rsid w:val="00293A0D"/>
    <w:rsid w:val="00293C18"/>
    <w:rsid w:val="00293FF0"/>
    <w:rsid w:val="00294195"/>
    <w:rsid w:val="00294483"/>
    <w:rsid w:val="002944E3"/>
    <w:rsid w:val="00294560"/>
    <w:rsid w:val="0029464F"/>
    <w:rsid w:val="0029472E"/>
    <w:rsid w:val="00294CED"/>
    <w:rsid w:val="00294DE7"/>
    <w:rsid w:val="00294EC1"/>
    <w:rsid w:val="00294F50"/>
    <w:rsid w:val="0029517F"/>
    <w:rsid w:val="0029529F"/>
    <w:rsid w:val="00295744"/>
    <w:rsid w:val="00296231"/>
    <w:rsid w:val="0029666A"/>
    <w:rsid w:val="002966DA"/>
    <w:rsid w:val="00296B11"/>
    <w:rsid w:val="00296C4E"/>
    <w:rsid w:val="00296FB0"/>
    <w:rsid w:val="00297160"/>
    <w:rsid w:val="002972DB"/>
    <w:rsid w:val="002975B0"/>
    <w:rsid w:val="00297B2B"/>
    <w:rsid w:val="00297D08"/>
    <w:rsid w:val="002A00DC"/>
    <w:rsid w:val="002A00EA"/>
    <w:rsid w:val="002A03AB"/>
    <w:rsid w:val="002A054A"/>
    <w:rsid w:val="002A0EAD"/>
    <w:rsid w:val="002A1016"/>
    <w:rsid w:val="002A118A"/>
    <w:rsid w:val="002A11C2"/>
    <w:rsid w:val="002A1235"/>
    <w:rsid w:val="002A1681"/>
    <w:rsid w:val="002A19C1"/>
    <w:rsid w:val="002A1EB9"/>
    <w:rsid w:val="002A1F5E"/>
    <w:rsid w:val="002A1FDF"/>
    <w:rsid w:val="002A20A6"/>
    <w:rsid w:val="002A21BD"/>
    <w:rsid w:val="002A21EE"/>
    <w:rsid w:val="002A21F5"/>
    <w:rsid w:val="002A2E50"/>
    <w:rsid w:val="002A2F51"/>
    <w:rsid w:val="002A350F"/>
    <w:rsid w:val="002A3617"/>
    <w:rsid w:val="002A368B"/>
    <w:rsid w:val="002A378C"/>
    <w:rsid w:val="002A3AA9"/>
    <w:rsid w:val="002A410A"/>
    <w:rsid w:val="002A416A"/>
    <w:rsid w:val="002A4633"/>
    <w:rsid w:val="002A4683"/>
    <w:rsid w:val="002A470E"/>
    <w:rsid w:val="002A4909"/>
    <w:rsid w:val="002A4F28"/>
    <w:rsid w:val="002A52ED"/>
    <w:rsid w:val="002A5606"/>
    <w:rsid w:val="002A575A"/>
    <w:rsid w:val="002A59EE"/>
    <w:rsid w:val="002A5FBC"/>
    <w:rsid w:val="002A6174"/>
    <w:rsid w:val="002A64F5"/>
    <w:rsid w:val="002A64F9"/>
    <w:rsid w:val="002A653D"/>
    <w:rsid w:val="002A6573"/>
    <w:rsid w:val="002A65DE"/>
    <w:rsid w:val="002A67B1"/>
    <w:rsid w:val="002A6B4B"/>
    <w:rsid w:val="002A7294"/>
    <w:rsid w:val="002A7542"/>
    <w:rsid w:val="002A7624"/>
    <w:rsid w:val="002A79A3"/>
    <w:rsid w:val="002A7DA6"/>
    <w:rsid w:val="002A7FB9"/>
    <w:rsid w:val="002B01DD"/>
    <w:rsid w:val="002B0273"/>
    <w:rsid w:val="002B0733"/>
    <w:rsid w:val="002B0790"/>
    <w:rsid w:val="002B0CAA"/>
    <w:rsid w:val="002B0DD6"/>
    <w:rsid w:val="002B0F61"/>
    <w:rsid w:val="002B1041"/>
    <w:rsid w:val="002B1101"/>
    <w:rsid w:val="002B11DC"/>
    <w:rsid w:val="002B1363"/>
    <w:rsid w:val="002B1470"/>
    <w:rsid w:val="002B1489"/>
    <w:rsid w:val="002B1522"/>
    <w:rsid w:val="002B1B29"/>
    <w:rsid w:val="002B1E1A"/>
    <w:rsid w:val="002B1F3E"/>
    <w:rsid w:val="002B2236"/>
    <w:rsid w:val="002B22A5"/>
    <w:rsid w:val="002B2401"/>
    <w:rsid w:val="002B26A5"/>
    <w:rsid w:val="002B277D"/>
    <w:rsid w:val="002B2F7A"/>
    <w:rsid w:val="002B30DB"/>
    <w:rsid w:val="002B330B"/>
    <w:rsid w:val="002B3313"/>
    <w:rsid w:val="002B365C"/>
    <w:rsid w:val="002B3A7C"/>
    <w:rsid w:val="002B3B3E"/>
    <w:rsid w:val="002B3D79"/>
    <w:rsid w:val="002B3F84"/>
    <w:rsid w:val="002B42AB"/>
    <w:rsid w:val="002B42E3"/>
    <w:rsid w:val="002B45D7"/>
    <w:rsid w:val="002B4813"/>
    <w:rsid w:val="002B4E20"/>
    <w:rsid w:val="002B512D"/>
    <w:rsid w:val="002B51E1"/>
    <w:rsid w:val="002B5320"/>
    <w:rsid w:val="002B538F"/>
    <w:rsid w:val="002B54CC"/>
    <w:rsid w:val="002B59CE"/>
    <w:rsid w:val="002B5A5D"/>
    <w:rsid w:val="002B5BD1"/>
    <w:rsid w:val="002B5F73"/>
    <w:rsid w:val="002B6160"/>
    <w:rsid w:val="002B6283"/>
    <w:rsid w:val="002B658D"/>
    <w:rsid w:val="002B67F0"/>
    <w:rsid w:val="002B6801"/>
    <w:rsid w:val="002B6A1A"/>
    <w:rsid w:val="002B747A"/>
    <w:rsid w:val="002B7882"/>
    <w:rsid w:val="002B794A"/>
    <w:rsid w:val="002B7A4C"/>
    <w:rsid w:val="002B7AAB"/>
    <w:rsid w:val="002B7ACD"/>
    <w:rsid w:val="002B7EF9"/>
    <w:rsid w:val="002C0162"/>
    <w:rsid w:val="002C026D"/>
    <w:rsid w:val="002C07F9"/>
    <w:rsid w:val="002C0C84"/>
    <w:rsid w:val="002C0F92"/>
    <w:rsid w:val="002C0FB8"/>
    <w:rsid w:val="002C11FA"/>
    <w:rsid w:val="002C13EA"/>
    <w:rsid w:val="002C1454"/>
    <w:rsid w:val="002C17F0"/>
    <w:rsid w:val="002C1C8B"/>
    <w:rsid w:val="002C2C55"/>
    <w:rsid w:val="002C2DA9"/>
    <w:rsid w:val="002C30DE"/>
    <w:rsid w:val="002C3682"/>
    <w:rsid w:val="002C371E"/>
    <w:rsid w:val="002C42EF"/>
    <w:rsid w:val="002C45C2"/>
    <w:rsid w:val="002C4B4D"/>
    <w:rsid w:val="002C4B7E"/>
    <w:rsid w:val="002C5B88"/>
    <w:rsid w:val="002C5F12"/>
    <w:rsid w:val="002C6200"/>
    <w:rsid w:val="002C622D"/>
    <w:rsid w:val="002C6234"/>
    <w:rsid w:val="002C6424"/>
    <w:rsid w:val="002C64DD"/>
    <w:rsid w:val="002C6852"/>
    <w:rsid w:val="002C6CEB"/>
    <w:rsid w:val="002C6F65"/>
    <w:rsid w:val="002C70F6"/>
    <w:rsid w:val="002C728F"/>
    <w:rsid w:val="002C7454"/>
    <w:rsid w:val="002C78FF"/>
    <w:rsid w:val="002C79A5"/>
    <w:rsid w:val="002C7AD8"/>
    <w:rsid w:val="002D009A"/>
    <w:rsid w:val="002D0348"/>
    <w:rsid w:val="002D0C0F"/>
    <w:rsid w:val="002D1062"/>
    <w:rsid w:val="002D1231"/>
    <w:rsid w:val="002D1512"/>
    <w:rsid w:val="002D1E4A"/>
    <w:rsid w:val="002D1F00"/>
    <w:rsid w:val="002D25BB"/>
    <w:rsid w:val="002D26DF"/>
    <w:rsid w:val="002D28F6"/>
    <w:rsid w:val="002D2D98"/>
    <w:rsid w:val="002D30D0"/>
    <w:rsid w:val="002D33F1"/>
    <w:rsid w:val="002D49B6"/>
    <w:rsid w:val="002D4CF6"/>
    <w:rsid w:val="002D4E2D"/>
    <w:rsid w:val="002D52F2"/>
    <w:rsid w:val="002D5499"/>
    <w:rsid w:val="002D60C4"/>
    <w:rsid w:val="002D6354"/>
    <w:rsid w:val="002D65A8"/>
    <w:rsid w:val="002D6602"/>
    <w:rsid w:val="002D66E0"/>
    <w:rsid w:val="002D6C4A"/>
    <w:rsid w:val="002D6F4B"/>
    <w:rsid w:val="002D6FFF"/>
    <w:rsid w:val="002D7038"/>
    <w:rsid w:val="002D7317"/>
    <w:rsid w:val="002D73CA"/>
    <w:rsid w:val="002D78EB"/>
    <w:rsid w:val="002D7998"/>
    <w:rsid w:val="002D7D83"/>
    <w:rsid w:val="002D7D99"/>
    <w:rsid w:val="002D7FF7"/>
    <w:rsid w:val="002E0064"/>
    <w:rsid w:val="002E009A"/>
    <w:rsid w:val="002E0203"/>
    <w:rsid w:val="002E0621"/>
    <w:rsid w:val="002E0709"/>
    <w:rsid w:val="002E0A25"/>
    <w:rsid w:val="002E0D2D"/>
    <w:rsid w:val="002E0EEA"/>
    <w:rsid w:val="002E1535"/>
    <w:rsid w:val="002E170E"/>
    <w:rsid w:val="002E1B8B"/>
    <w:rsid w:val="002E1C04"/>
    <w:rsid w:val="002E20B0"/>
    <w:rsid w:val="002E2294"/>
    <w:rsid w:val="002E23AB"/>
    <w:rsid w:val="002E23AF"/>
    <w:rsid w:val="002E24FE"/>
    <w:rsid w:val="002E2512"/>
    <w:rsid w:val="002E26B2"/>
    <w:rsid w:val="002E2959"/>
    <w:rsid w:val="002E2A3B"/>
    <w:rsid w:val="002E2C37"/>
    <w:rsid w:val="002E2F0F"/>
    <w:rsid w:val="002E36B7"/>
    <w:rsid w:val="002E372A"/>
    <w:rsid w:val="002E3B6C"/>
    <w:rsid w:val="002E3BB4"/>
    <w:rsid w:val="002E3C1B"/>
    <w:rsid w:val="002E3D3C"/>
    <w:rsid w:val="002E4022"/>
    <w:rsid w:val="002E4030"/>
    <w:rsid w:val="002E421A"/>
    <w:rsid w:val="002E42DB"/>
    <w:rsid w:val="002E43B7"/>
    <w:rsid w:val="002E4491"/>
    <w:rsid w:val="002E45A5"/>
    <w:rsid w:val="002E49EB"/>
    <w:rsid w:val="002E4A51"/>
    <w:rsid w:val="002E4D4B"/>
    <w:rsid w:val="002E4DB7"/>
    <w:rsid w:val="002E548A"/>
    <w:rsid w:val="002E54DF"/>
    <w:rsid w:val="002E5758"/>
    <w:rsid w:val="002E5B14"/>
    <w:rsid w:val="002E5CB0"/>
    <w:rsid w:val="002E6345"/>
    <w:rsid w:val="002E6ADD"/>
    <w:rsid w:val="002E6B66"/>
    <w:rsid w:val="002E6E1C"/>
    <w:rsid w:val="002E7358"/>
    <w:rsid w:val="002E77FE"/>
    <w:rsid w:val="002E7983"/>
    <w:rsid w:val="002E7DDF"/>
    <w:rsid w:val="002F038F"/>
    <w:rsid w:val="002F083E"/>
    <w:rsid w:val="002F095C"/>
    <w:rsid w:val="002F0D6B"/>
    <w:rsid w:val="002F10AC"/>
    <w:rsid w:val="002F10CC"/>
    <w:rsid w:val="002F13D6"/>
    <w:rsid w:val="002F158D"/>
    <w:rsid w:val="002F16BF"/>
    <w:rsid w:val="002F17D6"/>
    <w:rsid w:val="002F1C5D"/>
    <w:rsid w:val="002F263E"/>
    <w:rsid w:val="002F27F6"/>
    <w:rsid w:val="002F2898"/>
    <w:rsid w:val="002F3507"/>
    <w:rsid w:val="002F367A"/>
    <w:rsid w:val="002F3792"/>
    <w:rsid w:val="002F3C37"/>
    <w:rsid w:val="002F3DC8"/>
    <w:rsid w:val="002F42B7"/>
    <w:rsid w:val="002F431A"/>
    <w:rsid w:val="002F4498"/>
    <w:rsid w:val="002F468D"/>
    <w:rsid w:val="002F469E"/>
    <w:rsid w:val="002F4A81"/>
    <w:rsid w:val="002F4DA9"/>
    <w:rsid w:val="002F5402"/>
    <w:rsid w:val="002F5450"/>
    <w:rsid w:val="002F55A6"/>
    <w:rsid w:val="002F57B4"/>
    <w:rsid w:val="002F5886"/>
    <w:rsid w:val="002F5899"/>
    <w:rsid w:val="002F58BC"/>
    <w:rsid w:val="002F59DD"/>
    <w:rsid w:val="002F5C17"/>
    <w:rsid w:val="002F5D4A"/>
    <w:rsid w:val="002F612B"/>
    <w:rsid w:val="002F61C4"/>
    <w:rsid w:val="002F6263"/>
    <w:rsid w:val="002F6277"/>
    <w:rsid w:val="002F6465"/>
    <w:rsid w:val="002F649C"/>
    <w:rsid w:val="002F64E8"/>
    <w:rsid w:val="002F65F1"/>
    <w:rsid w:val="002F6C6A"/>
    <w:rsid w:val="002F6FF1"/>
    <w:rsid w:val="002F713C"/>
    <w:rsid w:val="002F7168"/>
    <w:rsid w:val="002F763A"/>
    <w:rsid w:val="002F783C"/>
    <w:rsid w:val="002F7E66"/>
    <w:rsid w:val="002F7F35"/>
    <w:rsid w:val="00300310"/>
    <w:rsid w:val="00300349"/>
    <w:rsid w:val="00300617"/>
    <w:rsid w:val="00300681"/>
    <w:rsid w:val="003007FD"/>
    <w:rsid w:val="00300A9B"/>
    <w:rsid w:val="00301009"/>
    <w:rsid w:val="003011D9"/>
    <w:rsid w:val="00301333"/>
    <w:rsid w:val="003017F4"/>
    <w:rsid w:val="00301967"/>
    <w:rsid w:val="0030199C"/>
    <w:rsid w:val="00301AB0"/>
    <w:rsid w:val="00301C33"/>
    <w:rsid w:val="00301E3E"/>
    <w:rsid w:val="00301F17"/>
    <w:rsid w:val="003034B3"/>
    <w:rsid w:val="00303CDA"/>
    <w:rsid w:val="00303E4F"/>
    <w:rsid w:val="00303F8B"/>
    <w:rsid w:val="00304057"/>
    <w:rsid w:val="0030414A"/>
    <w:rsid w:val="00304645"/>
    <w:rsid w:val="00304693"/>
    <w:rsid w:val="00304A49"/>
    <w:rsid w:val="00304FDF"/>
    <w:rsid w:val="003057C6"/>
    <w:rsid w:val="00305B16"/>
    <w:rsid w:val="00305B6D"/>
    <w:rsid w:val="00305BC5"/>
    <w:rsid w:val="00305BD1"/>
    <w:rsid w:val="00305BD7"/>
    <w:rsid w:val="00306359"/>
    <w:rsid w:val="003063CC"/>
    <w:rsid w:val="003065A1"/>
    <w:rsid w:val="003067AD"/>
    <w:rsid w:val="00307584"/>
    <w:rsid w:val="003079B6"/>
    <w:rsid w:val="003102AC"/>
    <w:rsid w:val="00310784"/>
    <w:rsid w:val="00310CB8"/>
    <w:rsid w:val="00310F72"/>
    <w:rsid w:val="00310FE4"/>
    <w:rsid w:val="003110B1"/>
    <w:rsid w:val="00311C8C"/>
    <w:rsid w:val="00311D94"/>
    <w:rsid w:val="00311F30"/>
    <w:rsid w:val="00312285"/>
    <w:rsid w:val="003129E3"/>
    <w:rsid w:val="00312B50"/>
    <w:rsid w:val="00312E34"/>
    <w:rsid w:val="00312E68"/>
    <w:rsid w:val="0031307B"/>
    <w:rsid w:val="0031429E"/>
    <w:rsid w:val="0031494B"/>
    <w:rsid w:val="00315143"/>
    <w:rsid w:val="003154D7"/>
    <w:rsid w:val="00315DD5"/>
    <w:rsid w:val="00315E4D"/>
    <w:rsid w:val="00315F50"/>
    <w:rsid w:val="00316304"/>
    <w:rsid w:val="003169E1"/>
    <w:rsid w:val="00316D5B"/>
    <w:rsid w:val="00316EB5"/>
    <w:rsid w:val="0031700A"/>
    <w:rsid w:val="003171CD"/>
    <w:rsid w:val="003171E1"/>
    <w:rsid w:val="0031739A"/>
    <w:rsid w:val="0031740E"/>
    <w:rsid w:val="003177ED"/>
    <w:rsid w:val="00317AC4"/>
    <w:rsid w:val="00317E5F"/>
    <w:rsid w:val="003204A0"/>
    <w:rsid w:val="0032056D"/>
    <w:rsid w:val="00320641"/>
    <w:rsid w:val="0032067A"/>
    <w:rsid w:val="003209FE"/>
    <w:rsid w:val="00320D78"/>
    <w:rsid w:val="0032107B"/>
    <w:rsid w:val="0032142D"/>
    <w:rsid w:val="003216E4"/>
    <w:rsid w:val="00321717"/>
    <w:rsid w:val="003218B1"/>
    <w:rsid w:val="0032195C"/>
    <w:rsid w:val="003219C5"/>
    <w:rsid w:val="00321C8C"/>
    <w:rsid w:val="00321F80"/>
    <w:rsid w:val="003220AB"/>
    <w:rsid w:val="0032261C"/>
    <w:rsid w:val="0032291D"/>
    <w:rsid w:val="00322F10"/>
    <w:rsid w:val="00322F89"/>
    <w:rsid w:val="00322F90"/>
    <w:rsid w:val="003230B5"/>
    <w:rsid w:val="00323163"/>
    <w:rsid w:val="00323445"/>
    <w:rsid w:val="003237A7"/>
    <w:rsid w:val="00323A11"/>
    <w:rsid w:val="00323ED5"/>
    <w:rsid w:val="003240BE"/>
    <w:rsid w:val="0032430B"/>
    <w:rsid w:val="003244A1"/>
    <w:rsid w:val="00324581"/>
    <w:rsid w:val="00324663"/>
    <w:rsid w:val="00324A24"/>
    <w:rsid w:val="00324A64"/>
    <w:rsid w:val="00324AB3"/>
    <w:rsid w:val="00325020"/>
    <w:rsid w:val="00325893"/>
    <w:rsid w:val="00325EAE"/>
    <w:rsid w:val="00325F20"/>
    <w:rsid w:val="00325FAB"/>
    <w:rsid w:val="0032652B"/>
    <w:rsid w:val="00326542"/>
    <w:rsid w:val="00326921"/>
    <w:rsid w:val="00326B13"/>
    <w:rsid w:val="00326ED8"/>
    <w:rsid w:val="00327103"/>
    <w:rsid w:val="00327282"/>
    <w:rsid w:val="003272E2"/>
    <w:rsid w:val="00327348"/>
    <w:rsid w:val="0032752A"/>
    <w:rsid w:val="003276A5"/>
    <w:rsid w:val="0032795B"/>
    <w:rsid w:val="0032797B"/>
    <w:rsid w:val="00327A21"/>
    <w:rsid w:val="00327CB6"/>
    <w:rsid w:val="00327D78"/>
    <w:rsid w:val="00327DCA"/>
    <w:rsid w:val="00327EFF"/>
    <w:rsid w:val="0033013B"/>
    <w:rsid w:val="003302B1"/>
    <w:rsid w:val="0033038F"/>
    <w:rsid w:val="00330C99"/>
    <w:rsid w:val="00330E66"/>
    <w:rsid w:val="00331462"/>
    <w:rsid w:val="00331817"/>
    <w:rsid w:val="00331AAC"/>
    <w:rsid w:val="00331AB4"/>
    <w:rsid w:val="003321CC"/>
    <w:rsid w:val="0033295E"/>
    <w:rsid w:val="003330BD"/>
    <w:rsid w:val="003333D3"/>
    <w:rsid w:val="003334A2"/>
    <w:rsid w:val="003334D9"/>
    <w:rsid w:val="00333B95"/>
    <w:rsid w:val="00333F63"/>
    <w:rsid w:val="00334061"/>
    <w:rsid w:val="00334587"/>
    <w:rsid w:val="0033458F"/>
    <w:rsid w:val="0033462A"/>
    <w:rsid w:val="00334A6B"/>
    <w:rsid w:val="00334B18"/>
    <w:rsid w:val="00334DC6"/>
    <w:rsid w:val="00334DFA"/>
    <w:rsid w:val="00334E28"/>
    <w:rsid w:val="00334F1B"/>
    <w:rsid w:val="00335312"/>
    <w:rsid w:val="003353F4"/>
    <w:rsid w:val="00335734"/>
    <w:rsid w:val="00335903"/>
    <w:rsid w:val="0033616E"/>
    <w:rsid w:val="0033651F"/>
    <w:rsid w:val="00337125"/>
    <w:rsid w:val="00337500"/>
    <w:rsid w:val="00337D92"/>
    <w:rsid w:val="003400A4"/>
    <w:rsid w:val="0034097F"/>
    <w:rsid w:val="00340AC8"/>
    <w:rsid w:val="00340D18"/>
    <w:rsid w:val="00340EB4"/>
    <w:rsid w:val="0034122C"/>
    <w:rsid w:val="003412C7"/>
    <w:rsid w:val="00341AC8"/>
    <w:rsid w:val="00341CE1"/>
    <w:rsid w:val="00341D45"/>
    <w:rsid w:val="00341DDC"/>
    <w:rsid w:val="00341E34"/>
    <w:rsid w:val="00341E3A"/>
    <w:rsid w:val="003428AB"/>
    <w:rsid w:val="00342916"/>
    <w:rsid w:val="00342F5E"/>
    <w:rsid w:val="0034341B"/>
    <w:rsid w:val="00343468"/>
    <w:rsid w:val="003436E5"/>
    <w:rsid w:val="00343820"/>
    <w:rsid w:val="00343A6B"/>
    <w:rsid w:val="00343C6E"/>
    <w:rsid w:val="003444C1"/>
    <w:rsid w:val="0034467C"/>
    <w:rsid w:val="003447F9"/>
    <w:rsid w:val="00344C3A"/>
    <w:rsid w:val="00344C59"/>
    <w:rsid w:val="00344DAA"/>
    <w:rsid w:val="00344DD0"/>
    <w:rsid w:val="0034580D"/>
    <w:rsid w:val="00345951"/>
    <w:rsid w:val="0034616C"/>
    <w:rsid w:val="003463B9"/>
    <w:rsid w:val="00346B45"/>
    <w:rsid w:val="00347074"/>
    <w:rsid w:val="003471CF"/>
    <w:rsid w:val="003476FE"/>
    <w:rsid w:val="00350633"/>
    <w:rsid w:val="00350777"/>
    <w:rsid w:val="003509B4"/>
    <w:rsid w:val="00350F66"/>
    <w:rsid w:val="00351032"/>
    <w:rsid w:val="003513E8"/>
    <w:rsid w:val="0035144E"/>
    <w:rsid w:val="00351C5B"/>
    <w:rsid w:val="00351DD2"/>
    <w:rsid w:val="00351FAB"/>
    <w:rsid w:val="00352384"/>
    <w:rsid w:val="003523E9"/>
    <w:rsid w:val="00352480"/>
    <w:rsid w:val="00352823"/>
    <w:rsid w:val="00352908"/>
    <w:rsid w:val="00352A96"/>
    <w:rsid w:val="00352C07"/>
    <w:rsid w:val="00352EC7"/>
    <w:rsid w:val="00353112"/>
    <w:rsid w:val="003531BE"/>
    <w:rsid w:val="003532A9"/>
    <w:rsid w:val="00353450"/>
    <w:rsid w:val="00353598"/>
    <w:rsid w:val="00353702"/>
    <w:rsid w:val="00353788"/>
    <w:rsid w:val="0035392B"/>
    <w:rsid w:val="00353B5D"/>
    <w:rsid w:val="00353D5E"/>
    <w:rsid w:val="00354CBE"/>
    <w:rsid w:val="003552D5"/>
    <w:rsid w:val="003554B4"/>
    <w:rsid w:val="00355967"/>
    <w:rsid w:val="00355CC9"/>
    <w:rsid w:val="00355E00"/>
    <w:rsid w:val="00355F7B"/>
    <w:rsid w:val="00355F7D"/>
    <w:rsid w:val="00355F7F"/>
    <w:rsid w:val="00355FC5"/>
    <w:rsid w:val="00356301"/>
    <w:rsid w:val="00356B81"/>
    <w:rsid w:val="00356F9C"/>
    <w:rsid w:val="0035739B"/>
    <w:rsid w:val="003576A0"/>
    <w:rsid w:val="003578CB"/>
    <w:rsid w:val="00357CE1"/>
    <w:rsid w:val="00357E1B"/>
    <w:rsid w:val="00357FAB"/>
    <w:rsid w:val="00360317"/>
    <w:rsid w:val="00360426"/>
    <w:rsid w:val="0036057A"/>
    <w:rsid w:val="00360CDC"/>
    <w:rsid w:val="00360F1C"/>
    <w:rsid w:val="00361154"/>
    <w:rsid w:val="0036169C"/>
    <w:rsid w:val="00361706"/>
    <w:rsid w:val="00361A02"/>
    <w:rsid w:val="00361E11"/>
    <w:rsid w:val="00361F2F"/>
    <w:rsid w:val="00362352"/>
    <w:rsid w:val="003623DA"/>
    <w:rsid w:val="0036281E"/>
    <w:rsid w:val="003628A1"/>
    <w:rsid w:val="00362B2D"/>
    <w:rsid w:val="00362E8C"/>
    <w:rsid w:val="00362FC3"/>
    <w:rsid w:val="00363993"/>
    <w:rsid w:val="00363D77"/>
    <w:rsid w:val="00364223"/>
    <w:rsid w:val="00364248"/>
    <w:rsid w:val="0036446A"/>
    <w:rsid w:val="00364704"/>
    <w:rsid w:val="00364790"/>
    <w:rsid w:val="0036529A"/>
    <w:rsid w:val="003653CC"/>
    <w:rsid w:val="003654AA"/>
    <w:rsid w:val="0036562B"/>
    <w:rsid w:val="00365798"/>
    <w:rsid w:val="00365901"/>
    <w:rsid w:val="00365A18"/>
    <w:rsid w:val="00365BC3"/>
    <w:rsid w:val="00365CED"/>
    <w:rsid w:val="00365F86"/>
    <w:rsid w:val="0036609D"/>
    <w:rsid w:val="003662CC"/>
    <w:rsid w:val="00366E8D"/>
    <w:rsid w:val="0036730D"/>
    <w:rsid w:val="00367692"/>
    <w:rsid w:val="00367809"/>
    <w:rsid w:val="00367F8B"/>
    <w:rsid w:val="0037025A"/>
    <w:rsid w:val="0037073E"/>
    <w:rsid w:val="00370B1E"/>
    <w:rsid w:val="00370C1D"/>
    <w:rsid w:val="00370C9B"/>
    <w:rsid w:val="00370CA3"/>
    <w:rsid w:val="00370D26"/>
    <w:rsid w:val="00370EDC"/>
    <w:rsid w:val="003710E9"/>
    <w:rsid w:val="003713AD"/>
    <w:rsid w:val="003714DA"/>
    <w:rsid w:val="00371AC7"/>
    <w:rsid w:val="00371B21"/>
    <w:rsid w:val="00371C4C"/>
    <w:rsid w:val="00372780"/>
    <w:rsid w:val="0037285B"/>
    <w:rsid w:val="00372881"/>
    <w:rsid w:val="00372A1F"/>
    <w:rsid w:val="00372EC7"/>
    <w:rsid w:val="00372F26"/>
    <w:rsid w:val="00373079"/>
    <w:rsid w:val="0037315F"/>
    <w:rsid w:val="00373181"/>
    <w:rsid w:val="003733A6"/>
    <w:rsid w:val="003734B3"/>
    <w:rsid w:val="003736F6"/>
    <w:rsid w:val="00374383"/>
    <w:rsid w:val="00374417"/>
    <w:rsid w:val="0037447A"/>
    <w:rsid w:val="00374685"/>
    <w:rsid w:val="003746FD"/>
    <w:rsid w:val="00374A0D"/>
    <w:rsid w:val="00374E70"/>
    <w:rsid w:val="003751D6"/>
    <w:rsid w:val="00375BD8"/>
    <w:rsid w:val="00375CED"/>
    <w:rsid w:val="00375D08"/>
    <w:rsid w:val="00376032"/>
    <w:rsid w:val="003762AA"/>
    <w:rsid w:val="00376893"/>
    <w:rsid w:val="00376BDA"/>
    <w:rsid w:val="00376C15"/>
    <w:rsid w:val="00376CAA"/>
    <w:rsid w:val="00376FE0"/>
    <w:rsid w:val="0037717D"/>
    <w:rsid w:val="00377458"/>
    <w:rsid w:val="00377DE0"/>
    <w:rsid w:val="003801C8"/>
    <w:rsid w:val="00380258"/>
    <w:rsid w:val="003803F5"/>
    <w:rsid w:val="00380614"/>
    <w:rsid w:val="003807A4"/>
    <w:rsid w:val="00380BB2"/>
    <w:rsid w:val="00380D90"/>
    <w:rsid w:val="00380D95"/>
    <w:rsid w:val="00381187"/>
    <w:rsid w:val="0038168D"/>
    <w:rsid w:val="0038180E"/>
    <w:rsid w:val="00381B54"/>
    <w:rsid w:val="003823CD"/>
    <w:rsid w:val="00382E1C"/>
    <w:rsid w:val="0038308D"/>
    <w:rsid w:val="0038347A"/>
    <w:rsid w:val="0038366C"/>
    <w:rsid w:val="003840BF"/>
    <w:rsid w:val="003843C3"/>
    <w:rsid w:val="0038442F"/>
    <w:rsid w:val="00384E9A"/>
    <w:rsid w:val="00385739"/>
    <w:rsid w:val="003864EC"/>
    <w:rsid w:val="0038655F"/>
    <w:rsid w:val="0038661B"/>
    <w:rsid w:val="003867AF"/>
    <w:rsid w:val="00386E21"/>
    <w:rsid w:val="0038708E"/>
    <w:rsid w:val="003871FC"/>
    <w:rsid w:val="0038789B"/>
    <w:rsid w:val="00387BA0"/>
    <w:rsid w:val="00387F2E"/>
    <w:rsid w:val="00390107"/>
    <w:rsid w:val="00390188"/>
    <w:rsid w:val="0039041F"/>
    <w:rsid w:val="003908F5"/>
    <w:rsid w:val="00390D95"/>
    <w:rsid w:val="0039102E"/>
    <w:rsid w:val="0039127C"/>
    <w:rsid w:val="00391812"/>
    <w:rsid w:val="00391887"/>
    <w:rsid w:val="003918F2"/>
    <w:rsid w:val="0039190E"/>
    <w:rsid w:val="00391A8E"/>
    <w:rsid w:val="00391D8D"/>
    <w:rsid w:val="00391EA0"/>
    <w:rsid w:val="00392A82"/>
    <w:rsid w:val="0039305C"/>
    <w:rsid w:val="0039351C"/>
    <w:rsid w:val="00393592"/>
    <w:rsid w:val="00393950"/>
    <w:rsid w:val="00393E18"/>
    <w:rsid w:val="0039401A"/>
    <w:rsid w:val="00394423"/>
    <w:rsid w:val="00394524"/>
    <w:rsid w:val="003946FF"/>
    <w:rsid w:val="00395091"/>
    <w:rsid w:val="00395124"/>
    <w:rsid w:val="0039524C"/>
    <w:rsid w:val="00395B85"/>
    <w:rsid w:val="00395C84"/>
    <w:rsid w:val="00395DA3"/>
    <w:rsid w:val="00396161"/>
    <w:rsid w:val="00396344"/>
    <w:rsid w:val="00396408"/>
    <w:rsid w:val="00396495"/>
    <w:rsid w:val="003969BE"/>
    <w:rsid w:val="00396C90"/>
    <w:rsid w:val="00396F59"/>
    <w:rsid w:val="0039755E"/>
    <w:rsid w:val="0039767B"/>
    <w:rsid w:val="00397855"/>
    <w:rsid w:val="003978E7"/>
    <w:rsid w:val="00397AB8"/>
    <w:rsid w:val="00397D79"/>
    <w:rsid w:val="003A0170"/>
    <w:rsid w:val="003A0466"/>
    <w:rsid w:val="003A0620"/>
    <w:rsid w:val="003A0816"/>
    <w:rsid w:val="003A08DD"/>
    <w:rsid w:val="003A1015"/>
    <w:rsid w:val="003A10FC"/>
    <w:rsid w:val="003A1238"/>
    <w:rsid w:val="003A13CD"/>
    <w:rsid w:val="003A1574"/>
    <w:rsid w:val="003A1702"/>
    <w:rsid w:val="003A17E1"/>
    <w:rsid w:val="003A19D3"/>
    <w:rsid w:val="003A1B6B"/>
    <w:rsid w:val="003A237B"/>
    <w:rsid w:val="003A2548"/>
    <w:rsid w:val="003A2703"/>
    <w:rsid w:val="003A282E"/>
    <w:rsid w:val="003A2959"/>
    <w:rsid w:val="003A2BE3"/>
    <w:rsid w:val="003A2C92"/>
    <w:rsid w:val="003A2FA0"/>
    <w:rsid w:val="003A3546"/>
    <w:rsid w:val="003A3658"/>
    <w:rsid w:val="003A39C7"/>
    <w:rsid w:val="003A3B15"/>
    <w:rsid w:val="003A3C88"/>
    <w:rsid w:val="003A3E41"/>
    <w:rsid w:val="003A3F4A"/>
    <w:rsid w:val="003A449E"/>
    <w:rsid w:val="003A4733"/>
    <w:rsid w:val="003A47F4"/>
    <w:rsid w:val="003A4A07"/>
    <w:rsid w:val="003A4B43"/>
    <w:rsid w:val="003A54DE"/>
    <w:rsid w:val="003A5563"/>
    <w:rsid w:val="003A57C7"/>
    <w:rsid w:val="003A5B81"/>
    <w:rsid w:val="003A5BAE"/>
    <w:rsid w:val="003A5C60"/>
    <w:rsid w:val="003A5CDE"/>
    <w:rsid w:val="003A5ECC"/>
    <w:rsid w:val="003A6784"/>
    <w:rsid w:val="003A6D1A"/>
    <w:rsid w:val="003A7236"/>
    <w:rsid w:val="003A725B"/>
    <w:rsid w:val="003A7272"/>
    <w:rsid w:val="003A77B1"/>
    <w:rsid w:val="003A78DF"/>
    <w:rsid w:val="003A7A48"/>
    <w:rsid w:val="003A7B41"/>
    <w:rsid w:val="003A7B87"/>
    <w:rsid w:val="003B0856"/>
    <w:rsid w:val="003B08C1"/>
    <w:rsid w:val="003B0B0C"/>
    <w:rsid w:val="003B0B69"/>
    <w:rsid w:val="003B0BF5"/>
    <w:rsid w:val="003B0F4F"/>
    <w:rsid w:val="003B15C0"/>
    <w:rsid w:val="003B1687"/>
    <w:rsid w:val="003B1852"/>
    <w:rsid w:val="003B1A71"/>
    <w:rsid w:val="003B1B22"/>
    <w:rsid w:val="003B1B33"/>
    <w:rsid w:val="003B1BB1"/>
    <w:rsid w:val="003B268A"/>
    <w:rsid w:val="003B27B7"/>
    <w:rsid w:val="003B2AF8"/>
    <w:rsid w:val="003B2B42"/>
    <w:rsid w:val="003B2C1C"/>
    <w:rsid w:val="003B2D2C"/>
    <w:rsid w:val="003B2DD5"/>
    <w:rsid w:val="003B2EC9"/>
    <w:rsid w:val="003B3305"/>
    <w:rsid w:val="003B364C"/>
    <w:rsid w:val="003B38B7"/>
    <w:rsid w:val="003B38C6"/>
    <w:rsid w:val="003B3E4F"/>
    <w:rsid w:val="003B4350"/>
    <w:rsid w:val="003B4614"/>
    <w:rsid w:val="003B4864"/>
    <w:rsid w:val="003B49CE"/>
    <w:rsid w:val="003B4F23"/>
    <w:rsid w:val="003B4FC8"/>
    <w:rsid w:val="003B549B"/>
    <w:rsid w:val="003B5667"/>
    <w:rsid w:val="003B5797"/>
    <w:rsid w:val="003B5D56"/>
    <w:rsid w:val="003B5DB4"/>
    <w:rsid w:val="003B5F53"/>
    <w:rsid w:val="003B5FE9"/>
    <w:rsid w:val="003B6018"/>
    <w:rsid w:val="003B60C9"/>
    <w:rsid w:val="003B64BE"/>
    <w:rsid w:val="003B68C9"/>
    <w:rsid w:val="003B69F9"/>
    <w:rsid w:val="003B6AA6"/>
    <w:rsid w:val="003B7565"/>
    <w:rsid w:val="003B77DC"/>
    <w:rsid w:val="003B7904"/>
    <w:rsid w:val="003B7BDF"/>
    <w:rsid w:val="003B7BEB"/>
    <w:rsid w:val="003B7E1F"/>
    <w:rsid w:val="003C0342"/>
    <w:rsid w:val="003C0464"/>
    <w:rsid w:val="003C0499"/>
    <w:rsid w:val="003C07AE"/>
    <w:rsid w:val="003C0EDA"/>
    <w:rsid w:val="003C123B"/>
    <w:rsid w:val="003C187B"/>
    <w:rsid w:val="003C18B9"/>
    <w:rsid w:val="003C1BFD"/>
    <w:rsid w:val="003C1D97"/>
    <w:rsid w:val="003C252A"/>
    <w:rsid w:val="003C2C1C"/>
    <w:rsid w:val="003C2C5D"/>
    <w:rsid w:val="003C30C1"/>
    <w:rsid w:val="003C330B"/>
    <w:rsid w:val="003C336A"/>
    <w:rsid w:val="003C33DA"/>
    <w:rsid w:val="003C3778"/>
    <w:rsid w:val="003C3F69"/>
    <w:rsid w:val="003C4010"/>
    <w:rsid w:val="003C40C2"/>
    <w:rsid w:val="003C4247"/>
    <w:rsid w:val="003C4611"/>
    <w:rsid w:val="003C4A24"/>
    <w:rsid w:val="003C535D"/>
    <w:rsid w:val="003C58A5"/>
    <w:rsid w:val="003C5BBE"/>
    <w:rsid w:val="003C5CB3"/>
    <w:rsid w:val="003C5E35"/>
    <w:rsid w:val="003C606E"/>
    <w:rsid w:val="003C62C3"/>
    <w:rsid w:val="003C66D1"/>
    <w:rsid w:val="003C6B5D"/>
    <w:rsid w:val="003C6CA0"/>
    <w:rsid w:val="003C6DA9"/>
    <w:rsid w:val="003C6DB0"/>
    <w:rsid w:val="003C7067"/>
    <w:rsid w:val="003C719F"/>
    <w:rsid w:val="003C76AE"/>
    <w:rsid w:val="003C7A10"/>
    <w:rsid w:val="003C7D48"/>
    <w:rsid w:val="003D033D"/>
    <w:rsid w:val="003D0398"/>
    <w:rsid w:val="003D056A"/>
    <w:rsid w:val="003D07EC"/>
    <w:rsid w:val="003D08A8"/>
    <w:rsid w:val="003D08CB"/>
    <w:rsid w:val="003D0922"/>
    <w:rsid w:val="003D0B66"/>
    <w:rsid w:val="003D0F76"/>
    <w:rsid w:val="003D13A9"/>
    <w:rsid w:val="003D144E"/>
    <w:rsid w:val="003D1623"/>
    <w:rsid w:val="003D1917"/>
    <w:rsid w:val="003D1CF9"/>
    <w:rsid w:val="003D1D6A"/>
    <w:rsid w:val="003D1D95"/>
    <w:rsid w:val="003D1FFE"/>
    <w:rsid w:val="003D200C"/>
    <w:rsid w:val="003D240E"/>
    <w:rsid w:val="003D256A"/>
    <w:rsid w:val="003D27B0"/>
    <w:rsid w:val="003D296E"/>
    <w:rsid w:val="003D2AC8"/>
    <w:rsid w:val="003D2BEA"/>
    <w:rsid w:val="003D2EA4"/>
    <w:rsid w:val="003D345F"/>
    <w:rsid w:val="003D3523"/>
    <w:rsid w:val="003D3706"/>
    <w:rsid w:val="003D3A35"/>
    <w:rsid w:val="003D3C31"/>
    <w:rsid w:val="003D3FC0"/>
    <w:rsid w:val="003D446A"/>
    <w:rsid w:val="003D44A1"/>
    <w:rsid w:val="003D45C4"/>
    <w:rsid w:val="003D4DA3"/>
    <w:rsid w:val="003D4E7F"/>
    <w:rsid w:val="003D5025"/>
    <w:rsid w:val="003D5338"/>
    <w:rsid w:val="003D554E"/>
    <w:rsid w:val="003D572A"/>
    <w:rsid w:val="003D59A7"/>
    <w:rsid w:val="003D5A49"/>
    <w:rsid w:val="003D5FBE"/>
    <w:rsid w:val="003D66BE"/>
    <w:rsid w:val="003D6A63"/>
    <w:rsid w:val="003D6EB1"/>
    <w:rsid w:val="003D6FC3"/>
    <w:rsid w:val="003D70BF"/>
    <w:rsid w:val="003D721D"/>
    <w:rsid w:val="003D778B"/>
    <w:rsid w:val="003D7A34"/>
    <w:rsid w:val="003D7DBA"/>
    <w:rsid w:val="003D7FE4"/>
    <w:rsid w:val="003E015D"/>
    <w:rsid w:val="003E024C"/>
    <w:rsid w:val="003E0719"/>
    <w:rsid w:val="003E0883"/>
    <w:rsid w:val="003E0E26"/>
    <w:rsid w:val="003E10B0"/>
    <w:rsid w:val="003E1446"/>
    <w:rsid w:val="003E1522"/>
    <w:rsid w:val="003E1B71"/>
    <w:rsid w:val="003E1CC7"/>
    <w:rsid w:val="003E1D8C"/>
    <w:rsid w:val="003E1FB5"/>
    <w:rsid w:val="003E2892"/>
    <w:rsid w:val="003E2C50"/>
    <w:rsid w:val="003E3433"/>
    <w:rsid w:val="003E3635"/>
    <w:rsid w:val="003E3687"/>
    <w:rsid w:val="003E37D5"/>
    <w:rsid w:val="003E396C"/>
    <w:rsid w:val="003E39C9"/>
    <w:rsid w:val="003E3CA2"/>
    <w:rsid w:val="003E3FD2"/>
    <w:rsid w:val="003E446D"/>
    <w:rsid w:val="003E455F"/>
    <w:rsid w:val="003E45E3"/>
    <w:rsid w:val="003E4B13"/>
    <w:rsid w:val="003E4C85"/>
    <w:rsid w:val="003E4DBC"/>
    <w:rsid w:val="003E59EC"/>
    <w:rsid w:val="003E6188"/>
    <w:rsid w:val="003E62CF"/>
    <w:rsid w:val="003E69C7"/>
    <w:rsid w:val="003E6A2C"/>
    <w:rsid w:val="003E7032"/>
    <w:rsid w:val="003E713F"/>
    <w:rsid w:val="003E71FF"/>
    <w:rsid w:val="003E7299"/>
    <w:rsid w:val="003E7907"/>
    <w:rsid w:val="003E79BB"/>
    <w:rsid w:val="003E7AD0"/>
    <w:rsid w:val="003E7D90"/>
    <w:rsid w:val="003F01EA"/>
    <w:rsid w:val="003F07D0"/>
    <w:rsid w:val="003F0828"/>
    <w:rsid w:val="003F084D"/>
    <w:rsid w:val="003F0881"/>
    <w:rsid w:val="003F0A09"/>
    <w:rsid w:val="003F0B71"/>
    <w:rsid w:val="003F0D6A"/>
    <w:rsid w:val="003F0E37"/>
    <w:rsid w:val="003F11C2"/>
    <w:rsid w:val="003F1D52"/>
    <w:rsid w:val="003F1F4A"/>
    <w:rsid w:val="003F1F6E"/>
    <w:rsid w:val="003F2213"/>
    <w:rsid w:val="003F2BA9"/>
    <w:rsid w:val="003F2DC2"/>
    <w:rsid w:val="003F2E19"/>
    <w:rsid w:val="003F2FB9"/>
    <w:rsid w:val="003F3027"/>
    <w:rsid w:val="003F3610"/>
    <w:rsid w:val="003F3A47"/>
    <w:rsid w:val="003F3A67"/>
    <w:rsid w:val="003F43B0"/>
    <w:rsid w:val="003F454B"/>
    <w:rsid w:val="003F47D4"/>
    <w:rsid w:val="003F525A"/>
    <w:rsid w:val="003F52EB"/>
    <w:rsid w:val="003F53D8"/>
    <w:rsid w:val="003F55DD"/>
    <w:rsid w:val="003F5652"/>
    <w:rsid w:val="003F5884"/>
    <w:rsid w:val="003F5943"/>
    <w:rsid w:val="003F598F"/>
    <w:rsid w:val="003F5F8A"/>
    <w:rsid w:val="003F6303"/>
    <w:rsid w:val="003F651F"/>
    <w:rsid w:val="003F66DB"/>
    <w:rsid w:val="003F674C"/>
    <w:rsid w:val="003F6A1E"/>
    <w:rsid w:val="003F6C7E"/>
    <w:rsid w:val="003F6CFB"/>
    <w:rsid w:val="003F6FF3"/>
    <w:rsid w:val="003F7134"/>
    <w:rsid w:val="003F744D"/>
    <w:rsid w:val="003F75BF"/>
    <w:rsid w:val="003F763B"/>
    <w:rsid w:val="003F7723"/>
    <w:rsid w:val="003F795C"/>
    <w:rsid w:val="004001BC"/>
    <w:rsid w:val="00400424"/>
    <w:rsid w:val="0040071E"/>
    <w:rsid w:val="00400744"/>
    <w:rsid w:val="00400767"/>
    <w:rsid w:val="00400F54"/>
    <w:rsid w:val="00401602"/>
    <w:rsid w:val="0040167F"/>
    <w:rsid w:val="00401755"/>
    <w:rsid w:val="004019E0"/>
    <w:rsid w:val="00401DE3"/>
    <w:rsid w:val="00401FF6"/>
    <w:rsid w:val="0040215C"/>
    <w:rsid w:val="004026A9"/>
    <w:rsid w:val="00402C30"/>
    <w:rsid w:val="00402F07"/>
    <w:rsid w:val="00403062"/>
    <w:rsid w:val="004030BF"/>
    <w:rsid w:val="00403482"/>
    <w:rsid w:val="004034BE"/>
    <w:rsid w:val="004034D5"/>
    <w:rsid w:val="004035BC"/>
    <w:rsid w:val="00403BA0"/>
    <w:rsid w:val="00404139"/>
    <w:rsid w:val="0040431D"/>
    <w:rsid w:val="00404372"/>
    <w:rsid w:val="00404616"/>
    <w:rsid w:val="0040488A"/>
    <w:rsid w:val="00404C71"/>
    <w:rsid w:val="00404EB4"/>
    <w:rsid w:val="0040509E"/>
    <w:rsid w:val="004053F7"/>
    <w:rsid w:val="004061B3"/>
    <w:rsid w:val="00406636"/>
    <w:rsid w:val="004066A2"/>
    <w:rsid w:val="00406869"/>
    <w:rsid w:val="00406A15"/>
    <w:rsid w:val="00406A2A"/>
    <w:rsid w:val="00406FE5"/>
    <w:rsid w:val="0040739B"/>
    <w:rsid w:val="0040794C"/>
    <w:rsid w:val="00407CAB"/>
    <w:rsid w:val="00410467"/>
    <w:rsid w:val="004104BC"/>
    <w:rsid w:val="004105BC"/>
    <w:rsid w:val="00410926"/>
    <w:rsid w:val="00410962"/>
    <w:rsid w:val="004109AF"/>
    <w:rsid w:val="00410E58"/>
    <w:rsid w:val="004111B4"/>
    <w:rsid w:val="004115CF"/>
    <w:rsid w:val="004117CB"/>
    <w:rsid w:val="00411A08"/>
    <w:rsid w:val="00411C34"/>
    <w:rsid w:val="00412688"/>
    <w:rsid w:val="00412F23"/>
    <w:rsid w:val="0041319C"/>
    <w:rsid w:val="00413739"/>
    <w:rsid w:val="00413B2E"/>
    <w:rsid w:val="00413CD6"/>
    <w:rsid w:val="00413E88"/>
    <w:rsid w:val="00414192"/>
    <w:rsid w:val="00414ABC"/>
    <w:rsid w:val="004150BA"/>
    <w:rsid w:val="0041554D"/>
    <w:rsid w:val="00415C15"/>
    <w:rsid w:val="00415EFE"/>
    <w:rsid w:val="004160F3"/>
    <w:rsid w:val="004160FE"/>
    <w:rsid w:val="00416233"/>
    <w:rsid w:val="0041646D"/>
    <w:rsid w:val="00416C86"/>
    <w:rsid w:val="00416FE4"/>
    <w:rsid w:val="004170E3"/>
    <w:rsid w:val="004171F9"/>
    <w:rsid w:val="00417839"/>
    <w:rsid w:val="00420040"/>
    <w:rsid w:val="00420050"/>
    <w:rsid w:val="004201DC"/>
    <w:rsid w:val="00420403"/>
    <w:rsid w:val="004204E3"/>
    <w:rsid w:val="00420E8C"/>
    <w:rsid w:val="00421188"/>
    <w:rsid w:val="00421377"/>
    <w:rsid w:val="004214F9"/>
    <w:rsid w:val="00421544"/>
    <w:rsid w:val="004215B1"/>
    <w:rsid w:val="00421710"/>
    <w:rsid w:val="00421A9A"/>
    <w:rsid w:val="00421AA1"/>
    <w:rsid w:val="00421B27"/>
    <w:rsid w:val="00421C3A"/>
    <w:rsid w:val="00421CB4"/>
    <w:rsid w:val="00421CF2"/>
    <w:rsid w:val="00421D3D"/>
    <w:rsid w:val="00421E5D"/>
    <w:rsid w:val="0042219D"/>
    <w:rsid w:val="004221FD"/>
    <w:rsid w:val="00422576"/>
    <w:rsid w:val="00422A2E"/>
    <w:rsid w:val="00422AEA"/>
    <w:rsid w:val="00422F19"/>
    <w:rsid w:val="00423041"/>
    <w:rsid w:val="0042333D"/>
    <w:rsid w:val="004234EC"/>
    <w:rsid w:val="00423543"/>
    <w:rsid w:val="004238A3"/>
    <w:rsid w:val="00423CAE"/>
    <w:rsid w:val="00423FE4"/>
    <w:rsid w:val="0042420A"/>
    <w:rsid w:val="0042540A"/>
    <w:rsid w:val="004255B3"/>
    <w:rsid w:val="004256BF"/>
    <w:rsid w:val="004259E8"/>
    <w:rsid w:val="00425A64"/>
    <w:rsid w:val="00425A78"/>
    <w:rsid w:val="00425A94"/>
    <w:rsid w:val="00425F30"/>
    <w:rsid w:val="00425F87"/>
    <w:rsid w:val="00426132"/>
    <w:rsid w:val="0042628A"/>
    <w:rsid w:val="00426327"/>
    <w:rsid w:val="0042650E"/>
    <w:rsid w:val="004265B7"/>
    <w:rsid w:val="0042668A"/>
    <w:rsid w:val="004268F6"/>
    <w:rsid w:val="00426926"/>
    <w:rsid w:val="00426A3F"/>
    <w:rsid w:val="00426A7D"/>
    <w:rsid w:val="00426A9A"/>
    <w:rsid w:val="00426AD0"/>
    <w:rsid w:val="00426E45"/>
    <w:rsid w:val="00426E9F"/>
    <w:rsid w:val="004271BB"/>
    <w:rsid w:val="00427825"/>
    <w:rsid w:val="0043045D"/>
    <w:rsid w:val="00430564"/>
    <w:rsid w:val="004308D2"/>
    <w:rsid w:val="00430A45"/>
    <w:rsid w:val="00430F96"/>
    <w:rsid w:val="00431208"/>
    <w:rsid w:val="00431595"/>
    <w:rsid w:val="00431CDE"/>
    <w:rsid w:val="00431F71"/>
    <w:rsid w:val="0043217A"/>
    <w:rsid w:val="00432312"/>
    <w:rsid w:val="00432464"/>
    <w:rsid w:val="00432D29"/>
    <w:rsid w:val="0043358B"/>
    <w:rsid w:val="00433A5B"/>
    <w:rsid w:val="00433C08"/>
    <w:rsid w:val="00433FF5"/>
    <w:rsid w:val="0043429A"/>
    <w:rsid w:val="004343A1"/>
    <w:rsid w:val="004343BE"/>
    <w:rsid w:val="0043445A"/>
    <w:rsid w:val="00434769"/>
    <w:rsid w:val="00434BF1"/>
    <w:rsid w:val="004354B5"/>
    <w:rsid w:val="00435628"/>
    <w:rsid w:val="00435BC6"/>
    <w:rsid w:val="00435D23"/>
    <w:rsid w:val="0043601F"/>
    <w:rsid w:val="00436149"/>
    <w:rsid w:val="004362E0"/>
    <w:rsid w:val="00436A32"/>
    <w:rsid w:val="00436AB0"/>
    <w:rsid w:val="00436D44"/>
    <w:rsid w:val="004372EA"/>
    <w:rsid w:val="004372FB"/>
    <w:rsid w:val="00437531"/>
    <w:rsid w:val="004378A3"/>
    <w:rsid w:val="004379CF"/>
    <w:rsid w:val="00437BF9"/>
    <w:rsid w:val="00437C98"/>
    <w:rsid w:val="004400CD"/>
    <w:rsid w:val="0044041C"/>
    <w:rsid w:val="0044049A"/>
    <w:rsid w:val="004407B1"/>
    <w:rsid w:val="00440A3F"/>
    <w:rsid w:val="00440ACA"/>
    <w:rsid w:val="00440C9E"/>
    <w:rsid w:val="00440F21"/>
    <w:rsid w:val="00440F40"/>
    <w:rsid w:val="00441054"/>
    <w:rsid w:val="004414ED"/>
    <w:rsid w:val="004415E0"/>
    <w:rsid w:val="00441739"/>
    <w:rsid w:val="00441903"/>
    <w:rsid w:val="00441CC9"/>
    <w:rsid w:val="00441DB2"/>
    <w:rsid w:val="00441DC9"/>
    <w:rsid w:val="00441E1A"/>
    <w:rsid w:val="00441ED1"/>
    <w:rsid w:val="0044230C"/>
    <w:rsid w:val="00442310"/>
    <w:rsid w:val="00442F6B"/>
    <w:rsid w:val="00443CAA"/>
    <w:rsid w:val="00444365"/>
    <w:rsid w:val="00444D7F"/>
    <w:rsid w:val="00445222"/>
    <w:rsid w:val="00445670"/>
    <w:rsid w:val="00445AC8"/>
    <w:rsid w:val="00445BFA"/>
    <w:rsid w:val="00445C2B"/>
    <w:rsid w:val="00445DB3"/>
    <w:rsid w:val="00445E1B"/>
    <w:rsid w:val="00446212"/>
    <w:rsid w:val="00446930"/>
    <w:rsid w:val="00446C82"/>
    <w:rsid w:val="0044721C"/>
    <w:rsid w:val="004472EB"/>
    <w:rsid w:val="004475FC"/>
    <w:rsid w:val="004477EB"/>
    <w:rsid w:val="00447EED"/>
    <w:rsid w:val="00447F15"/>
    <w:rsid w:val="0045028A"/>
    <w:rsid w:val="004504F2"/>
    <w:rsid w:val="004506F9"/>
    <w:rsid w:val="00450D6E"/>
    <w:rsid w:val="00451551"/>
    <w:rsid w:val="004515C6"/>
    <w:rsid w:val="00451627"/>
    <w:rsid w:val="0045163C"/>
    <w:rsid w:val="00451826"/>
    <w:rsid w:val="004518BE"/>
    <w:rsid w:val="00451A05"/>
    <w:rsid w:val="00451A71"/>
    <w:rsid w:val="00451D39"/>
    <w:rsid w:val="00451E02"/>
    <w:rsid w:val="00451E4F"/>
    <w:rsid w:val="004520A2"/>
    <w:rsid w:val="004530F9"/>
    <w:rsid w:val="004537AC"/>
    <w:rsid w:val="004537C4"/>
    <w:rsid w:val="004537D5"/>
    <w:rsid w:val="00453BB3"/>
    <w:rsid w:val="00453D9F"/>
    <w:rsid w:val="00453E47"/>
    <w:rsid w:val="004541D5"/>
    <w:rsid w:val="00454350"/>
    <w:rsid w:val="004549AE"/>
    <w:rsid w:val="00454AB1"/>
    <w:rsid w:val="0045529A"/>
    <w:rsid w:val="00455346"/>
    <w:rsid w:val="0045556E"/>
    <w:rsid w:val="004555BF"/>
    <w:rsid w:val="004556D1"/>
    <w:rsid w:val="00455713"/>
    <w:rsid w:val="00455835"/>
    <w:rsid w:val="00455AE2"/>
    <w:rsid w:val="0045606D"/>
    <w:rsid w:val="00456121"/>
    <w:rsid w:val="004563A4"/>
    <w:rsid w:val="004569F1"/>
    <w:rsid w:val="00456CC9"/>
    <w:rsid w:val="00456D46"/>
    <w:rsid w:val="00456D8C"/>
    <w:rsid w:val="00456EEF"/>
    <w:rsid w:val="0045718A"/>
    <w:rsid w:val="0045760E"/>
    <w:rsid w:val="00457FFC"/>
    <w:rsid w:val="00460119"/>
    <w:rsid w:val="0046018B"/>
    <w:rsid w:val="00460312"/>
    <w:rsid w:val="0046068D"/>
    <w:rsid w:val="004606FB"/>
    <w:rsid w:val="004607B1"/>
    <w:rsid w:val="0046097E"/>
    <w:rsid w:val="00460BAB"/>
    <w:rsid w:val="00460FF5"/>
    <w:rsid w:val="00461112"/>
    <w:rsid w:val="004611A5"/>
    <w:rsid w:val="004612B7"/>
    <w:rsid w:val="004615F7"/>
    <w:rsid w:val="004616A0"/>
    <w:rsid w:val="004616B6"/>
    <w:rsid w:val="004618A1"/>
    <w:rsid w:val="004619DB"/>
    <w:rsid w:val="004626BA"/>
    <w:rsid w:val="00462C35"/>
    <w:rsid w:val="00462C3B"/>
    <w:rsid w:val="00462DCD"/>
    <w:rsid w:val="004630E4"/>
    <w:rsid w:val="0046359C"/>
    <w:rsid w:val="0046393E"/>
    <w:rsid w:val="00463A85"/>
    <w:rsid w:val="00464082"/>
    <w:rsid w:val="004640EE"/>
    <w:rsid w:val="00464121"/>
    <w:rsid w:val="00464134"/>
    <w:rsid w:val="0046417C"/>
    <w:rsid w:val="004644AE"/>
    <w:rsid w:val="00464601"/>
    <w:rsid w:val="004647F1"/>
    <w:rsid w:val="00464805"/>
    <w:rsid w:val="00464EF3"/>
    <w:rsid w:val="00464FDB"/>
    <w:rsid w:val="0046529B"/>
    <w:rsid w:val="00465749"/>
    <w:rsid w:val="004657F5"/>
    <w:rsid w:val="004659E0"/>
    <w:rsid w:val="004659FC"/>
    <w:rsid w:val="00465E11"/>
    <w:rsid w:val="0046601F"/>
    <w:rsid w:val="00466110"/>
    <w:rsid w:val="00466221"/>
    <w:rsid w:val="0046640D"/>
    <w:rsid w:val="0046673F"/>
    <w:rsid w:val="00466C80"/>
    <w:rsid w:val="00466D34"/>
    <w:rsid w:val="00466F4B"/>
    <w:rsid w:val="0046714E"/>
    <w:rsid w:val="00467215"/>
    <w:rsid w:val="004676F3"/>
    <w:rsid w:val="00467D97"/>
    <w:rsid w:val="00467E72"/>
    <w:rsid w:val="00470014"/>
    <w:rsid w:val="004700B7"/>
    <w:rsid w:val="00470124"/>
    <w:rsid w:val="004702EB"/>
    <w:rsid w:val="00470E77"/>
    <w:rsid w:val="00471094"/>
    <w:rsid w:val="004710B3"/>
    <w:rsid w:val="004711FB"/>
    <w:rsid w:val="0047128B"/>
    <w:rsid w:val="004715C4"/>
    <w:rsid w:val="004719A7"/>
    <w:rsid w:val="00471EE2"/>
    <w:rsid w:val="00471FE4"/>
    <w:rsid w:val="004729B2"/>
    <w:rsid w:val="00473743"/>
    <w:rsid w:val="00473834"/>
    <w:rsid w:val="004738FB"/>
    <w:rsid w:val="00473938"/>
    <w:rsid w:val="00473CBB"/>
    <w:rsid w:val="00473DAD"/>
    <w:rsid w:val="00473EC0"/>
    <w:rsid w:val="004744B9"/>
    <w:rsid w:val="0047453A"/>
    <w:rsid w:val="0047456C"/>
    <w:rsid w:val="004745EA"/>
    <w:rsid w:val="00474B63"/>
    <w:rsid w:val="00474CE0"/>
    <w:rsid w:val="00474E73"/>
    <w:rsid w:val="00475142"/>
    <w:rsid w:val="004754C1"/>
    <w:rsid w:val="0047550F"/>
    <w:rsid w:val="00475565"/>
    <w:rsid w:val="004757E0"/>
    <w:rsid w:val="00475A2A"/>
    <w:rsid w:val="00475BBE"/>
    <w:rsid w:val="00475D2D"/>
    <w:rsid w:val="00475DE4"/>
    <w:rsid w:val="00475DE5"/>
    <w:rsid w:val="00476253"/>
    <w:rsid w:val="0047682C"/>
    <w:rsid w:val="004768BE"/>
    <w:rsid w:val="004768D1"/>
    <w:rsid w:val="00476912"/>
    <w:rsid w:val="00477160"/>
    <w:rsid w:val="0047764B"/>
    <w:rsid w:val="004776DF"/>
    <w:rsid w:val="004777F9"/>
    <w:rsid w:val="00477991"/>
    <w:rsid w:val="00477AA3"/>
    <w:rsid w:val="00477EE5"/>
    <w:rsid w:val="00477F08"/>
    <w:rsid w:val="00480003"/>
    <w:rsid w:val="00480073"/>
    <w:rsid w:val="004804BB"/>
    <w:rsid w:val="004804FF"/>
    <w:rsid w:val="0048095D"/>
    <w:rsid w:val="00480B70"/>
    <w:rsid w:val="00480C6A"/>
    <w:rsid w:val="00480DE8"/>
    <w:rsid w:val="00480EE4"/>
    <w:rsid w:val="00481838"/>
    <w:rsid w:val="0048223A"/>
    <w:rsid w:val="00482488"/>
    <w:rsid w:val="0048265F"/>
    <w:rsid w:val="00482C21"/>
    <w:rsid w:val="00483374"/>
    <w:rsid w:val="00483462"/>
    <w:rsid w:val="00483717"/>
    <w:rsid w:val="00483918"/>
    <w:rsid w:val="0048393E"/>
    <w:rsid w:val="00483C88"/>
    <w:rsid w:val="0048455A"/>
    <w:rsid w:val="004848C5"/>
    <w:rsid w:val="00484B15"/>
    <w:rsid w:val="00484C2C"/>
    <w:rsid w:val="00484DE6"/>
    <w:rsid w:val="00484FC4"/>
    <w:rsid w:val="00484FE6"/>
    <w:rsid w:val="004853FA"/>
    <w:rsid w:val="004854C9"/>
    <w:rsid w:val="00485585"/>
    <w:rsid w:val="00485BA4"/>
    <w:rsid w:val="00485DBD"/>
    <w:rsid w:val="00486292"/>
    <w:rsid w:val="004865FA"/>
    <w:rsid w:val="0048676E"/>
    <w:rsid w:val="0048694E"/>
    <w:rsid w:val="00486A3F"/>
    <w:rsid w:val="00486A5E"/>
    <w:rsid w:val="004870DC"/>
    <w:rsid w:val="00487298"/>
    <w:rsid w:val="00487573"/>
    <w:rsid w:val="00487680"/>
    <w:rsid w:val="00487693"/>
    <w:rsid w:val="00490203"/>
    <w:rsid w:val="004903AF"/>
    <w:rsid w:val="00490558"/>
    <w:rsid w:val="0049068C"/>
    <w:rsid w:val="004906C1"/>
    <w:rsid w:val="00490868"/>
    <w:rsid w:val="004908AD"/>
    <w:rsid w:val="00490BF1"/>
    <w:rsid w:val="00490E6E"/>
    <w:rsid w:val="00490F9E"/>
    <w:rsid w:val="004917C2"/>
    <w:rsid w:val="00491954"/>
    <w:rsid w:val="00491A4A"/>
    <w:rsid w:val="00491BD7"/>
    <w:rsid w:val="00491F37"/>
    <w:rsid w:val="004922FE"/>
    <w:rsid w:val="00492879"/>
    <w:rsid w:val="00492AE9"/>
    <w:rsid w:val="00493231"/>
    <w:rsid w:val="004934D5"/>
    <w:rsid w:val="00493653"/>
    <w:rsid w:val="00493977"/>
    <w:rsid w:val="004939C8"/>
    <w:rsid w:val="004939D5"/>
    <w:rsid w:val="00493E7A"/>
    <w:rsid w:val="004940B7"/>
    <w:rsid w:val="00494157"/>
    <w:rsid w:val="004943D8"/>
    <w:rsid w:val="0049442E"/>
    <w:rsid w:val="00494B00"/>
    <w:rsid w:val="00494D96"/>
    <w:rsid w:val="00494E4E"/>
    <w:rsid w:val="00494FC2"/>
    <w:rsid w:val="0049528A"/>
    <w:rsid w:val="0049551F"/>
    <w:rsid w:val="00495BDB"/>
    <w:rsid w:val="00496010"/>
    <w:rsid w:val="00496248"/>
    <w:rsid w:val="004966BF"/>
    <w:rsid w:val="00496BA4"/>
    <w:rsid w:val="00496C20"/>
    <w:rsid w:val="00496E0B"/>
    <w:rsid w:val="00496ED9"/>
    <w:rsid w:val="00497322"/>
    <w:rsid w:val="004974E1"/>
    <w:rsid w:val="0049755D"/>
    <w:rsid w:val="004977FF"/>
    <w:rsid w:val="00497DDF"/>
    <w:rsid w:val="00497FEC"/>
    <w:rsid w:val="004A04FE"/>
    <w:rsid w:val="004A0AA4"/>
    <w:rsid w:val="004A0DCE"/>
    <w:rsid w:val="004A0DE1"/>
    <w:rsid w:val="004A108E"/>
    <w:rsid w:val="004A1098"/>
    <w:rsid w:val="004A1448"/>
    <w:rsid w:val="004A17AC"/>
    <w:rsid w:val="004A17D5"/>
    <w:rsid w:val="004A18B4"/>
    <w:rsid w:val="004A1E7E"/>
    <w:rsid w:val="004A218C"/>
    <w:rsid w:val="004A2917"/>
    <w:rsid w:val="004A2A0A"/>
    <w:rsid w:val="004A37A6"/>
    <w:rsid w:val="004A3B1A"/>
    <w:rsid w:val="004A3D3E"/>
    <w:rsid w:val="004A442D"/>
    <w:rsid w:val="004A491E"/>
    <w:rsid w:val="004A4CB8"/>
    <w:rsid w:val="004A4E2F"/>
    <w:rsid w:val="004A5096"/>
    <w:rsid w:val="004A52E9"/>
    <w:rsid w:val="004A5501"/>
    <w:rsid w:val="004A55C8"/>
    <w:rsid w:val="004A573E"/>
    <w:rsid w:val="004A5A6F"/>
    <w:rsid w:val="004A608B"/>
    <w:rsid w:val="004A6305"/>
    <w:rsid w:val="004A63D6"/>
    <w:rsid w:val="004A65BA"/>
    <w:rsid w:val="004A6C5C"/>
    <w:rsid w:val="004A77FA"/>
    <w:rsid w:val="004A7D80"/>
    <w:rsid w:val="004A7DC6"/>
    <w:rsid w:val="004B00E0"/>
    <w:rsid w:val="004B05E0"/>
    <w:rsid w:val="004B0612"/>
    <w:rsid w:val="004B0A6A"/>
    <w:rsid w:val="004B0AB6"/>
    <w:rsid w:val="004B0AC6"/>
    <w:rsid w:val="004B0B6B"/>
    <w:rsid w:val="004B0C23"/>
    <w:rsid w:val="004B0ED1"/>
    <w:rsid w:val="004B0EF9"/>
    <w:rsid w:val="004B104E"/>
    <w:rsid w:val="004B1238"/>
    <w:rsid w:val="004B137D"/>
    <w:rsid w:val="004B1641"/>
    <w:rsid w:val="004B17C4"/>
    <w:rsid w:val="004B1813"/>
    <w:rsid w:val="004B19E6"/>
    <w:rsid w:val="004B1CA5"/>
    <w:rsid w:val="004B1D13"/>
    <w:rsid w:val="004B1F7A"/>
    <w:rsid w:val="004B2290"/>
    <w:rsid w:val="004B259C"/>
    <w:rsid w:val="004B2A9D"/>
    <w:rsid w:val="004B34B0"/>
    <w:rsid w:val="004B3964"/>
    <w:rsid w:val="004B3AD3"/>
    <w:rsid w:val="004B3BCE"/>
    <w:rsid w:val="004B4B4C"/>
    <w:rsid w:val="004B4EA9"/>
    <w:rsid w:val="004B4EB6"/>
    <w:rsid w:val="004B4FB6"/>
    <w:rsid w:val="004B5040"/>
    <w:rsid w:val="004B61F9"/>
    <w:rsid w:val="004B6305"/>
    <w:rsid w:val="004B67E0"/>
    <w:rsid w:val="004B6FAF"/>
    <w:rsid w:val="004B71C0"/>
    <w:rsid w:val="004B7386"/>
    <w:rsid w:val="004B7634"/>
    <w:rsid w:val="004B7FDD"/>
    <w:rsid w:val="004C01AC"/>
    <w:rsid w:val="004C04B5"/>
    <w:rsid w:val="004C063E"/>
    <w:rsid w:val="004C0A9C"/>
    <w:rsid w:val="004C1009"/>
    <w:rsid w:val="004C1140"/>
    <w:rsid w:val="004C132F"/>
    <w:rsid w:val="004C1351"/>
    <w:rsid w:val="004C15E3"/>
    <w:rsid w:val="004C1898"/>
    <w:rsid w:val="004C1AE9"/>
    <w:rsid w:val="004C1BEB"/>
    <w:rsid w:val="004C1DF3"/>
    <w:rsid w:val="004C1E52"/>
    <w:rsid w:val="004C2006"/>
    <w:rsid w:val="004C2075"/>
    <w:rsid w:val="004C2234"/>
    <w:rsid w:val="004C2629"/>
    <w:rsid w:val="004C2A74"/>
    <w:rsid w:val="004C2AD1"/>
    <w:rsid w:val="004C346E"/>
    <w:rsid w:val="004C3735"/>
    <w:rsid w:val="004C3928"/>
    <w:rsid w:val="004C3A26"/>
    <w:rsid w:val="004C3A83"/>
    <w:rsid w:val="004C3B98"/>
    <w:rsid w:val="004C3BDC"/>
    <w:rsid w:val="004C4208"/>
    <w:rsid w:val="004C4871"/>
    <w:rsid w:val="004C4BD9"/>
    <w:rsid w:val="004C4BF0"/>
    <w:rsid w:val="004C4F3D"/>
    <w:rsid w:val="004C514A"/>
    <w:rsid w:val="004C540B"/>
    <w:rsid w:val="004C54E7"/>
    <w:rsid w:val="004C55B4"/>
    <w:rsid w:val="004C583F"/>
    <w:rsid w:val="004C597D"/>
    <w:rsid w:val="004C5C19"/>
    <w:rsid w:val="004C5FEE"/>
    <w:rsid w:val="004C6281"/>
    <w:rsid w:val="004C630E"/>
    <w:rsid w:val="004C63BE"/>
    <w:rsid w:val="004C63C6"/>
    <w:rsid w:val="004C6542"/>
    <w:rsid w:val="004C657D"/>
    <w:rsid w:val="004C65E8"/>
    <w:rsid w:val="004C67CC"/>
    <w:rsid w:val="004C6869"/>
    <w:rsid w:val="004C6A2A"/>
    <w:rsid w:val="004C6C45"/>
    <w:rsid w:val="004C6D78"/>
    <w:rsid w:val="004C6EA1"/>
    <w:rsid w:val="004C7042"/>
    <w:rsid w:val="004C70FA"/>
    <w:rsid w:val="004C7785"/>
    <w:rsid w:val="004C79D2"/>
    <w:rsid w:val="004D02AB"/>
    <w:rsid w:val="004D059D"/>
    <w:rsid w:val="004D08DA"/>
    <w:rsid w:val="004D0BD9"/>
    <w:rsid w:val="004D11C6"/>
    <w:rsid w:val="004D14D7"/>
    <w:rsid w:val="004D159F"/>
    <w:rsid w:val="004D16F6"/>
    <w:rsid w:val="004D1BD0"/>
    <w:rsid w:val="004D1C71"/>
    <w:rsid w:val="004D1F88"/>
    <w:rsid w:val="004D1FC1"/>
    <w:rsid w:val="004D2972"/>
    <w:rsid w:val="004D2C8B"/>
    <w:rsid w:val="004D364C"/>
    <w:rsid w:val="004D3753"/>
    <w:rsid w:val="004D3811"/>
    <w:rsid w:val="004D399F"/>
    <w:rsid w:val="004D3D85"/>
    <w:rsid w:val="004D414B"/>
    <w:rsid w:val="004D4358"/>
    <w:rsid w:val="004D449F"/>
    <w:rsid w:val="004D44D7"/>
    <w:rsid w:val="004D4537"/>
    <w:rsid w:val="004D4561"/>
    <w:rsid w:val="004D46CD"/>
    <w:rsid w:val="004D479B"/>
    <w:rsid w:val="004D4814"/>
    <w:rsid w:val="004D49ED"/>
    <w:rsid w:val="004D4B8F"/>
    <w:rsid w:val="004D52E5"/>
    <w:rsid w:val="004D541C"/>
    <w:rsid w:val="004D5776"/>
    <w:rsid w:val="004D5829"/>
    <w:rsid w:val="004D5C71"/>
    <w:rsid w:val="004D5E46"/>
    <w:rsid w:val="004D630F"/>
    <w:rsid w:val="004D6A32"/>
    <w:rsid w:val="004D6FB7"/>
    <w:rsid w:val="004D7036"/>
    <w:rsid w:val="004D706A"/>
    <w:rsid w:val="004D72D2"/>
    <w:rsid w:val="004D763E"/>
    <w:rsid w:val="004D7711"/>
    <w:rsid w:val="004D776E"/>
    <w:rsid w:val="004D789E"/>
    <w:rsid w:val="004E0089"/>
    <w:rsid w:val="004E081B"/>
    <w:rsid w:val="004E084D"/>
    <w:rsid w:val="004E089E"/>
    <w:rsid w:val="004E08C2"/>
    <w:rsid w:val="004E08F8"/>
    <w:rsid w:val="004E0A3A"/>
    <w:rsid w:val="004E0CBD"/>
    <w:rsid w:val="004E0DC2"/>
    <w:rsid w:val="004E1109"/>
    <w:rsid w:val="004E1203"/>
    <w:rsid w:val="004E12EF"/>
    <w:rsid w:val="004E17B1"/>
    <w:rsid w:val="004E1841"/>
    <w:rsid w:val="004E1947"/>
    <w:rsid w:val="004E2602"/>
    <w:rsid w:val="004E29F1"/>
    <w:rsid w:val="004E2BE4"/>
    <w:rsid w:val="004E2D5F"/>
    <w:rsid w:val="004E2E45"/>
    <w:rsid w:val="004E31A6"/>
    <w:rsid w:val="004E38BC"/>
    <w:rsid w:val="004E38E2"/>
    <w:rsid w:val="004E3919"/>
    <w:rsid w:val="004E3AE4"/>
    <w:rsid w:val="004E3B9D"/>
    <w:rsid w:val="004E3E00"/>
    <w:rsid w:val="004E3F0D"/>
    <w:rsid w:val="004E474B"/>
    <w:rsid w:val="004E4942"/>
    <w:rsid w:val="004E4ABD"/>
    <w:rsid w:val="004E4D18"/>
    <w:rsid w:val="004E509E"/>
    <w:rsid w:val="004E5433"/>
    <w:rsid w:val="004E550F"/>
    <w:rsid w:val="004E5774"/>
    <w:rsid w:val="004E5C1B"/>
    <w:rsid w:val="004E5D31"/>
    <w:rsid w:val="004E5DEA"/>
    <w:rsid w:val="004E5F12"/>
    <w:rsid w:val="004E6816"/>
    <w:rsid w:val="004E6D40"/>
    <w:rsid w:val="004E6D5C"/>
    <w:rsid w:val="004E6F87"/>
    <w:rsid w:val="004E7145"/>
    <w:rsid w:val="004E7249"/>
    <w:rsid w:val="004E7899"/>
    <w:rsid w:val="004F00FF"/>
    <w:rsid w:val="004F0DC1"/>
    <w:rsid w:val="004F0F38"/>
    <w:rsid w:val="004F0FA4"/>
    <w:rsid w:val="004F1283"/>
    <w:rsid w:val="004F17EB"/>
    <w:rsid w:val="004F1813"/>
    <w:rsid w:val="004F1D3F"/>
    <w:rsid w:val="004F1E76"/>
    <w:rsid w:val="004F1EFD"/>
    <w:rsid w:val="004F2172"/>
    <w:rsid w:val="004F2440"/>
    <w:rsid w:val="004F26D0"/>
    <w:rsid w:val="004F2849"/>
    <w:rsid w:val="004F335B"/>
    <w:rsid w:val="004F369B"/>
    <w:rsid w:val="004F3A22"/>
    <w:rsid w:val="004F3DF9"/>
    <w:rsid w:val="004F400D"/>
    <w:rsid w:val="004F4212"/>
    <w:rsid w:val="004F4487"/>
    <w:rsid w:val="004F44A1"/>
    <w:rsid w:val="004F4591"/>
    <w:rsid w:val="004F4691"/>
    <w:rsid w:val="004F47BA"/>
    <w:rsid w:val="004F49C8"/>
    <w:rsid w:val="004F4DF7"/>
    <w:rsid w:val="004F4E52"/>
    <w:rsid w:val="004F5004"/>
    <w:rsid w:val="004F52EA"/>
    <w:rsid w:val="004F5312"/>
    <w:rsid w:val="004F6402"/>
    <w:rsid w:val="004F6645"/>
    <w:rsid w:val="004F683A"/>
    <w:rsid w:val="004F6AF4"/>
    <w:rsid w:val="004F6C2D"/>
    <w:rsid w:val="004F6F2D"/>
    <w:rsid w:val="004F6FF6"/>
    <w:rsid w:val="004F7069"/>
    <w:rsid w:val="004F715C"/>
    <w:rsid w:val="004F7938"/>
    <w:rsid w:val="004F795C"/>
    <w:rsid w:val="0050001D"/>
    <w:rsid w:val="005001FF"/>
    <w:rsid w:val="005002CA"/>
    <w:rsid w:val="005006A6"/>
    <w:rsid w:val="00500888"/>
    <w:rsid w:val="00500B68"/>
    <w:rsid w:val="00500FF3"/>
    <w:rsid w:val="00501593"/>
    <w:rsid w:val="005016E7"/>
    <w:rsid w:val="00501932"/>
    <w:rsid w:val="00501D74"/>
    <w:rsid w:val="005030D4"/>
    <w:rsid w:val="005031D3"/>
    <w:rsid w:val="0050327C"/>
    <w:rsid w:val="005033A6"/>
    <w:rsid w:val="00503D2B"/>
    <w:rsid w:val="00503E5C"/>
    <w:rsid w:val="00504956"/>
    <w:rsid w:val="005053DF"/>
    <w:rsid w:val="005053E2"/>
    <w:rsid w:val="005056C4"/>
    <w:rsid w:val="00505796"/>
    <w:rsid w:val="00505D37"/>
    <w:rsid w:val="00506312"/>
    <w:rsid w:val="005064AE"/>
    <w:rsid w:val="00506679"/>
    <w:rsid w:val="00506C22"/>
    <w:rsid w:val="00506D6D"/>
    <w:rsid w:val="0050702C"/>
    <w:rsid w:val="005070CB"/>
    <w:rsid w:val="005070EE"/>
    <w:rsid w:val="0050712F"/>
    <w:rsid w:val="00507923"/>
    <w:rsid w:val="005079F5"/>
    <w:rsid w:val="00507B24"/>
    <w:rsid w:val="00507BA8"/>
    <w:rsid w:val="00507C5A"/>
    <w:rsid w:val="00507FDB"/>
    <w:rsid w:val="0051013D"/>
    <w:rsid w:val="00510305"/>
    <w:rsid w:val="0051061F"/>
    <w:rsid w:val="0051098A"/>
    <w:rsid w:val="00510C31"/>
    <w:rsid w:val="00510E90"/>
    <w:rsid w:val="005113F5"/>
    <w:rsid w:val="00511A8C"/>
    <w:rsid w:val="00511B3C"/>
    <w:rsid w:val="005121C8"/>
    <w:rsid w:val="0051254B"/>
    <w:rsid w:val="0051272E"/>
    <w:rsid w:val="00512A9E"/>
    <w:rsid w:val="00512B6A"/>
    <w:rsid w:val="00512F1B"/>
    <w:rsid w:val="00512F3A"/>
    <w:rsid w:val="00513170"/>
    <w:rsid w:val="00513A6A"/>
    <w:rsid w:val="00513FC6"/>
    <w:rsid w:val="00514263"/>
    <w:rsid w:val="00514432"/>
    <w:rsid w:val="005144C4"/>
    <w:rsid w:val="00514996"/>
    <w:rsid w:val="00514C94"/>
    <w:rsid w:val="00514E1E"/>
    <w:rsid w:val="00514F84"/>
    <w:rsid w:val="0051657A"/>
    <w:rsid w:val="005165F9"/>
    <w:rsid w:val="0051662E"/>
    <w:rsid w:val="00516BD8"/>
    <w:rsid w:val="00516BF4"/>
    <w:rsid w:val="00516D0C"/>
    <w:rsid w:val="00516EFD"/>
    <w:rsid w:val="00517052"/>
    <w:rsid w:val="0051796F"/>
    <w:rsid w:val="00517A22"/>
    <w:rsid w:val="00517AE4"/>
    <w:rsid w:val="00517B67"/>
    <w:rsid w:val="00517B9E"/>
    <w:rsid w:val="00517CC3"/>
    <w:rsid w:val="00517D0F"/>
    <w:rsid w:val="00520011"/>
    <w:rsid w:val="0052008D"/>
    <w:rsid w:val="005201E9"/>
    <w:rsid w:val="0052063D"/>
    <w:rsid w:val="005208C2"/>
    <w:rsid w:val="005208D2"/>
    <w:rsid w:val="00520984"/>
    <w:rsid w:val="005209B7"/>
    <w:rsid w:val="00521092"/>
    <w:rsid w:val="00521246"/>
    <w:rsid w:val="0052143D"/>
    <w:rsid w:val="00521676"/>
    <w:rsid w:val="005219BB"/>
    <w:rsid w:val="005219DB"/>
    <w:rsid w:val="00521BA2"/>
    <w:rsid w:val="00521E77"/>
    <w:rsid w:val="00522325"/>
    <w:rsid w:val="00522328"/>
    <w:rsid w:val="0052259D"/>
    <w:rsid w:val="0052275D"/>
    <w:rsid w:val="00522873"/>
    <w:rsid w:val="00522A67"/>
    <w:rsid w:val="00522B4C"/>
    <w:rsid w:val="00522B55"/>
    <w:rsid w:val="00522ECE"/>
    <w:rsid w:val="00522FC7"/>
    <w:rsid w:val="005230BF"/>
    <w:rsid w:val="0052315D"/>
    <w:rsid w:val="005233EC"/>
    <w:rsid w:val="00523862"/>
    <w:rsid w:val="00523A4F"/>
    <w:rsid w:val="00523A85"/>
    <w:rsid w:val="00523B90"/>
    <w:rsid w:val="00523CBF"/>
    <w:rsid w:val="00523D1D"/>
    <w:rsid w:val="00523D7E"/>
    <w:rsid w:val="00524234"/>
    <w:rsid w:val="005244F3"/>
    <w:rsid w:val="00524C46"/>
    <w:rsid w:val="00524ECB"/>
    <w:rsid w:val="00524F2B"/>
    <w:rsid w:val="00525898"/>
    <w:rsid w:val="00525FFE"/>
    <w:rsid w:val="005262D1"/>
    <w:rsid w:val="00526390"/>
    <w:rsid w:val="00526631"/>
    <w:rsid w:val="0052678D"/>
    <w:rsid w:val="00526B39"/>
    <w:rsid w:val="00526D6F"/>
    <w:rsid w:val="00526E81"/>
    <w:rsid w:val="00527004"/>
    <w:rsid w:val="005270C9"/>
    <w:rsid w:val="005271AD"/>
    <w:rsid w:val="0052720E"/>
    <w:rsid w:val="00527230"/>
    <w:rsid w:val="005275C5"/>
    <w:rsid w:val="00527787"/>
    <w:rsid w:val="00527AB7"/>
    <w:rsid w:val="00527B85"/>
    <w:rsid w:val="00527FF0"/>
    <w:rsid w:val="005300B3"/>
    <w:rsid w:val="00530498"/>
    <w:rsid w:val="005304CF"/>
    <w:rsid w:val="0053065B"/>
    <w:rsid w:val="00531093"/>
    <w:rsid w:val="00531A2B"/>
    <w:rsid w:val="00531AE3"/>
    <w:rsid w:val="00531D7E"/>
    <w:rsid w:val="00532308"/>
    <w:rsid w:val="0053246F"/>
    <w:rsid w:val="00532502"/>
    <w:rsid w:val="00532529"/>
    <w:rsid w:val="00532644"/>
    <w:rsid w:val="005326BD"/>
    <w:rsid w:val="0053273C"/>
    <w:rsid w:val="00532BBB"/>
    <w:rsid w:val="00532D7A"/>
    <w:rsid w:val="00532DC4"/>
    <w:rsid w:val="00532EDD"/>
    <w:rsid w:val="00533082"/>
    <w:rsid w:val="00533125"/>
    <w:rsid w:val="005331CE"/>
    <w:rsid w:val="00533249"/>
    <w:rsid w:val="005335BD"/>
    <w:rsid w:val="00533B14"/>
    <w:rsid w:val="00533EDD"/>
    <w:rsid w:val="00533F52"/>
    <w:rsid w:val="005347CF"/>
    <w:rsid w:val="00534C0A"/>
    <w:rsid w:val="005358CC"/>
    <w:rsid w:val="00535F74"/>
    <w:rsid w:val="0053610D"/>
    <w:rsid w:val="00536112"/>
    <w:rsid w:val="00536536"/>
    <w:rsid w:val="0053665C"/>
    <w:rsid w:val="0053681C"/>
    <w:rsid w:val="00536FC8"/>
    <w:rsid w:val="005370C1"/>
    <w:rsid w:val="00537463"/>
    <w:rsid w:val="005374C6"/>
    <w:rsid w:val="005378D0"/>
    <w:rsid w:val="00537981"/>
    <w:rsid w:val="005379C0"/>
    <w:rsid w:val="00537B09"/>
    <w:rsid w:val="00537C45"/>
    <w:rsid w:val="00537F04"/>
    <w:rsid w:val="00540418"/>
    <w:rsid w:val="00540463"/>
    <w:rsid w:val="0054078A"/>
    <w:rsid w:val="00540889"/>
    <w:rsid w:val="00540C5C"/>
    <w:rsid w:val="00540CD9"/>
    <w:rsid w:val="00541015"/>
    <w:rsid w:val="005411B4"/>
    <w:rsid w:val="005412E9"/>
    <w:rsid w:val="0054156B"/>
    <w:rsid w:val="00541C71"/>
    <w:rsid w:val="00541CA0"/>
    <w:rsid w:val="00541DA6"/>
    <w:rsid w:val="00541E75"/>
    <w:rsid w:val="00542272"/>
    <w:rsid w:val="005422A2"/>
    <w:rsid w:val="0054309F"/>
    <w:rsid w:val="005430C0"/>
    <w:rsid w:val="00543178"/>
    <w:rsid w:val="00543A1B"/>
    <w:rsid w:val="00543A7D"/>
    <w:rsid w:val="00543D3E"/>
    <w:rsid w:val="005449B2"/>
    <w:rsid w:val="00544C19"/>
    <w:rsid w:val="00544C4E"/>
    <w:rsid w:val="00544C87"/>
    <w:rsid w:val="005456A1"/>
    <w:rsid w:val="0054574D"/>
    <w:rsid w:val="0054578D"/>
    <w:rsid w:val="00545AE4"/>
    <w:rsid w:val="00545DE0"/>
    <w:rsid w:val="00545F18"/>
    <w:rsid w:val="0054627E"/>
    <w:rsid w:val="005467AB"/>
    <w:rsid w:val="00546CB8"/>
    <w:rsid w:val="00546E61"/>
    <w:rsid w:val="00546EBB"/>
    <w:rsid w:val="00546EE5"/>
    <w:rsid w:val="00547316"/>
    <w:rsid w:val="00547624"/>
    <w:rsid w:val="005476A1"/>
    <w:rsid w:val="00547BB2"/>
    <w:rsid w:val="00550395"/>
    <w:rsid w:val="00550B4B"/>
    <w:rsid w:val="00550D38"/>
    <w:rsid w:val="00550F71"/>
    <w:rsid w:val="005510F0"/>
    <w:rsid w:val="0055190D"/>
    <w:rsid w:val="0055197D"/>
    <w:rsid w:val="0055216A"/>
    <w:rsid w:val="0055230F"/>
    <w:rsid w:val="0055255B"/>
    <w:rsid w:val="00552A4A"/>
    <w:rsid w:val="005532FE"/>
    <w:rsid w:val="005537F0"/>
    <w:rsid w:val="0055387C"/>
    <w:rsid w:val="00553F9E"/>
    <w:rsid w:val="005541EF"/>
    <w:rsid w:val="005545EE"/>
    <w:rsid w:val="005548FB"/>
    <w:rsid w:val="00554B0F"/>
    <w:rsid w:val="0055515F"/>
    <w:rsid w:val="0055518E"/>
    <w:rsid w:val="005557E1"/>
    <w:rsid w:val="00555F80"/>
    <w:rsid w:val="0055665E"/>
    <w:rsid w:val="00556C60"/>
    <w:rsid w:val="00556FEF"/>
    <w:rsid w:val="005571C7"/>
    <w:rsid w:val="00557241"/>
    <w:rsid w:val="005573AA"/>
    <w:rsid w:val="0055773C"/>
    <w:rsid w:val="005578CB"/>
    <w:rsid w:val="005578FA"/>
    <w:rsid w:val="00557AA3"/>
    <w:rsid w:val="00557AF6"/>
    <w:rsid w:val="00557D98"/>
    <w:rsid w:val="00560264"/>
    <w:rsid w:val="0056026D"/>
    <w:rsid w:val="005609AF"/>
    <w:rsid w:val="00560A37"/>
    <w:rsid w:val="00560C91"/>
    <w:rsid w:val="00560D26"/>
    <w:rsid w:val="00560F4F"/>
    <w:rsid w:val="005610DC"/>
    <w:rsid w:val="0056124F"/>
    <w:rsid w:val="00561318"/>
    <w:rsid w:val="00561643"/>
    <w:rsid w:val="00561D67"/>
    <w:rsid w:val="00561DDF"/>
    <w:rsid w:val="00561E99"/>
    <w:rsid w:val="005620CD"/>
    <w:rsid w:val="0056242F"/>
    <w:rsid w:val="00562A3C"/>
    <w:rsid w:val="0056304A"/>
    <w:rsid w:val="00563079"/>
    <w:rsid w:val="005631C4"/>
    <w:rsid w:val="005633C3"/>
    <w:rsid w:val="00563862"/>
    <w:rsid w:val="0056391B"/>
    <w:rsid w:val="00563A63"/>
    <w:rsid w:val="0056439E"/>
    <w:rsid w:val="005647E7"/>
    <w:rsid w:val="00564953"/>
    <w:rsid w:val="00564B75"/>
    <w:rsid w:val="00565160"/>
    <w:rsid w:val="00565167"/>
    <w:rsid w:val="00565500"/>
    <w:rsid w:val="005655D8"/>
    <w:rsid w:val="00565739"/>
    <w:rsid w:val="00565B69"/>
    <w:rsid w:val="00565C8D"/>
    <w:rsid w:val="00565E88"/>
    <w:rsid w:val="00566980"/>
    <w:rsid w:val="005669E4"/>
    <w:rsid w:val="00566A59"/>
    <w:rsid w:val="00566D4D"/>
    <w:rsid w:val="00566D82"/>
    <w:rsid w:val="00566DF4"/>
    <w:rsid w:val="0056703C"/>
    <w:rsid w:val="00567202"/>
    <w:rsid w:val="0056754D"/>
    <w:rsid w:val="00567932"/>
    <w:rsid w:val="00567BAB"/>
    <w:rsid w:val="00567C6C"/>
    <w:rsid w:val="00567F82"/>
    <w:rsid w:val="00567F87"/>
    <w:rsid w:val="00567FFC"/>
    <w:rsid w:val="00570081"/>
    <w:rsid w:val="00570363"/>
    <w:rsid w:val="005707C4"/>
    <w:rsid w:val="005708E7"/>
    <w:rsid w:val="00570A32"/>
    <w:rsid w:val="00570C36"/>
    <w:rsid w:val="00571078"/>
    <w:rsid w:val="005710C4"/>
    <w:rsid w:val="005710DE"/>
    <w:rsid w:val="0057150A"/>
    <w:rsid w:val="005717F0"/>
    <w:rsid w:val="005718DF"/>
    <w:rsid w:val="00571B5B"/>
    <w:rsid w:val="00572AF4"/>
    <w:rsid w:val="00572BFD"/>
    <w:rsid w:val="00572D61"/>
    <w:rsid w:val="00572E05"/>
    <w:rsid w:val="00572EBC"/>
    <w:rsid w:val="005731A7"/>
    <w:rsid w:val="00573382"/>
    <w:rsid w:val="0057379A"/>
    <w:rsid w:val="00573A8E"/>
    <w:rsid w:val="00573E92"/>
    <w:rsid w:val="00574068"/>
    <w:rsid w:val="00574303"/>
    <w:rsid w:val="00574945"/>
    <w:rsid w:val="0057505C"/>
    <w:rsid w:val="0057576A"/>
    <w:rsid w:val="005757AD"/>
    <w:rsid w:val="00575A3E"/>
    <w:rsid w:val="00575B0A"/>
    <w:rsid w:val="00575B4B"/>
    <w:rsid w:val="00575BAA"/>
    <w:rsid w:val="00575EF6"/>
    <w:rsid w:val="00576C7D"/>
    <w:rsid w:val="00576EED"/>
    <w:rsid w:val="0057710F"/>
    <w:rsid w:val="0057728D"/>
    <w:rsid w:val="00577298"/>
    <w:rsid w:val="005772AF"/>
    <w:rsid w:val="00577764"/>
    <w:rsid w:val="00577834"/>
    <w:rsid w:val="00577D96"/>
    <w:rsid w:val="00577DA3"/>
    <w:rsid w:val="00577E78"/>
    <w:rsid w:val="00577FF9"/>
    <w:rsid w:val="0058037D"/>
    <w:rsid w:val="005804C7"/>
    <w:rsid w:val="00580937"/>
    <w:rsid w:val="00580E61"/>
    <w:rsid w:val="00580F58"/>
    <w:rsid w:val="0058100F"/>
    <w:rsid w:val="005810C7"/>
    <w:rsid w:val="00581423"/>
    <w:rsid w:val="00581620"/>
    <w:rsid w:val="00581653"/>
    <w:rsid w:val="005816FB"/>
    <w:rsid w:val="00581F69"/>
    <w:rsid w:val="00581FDC"/>
    <w:rsid w:val="00582302"/>
    <w:rsid w:val="00583035"/>
    <w:rsid w:val="005831F9"/>
    <w:rsid w:val="0058320F"/>
    <w:rsid w:val="00583565"/>
    <w:rsid w:val="00583827"/>
    <w:rsid w:val="00583F62"/>
    <w:rsid w:val="0058405B"/>
    <w:rsid w:val="00584067"/>
    <w:rsid w:val="00584ED9"/>
    <w:rsid w:val="00585012"/>
    <w:rsid w:val="005851EB"/>
    <w:rsid w:val="00585480"/>
    <w:rsid w:val="00585481"/>
    <w:rsid w:val="005855F1"/>
    <w:rsid w:val="005857A6"/>
    <w:rsid w:val="0058581D"/>
    <w:rsid w:val="00585861"/>
    <w:rsid w:val="00585A77"/>
    <w:rsid w:val="00585DD0"/>
    <w:rsid w:val="00586447"/>
    <w:rsid w:val="0058661B"/>
    <w:rsid w:val="00586AD9"/>
    <w:rsid w:val="00586C7D"/>
    <w:rsid w:val="00586F0F"/>
    <w:rsid w:val="0058702F"/>
    <w:rsid w:val="00587067"/>
    <w:rsid w:val="0058728A"/>
    <w:rsid w:val="00587795"/>
    <w:rsid w:val="00587A3B"/>
    <w:rsid w:val="00587B99"/>
    <w:rsid w:val="00587EFC"/>
    <w:rsid w:val="005901FC"/>
    <w:rsid w:val="005903F2"/>
    <w:rsid w:val="00590BD4"/>
    <w:rsid w:val="00590F5F"/>
    <w:rsid w:val="00591291"/>
    <w:rsid w:val="00591795"/>
    <w:rsid w:val="00591801"/>
    <w:rsid w:val="005919E3"/>
    <w:rsid w:val="00591B91"/>
    <w:rsid w:val="00591C3C"/>
    <w:rsid w:val="00591CFC"/>
    <w:rsid w:val="00591F2C"/>
    <w:rsid w:val="005920EA"/>
    <w:rsid w:val="0059269F"/>
    <w:rsid w:val="00592707"/>
    <w:rsid w:val="00592B3B"/>
    <w:rsid w:val="00592B71"/>
    <w:rsid w:val="00593103"/>
    <w:rsid w:val="00593185"/>
    <w:rsid w:val="0059365F"/>
    <w:rsid w:val="00593E8D"/>
    <w:rsid w:val="00593FDC"/>
    <w:rsid w:val="00594309"/>
    <w:rsid w:val="0059459E"/>
    <w:rsid w:val="0059499E"/>
    <w:rsid w:val="00595279"/>
    <w:rsid w:val="0059536A"/>
    <w:rsid w:val="00595FBB"/>
    <w:rsid w:val="0059663C"/>
    <w:rsid w:val="00596B1A"/>
    <w:rsid w:val="00597100"/>
    <w:rsid w:val="005972A1"/>
    <w:rsid w:val="00597314"/>
    <w:rsid w:val="005973D1"/>
    <w:rsid w:val="00597831"/>
    <w:rsid w:val="00597D5E"/>
    <w:rsid w:val="00597E48"/>
    <w:rsid w:val="005A0087"/>
    <w:rsid w:val="005A01BF"/>
    <w:rsid w:val="005A0BD7"/>
    <w:rsid w:val="005A0F08"/>
    <w:rsid w:val="005A10A1"/>
    <w:rsid w:val="005A12DC"/>
    <w:rsid w:val="005A1362"/>
    <w:rsid w:val="005A163E"/>
    <w:rsid w:val="005A191C"/>
    <w:rsid w:val="005A1A4A"/>
    <w:rsid w:val="005A1DEA"/>
    <w:rsid w:val="005A1FB6"/>
    <w:rsid w:val="005A216E"/>
    <w:rsid w:val="005A21D4"/>
    <w:rsid w:val="005A236C"/>
    <w:rsid w:val="005A253C"/>
    <w:rsid w:val="005A2583"/>
    <w:rsid w:val="005A2C32"/>
    <w:rsid w:val="005A2C9A"/>
    <w:rsid w:val="005A3020"/>
    <w:rsid w:val="005A318C"/>
    <w:rsid w:val="005A3222"/>
    <w:rsid w:val="005A330D"/>
    <w:rsid w:val="005A3368"/>
    <w:rsid w:val="005A3395"/>
    <w:rsid w:val="005A38D5"/>
    <w:rsid w:val="005A3AD7"/>
    <w:rsid w:val="005A3E02"/>
    <w:rsid w:val="005A3FE8"/>
    <w:rsid w:val="005A4229"/>
    <w:rsid w:val="005A4303"/>
    <w:rsid w:val="005A4377"/>
    <w:rsid w:val="005A448E"/>
    <w:rsid w:val="005A4CAD"/>
    <w:rsid w:val="005A504C"/>
    <w:rsid w:val="005A504E"/>
    <w:rsid w:val="005A50D0"/>
    <w:rsid w:val="005A5247"/>
    <w:rsid w:val="005A530B"/>
    <w:rsid w:val="005A54D2"/>
    <w:rsid w:val="005A581C"/>
    <w:rsid w:val="005A6156"/>
    <w:rsid w:val="005A6198"/>
    <w:rsid w:val="005A65ED"/>
    <w:rsid w:val="005A6B23"/>
    <w:rsid w:val="005A7057"/>
    <w:rsid w:val="005A71B1"/>
    <w:rsid w:val="005A7649"/>
    <w:rsid w:val="005A7F7E"/>
    <w:rsid w:val="005B00B8"/>
    <w:rsid w:val="005B0198"/>
    <w:rsid w:val="005B0206"/>
    <w:rsid w:val="005B06A2"/>
    <w:rsid w:val="005B07BB"/>
    <w:rsid w:val="005B095C"/>
    <w:rsid w:val="005B1409"/>
    <w:rsid w:val="005B1434"/>
    <w:rsid w:val="005B16C3"/>
    <w:rsid w:val="005B1A5F"/>
    <w:rsid w:val="005B1B22"/>
    <w:rsid w:val="005B1C12"/>
    <w:rsid w:val="005B1F1B"/>
    <w:rsid w:val="005B2566"/>
    <w:rsid w:val="005B2859"/>
    <w:rsid w:val="005B28F7"/>
    <w:rsid w:val="005B2A37"/>
    <w:rsid w:val="005B2AC3"/>
    <w:rsid w:val="005B2ADE"/>
    <w:rsid w:val="005B2D11"/>
    <w:rsid w:val="005B30A7"/>
    <w:rsid w:val="005B30CD"/>
    <w:rsid w:val="005B30FF"/>
    <w:rsid w:val="005B33E2"/>
    <w:rsid w:val="005B347F"/>
    <w:rsid w:val="005B3564"/>
    <w:rsid w:val="005B3D90"/>
    <w:rsid w:val="005B3F00"/>
    <w:rsid w:val="005B4527"/>
    <w:rsid w:val="005B460F"/>
    <w:rsid w:val="005B4777"/>
    <w:rsid w:val="005B4950"/>
    <w:rsid w:val="005B4CA9"/>
    <w:rsid w:val="005B4EEA"/>
    <w:rsid w:val="005B5175"/>
    <w:rsid w:val="005B5A98"/>
    <w:rsid w:val="005B5BAE"/>
    <w:rsid w:val="005B5EE7"/>
    <w:rsid w:val="005B65FB"/>
    <w:rsid w:val="005B67AA"/>
    <w:rsid w:val="005B67C0"/>
    <w:rsid w:val="005B67CD"/>
    <w:rsid w:val="005B6EB6"/>
    <w:rsid w:val="005B6F79"/>
    <w:rsid w:val="005B74B3"/>
    <w:rsid w:val="005B74DF"/>
    <w:rsid w:val="005B7680"/>
    <w:rsid w:val="005B77FF"/>
    <w:rsid w:val="005B7879"/>
    <w:rsid w:val="005B7C6A"/>
    <w:rsid w:val="005B7EAC"/>
    <w:rsid w:val="005C02FA"/>
    <w:rsid w:val="005C0A4F"/>
    <w:rsid w:val="005C0A71"/>
    <w:rsid w:val="005C0B80"/>
    <w:rsid w:val="005C0C63"/>
    <w:rsid w:val="005C0D10"/>
    <w:rsid w:val="005C0D74"/>
    <w:rsid w:val="005C0E4F"/>
    <w:rsid w:val="005C0F03"/>
    <w:rsid w:val="005C1162"/>
    <w:rsid w:val="005C165D"/>
    <w:rsid w:val="005C16B9"/>
    <w:rsid w:val="005C1878"/>
    <w:rsid w:val="005C19FA"/>
    <w:rsid w:val="005C1BAA"/>
    <w:rsid w:val="005C2026"/>
    <w:rsid w:val="005C21FC"/>
    <w:rsid w:val="005C234B"/>
    <w:rsid w:val="005C2A93"/>
    <w:rsid w:val="005C2DFB"/>
    <w:rsid w:val="005C2FBE"/>
    <w:rsid w:val="005C2FC1"/>
    <w:rsid w:val="005C302E"/>
    <w:rsid w:val="005C313F"/>
    <w:rsid w:val="005C31E7"/>
    <w:rsid w:val="005C32FE"/>
    <w:rsid w:val="005C3317"/>
    <w:rsid w:val="005C34A5"/>
    <w:rsid w:val="005C3A90"/>
    <w:rsid w:val="005C3B08"/>
    <w:rsid w:val="005C3EB7"/>
    <w:rsid w:val="005C4254"/>
    <w:rsid w:val="005C5010"/>
    <w:rsid w:val="005C5238"/>
    <w:rsid w:val="005C5826"/>
    <w:rsid w:val="005C582A"/>
    <w:rsid w:val="005C58FF"/>
    <w:rsid w:val="005C599B"/>
    <w:rsid w:val="005C5A6E"/>
    <w:rsid w:val="005C5BBA"/>
    <w:rsid w:val="005C5DD4"/>
    <w:rsid w:val="005C5F10"/>
    <w:rsid w:val="005C62FF"/>
    <w:rsid w:val="005C6809"/>
    <w:rsid w:val="005C6B9D"/>
    <w:rsid w:val="005C6E61"/>
    <w:rsid w:val="005C742E"/>
    <w:rsid w:val="005C76E4"/>
    <w:rsid w:val="005C7719"/>
    <w:rsid w:val="005C7741"/>
    <w:rsid w:val="005C78D6"/>
    <w:rsid w:val="005C79E7"/>
    <w:rsid w:val="005C7F3E"/>
    <w:rsid w:val="005C7F71"/>
    <w:rsid w:val="005D0166"/>
    <w:rsid w:val="005D01B0"/>
    <w:rsid w:val="005D0529"/>
    <w:rsid w:val="005D0569"/>
    <w:rsid w:val="005D059B"/>
    <w:rsid w:val="005D07CA"/>
    <w:rsid w:val="005D08D9"/>
    <w:rsid w:val="005D0901"/>
    <w:rsid w:val="005D112B"/>
    <w:rsid w:val="005D1136"/>
    <w:rsid w:val="005D133D"/>
    <w:rsid w:val="005D1591"/>
    <w:rsid w:val="005D15B2"/>
    <w:rsid w:val="005D2154"/>
    <w:rsid w:val="005D2316"/>
    <w:rsid w:val="005D26EB"/>
    <w:rsid w:val="005D2995"/>
    <w:rsid w:val="005D2AC7"/>
    <w:rsid w:val="005D2BAE"/>
    <w:rsid w:val="005D312F"/>
    <w:rsid w:val="005D3790"/>
    <w:rsid w:val="005D38E3"/>
    <w:rsid w:val="005D3A58"/>
    <w:rsid w:val="005D3B8A"/>
    <w:rsid w:val="005D3BDC"/>
    <w:rsid w:val="005D3BDD"/>
    <w:rsid w:val="005D3FD7"/>
    <w:rsid w:val="005D3FF6"/>
    <w:rsid w:val="005D4232"/>
    <w:rsid w:val="005D4386"/>
    <w:rsid w:val="005D44C2"/>
    <w:rsid w:val="005D4760"/>
    <w:rsid w:val="005D4E8C"/>
    <w:rsid w:val="005D5313"/>
    <w:rsid w:val="005D554F"/>
    <w:rsid w:val="005D58A0"/>
    <w:rsid w:val="005D5C91"/>
    <w:rsid w:val="005D62A0"/>
    <w:rsid w:val="005D666E"/>
    <w:rsid w:val="005D69DE"/>
    <w:rsid w:val="005D6BF6"/>
    <w:rsid w:val="005D6D22"/>
    <w:rsid w:val="005D70E0"/>
    <w:rsid w:val="005D7461"/>
    <w:rsid w:val="005D7587"/>
    <w:rsid w:val="005D7734"/>
    <w:rsid w:val="005D797F"/>
    <w:rsid w:val="005D7B0E"/>
    <w:rsid w:val="005E0008"/>
    <w:rsid w:val="005E0034"/>
    <w:rsid w:val="005E035C"/>
    <w:rsid w:val="005E0382"/>
    <w:rsid w:val="005E063D"/>
    <w:rsid w:val="005E07F4"/>
    <w:rsid w:val="005E092D"/>
    <w:rsid w:val="005E09A6"/>
    <w:rsid w:val="005E0AA4"/>
    <w:rsid w:val="005E0C5B"/>
    <w:rsid w:val="005E0D10"/>
    <w:rsid w:val="005E1037"/>
    <w:rsid w:val="005E1458"/>
    <w:rsid w:val="005E150C"/>
    <w:rsid w:val="005E1927"/>
    <w:rsid w:val="005E1AA4"/>
    <w:rsid w:val="005E1B7D"/>
    <w:rsid w:val="005E1BEF"/>
    <w:rsid w:val="005E1D66"/>
    <w:rsid w:val="005E22C9"/>
    <w:rsid w:val="005E28F7"/>
    <w:rsid w:val="005E2A27"/>
    <w:rsid w:val="005E2D00"/>
    <w:rsid w:val="005E2F92"/>
    <w:rsid w:val="005E329F"/>
    <w:rsid w:val="005E38AE"/>
    <w:rsid w:val="005E393E"/>
    <w:rsid w:val="005E3994"/>
    <w:rsid w:val="005E39E8"/>
    <w:rsid w:val="005E3AB5"/>
    <w:rsid w:val="005E3C99"/>
    <w:rsid w:val="005E3CC9"/>
    <w:rsid w:val="005E3F8B"/>
    <w:rsid w:val="005E400B"/>
    <w:rsid w:val="005E424A"/>
    <w:rsid w:val="005E4380"/>
    <w:rsid w:val="005E44C0"/>
    <w:rsid w:val="005E4BD9"/>
    <w:rsid w:val="005E5006"/>
    <w:rsid w:val="005E5028"/>
    <w:rsid w:val="005E508B"/>
    <w:rsid w:val="005E5934"/>
    <w:rsid w:val="005E5939"/>
    <w:rsid w:val="005E59DF"/>
    <w:rsid w:val="005E5F32"/>
    <w:rsid w:val="005E613E"/>
    <w:rsid w:val="005E624D"/>
    <w:rsid w:val="005E647D"/>
    <w:rsid w:val="005E67DC"/>
    <w:rsid w:val="005E6EA0"/>
    <w:rsid w:val="005E6EC0"/>
    <w:rsid w:val="005E7296"/>
    <w:rsid w:val="005E743C"/>
    <w:rsid w:val="005E75E7"/>
    <w:rsid w:val="005E7A05"/>
    <w:rsid w:val="005E7E8A"/>
    <w:rsid w:val="005E7FCD"/>
    <w:rsid w:val="005F0063"/>
    <w:rsid w:val="005F0661"/>
    <w:rsid w:val="005F08F7"/>
    <w:rsid w:val="005F0F4F"/>
    <w:rsid w:val="005F0F97"/>
    <w:rsid w:val="005F0FA8"/>
    <w:rsid w:val="005F1069"/>
    <w:rsid w:val="005F1341"/>
    <w:rsid w:val="005F14C1"/>
    <w:rsid w:val="005F187A"/>
    <w:rsid w:val="005F19D2"/>
    <w:rsid w:val="005F1C1F"/>
    <w:rsid w:val="005F1CE9"/>
    <w:rsid w:val="005F1D9D"/>
    <w:rsid w:val="005F224D"/>
    <w:rsid w:val="005F285D"/>
    <w:rsid w:val="005F2AD7"/>
    <w:rsid w:val="005F2C7A"/>
    <w:rsid w:val="005F30A5"/>
    <w:rsid w:val="005F30C4"/>
    <w:rsid w:val="005F38C4"/>
    <w:rsid w:val="005F39EF"/>
    <w:rsid w:val="005F3A9B"/>
    <w:rsid w:val="005F3AD1"/>
    <w:rsid w:val="005F4004"/>
    <w:rsid w:val="005F457E"/>
    <w:rsid w:val="005F4B66"/>
    <w:rsid w:val="005F4C1F"/>
    <w:rsid w:val="005F4E6B"/>
    <w:rsid w:val="005F4ECF"/>
    <w:rsid w:val="005F4F35"/>
    <w:rsid w:val="005F4FCE"/>
    <w:rsid w:val="005F55B4"/>
    <w:rsid w:val="005F563F"/>
    <w:rsid w:val="005F5663"/>
    <w:rsid w:val="005F570E"/>
    <w:rsid w:val="005F57F1"/>
    <w:rsid w:val="005F5A65"/>
    <w:rsid w:val="005F5A9C"/>
    <w:rsid w:val="005F5CAB"/>
    <w:rsid w:val="005F5CB1"/>
    <w:rsid w:val="005F6055"/>
    <w:rsid w:val="005F60F4"/>
    <w:rsid w:val="005F649F"/>
    <w:rsid w:val="005F652D"/>
    <w:rsid w:val="005F6640"/>
    <w:rsid w:val="005F6C06"/>
    <w:rsid w:val="005F6C80"/>
    <w:rsid w:val="005F73E7"/>
    <w:rsid w:val="005F76FE"/>
    <w:rsid w:val="005F7749"/>
    <w:rsid w:val="005F7950"/>
    <w:rsid w:val="005F79B1"/>
    <w:rsid w:val="005F79F4"/>
    <w:rsid w:val="005F7BD0"/>
    <w:rsid w:val="005F7DA3"/>
    <w:rsid w:val="006002E5"/>
    <w:rsid w:val="0060048F"/>
    <w:rsid w:val="00600643"/>
    <w:rsid w:val="00600C5B"/>
    <w:rsid w:val="00600DA4"/>
    <w:rsid w:val="00600E7F"/>
    <w:rsid w:val="006014F1"/>
    <w:rsid w:val="00601ACD"/>
    <w:rsid w:val="00601BBD"/>
    <w:rsid w:val="00601E7E"/>
    <w:rsid w:val="00601EDD"/>
    <w:rsid w:val="006020AC"/>
    <w:rsid w:val="006030EB"/>
    <w:rsid w:val="006035C6"/>
    <w:rsid w:val="006036B0"/>
    <w:rsid w:val="00603A4C"/>
    <w:rsid w:val="00603C6C"/>
    <w:rsid w:val="00604022"/>
    <w:rsid w:val="0060426F"/>
    <w:rsid w:val="00604301"/>
    <w:rsid w:val="0060481D"/>
    <w:rsid w:val="00604B1B"/>
    <w:rsid w:val="00604B5E"/>
    <w:rsid w:val="0060566C"/>
    <w:rsid w:val="0060580B"/>
    <w:rsid w:val="00605A9A"/>
    <w:rsid w:val="00605B32"/>
    <w:rsid w:val="006062C5"/>
    <w:rsid w:val="006062D0"/>
    <w:rsid w:val="00606415"/>
    <w:rsid w:val="0060656E"/>
    <w:rsid w:val="00606689"/>
    <w:rsid w:val="006069E3"/>
    <w:rsid w:val="00606AC8"/>
    <w:rsid w:val="00606B84"/>
    <w:rsid w:val="00606D95"/>
    <w:rsid w:val="00606DF3"/>
    <w:rsid w:val="00607160"/>
    <w:rsid w:val="00607215"/>
    <w:rsid w:val="006072CD"/>
    <w:rsid w:val="0060761D"/>
    <w:rsid w:val="0060771A"/>
    <w:rsid w:val="0060798D"/>
    <w:rsid w:val="00607FF6"/>
    <w:rsid w:val="006100C6"/>
    <w:rsid w:val="006101C7"/>
    <w:rsid w:val="006103F5"/>
    <w:rsid w:val="0061097A"/>
    <w:rsid w:val="00610A13"/>
    <w:rsid w:val="00610FFB"/>
    <w:rsid w:val="006111C0"/>
    <w:rsid w:val="00611422"/>
    <w:rsid w:val="006128D1"/>
    <w:rsid w:val="00612941"/>
    <w:rsid w:val="00612ABB"/>
    <w:rsid w:val="00613105"/>
    <w:rsid w:val="0061316D"/>
    <w:rsid w:val="006131BF"/>
    <w:rsid w:val="006131D3"/>
    <w:rsid w:val="0061336C"/>
    <w:rsid w:val="006133F0"/>
    <w:rsid w:val="006135D9"/>
    <w:rsid w:val="00613809"/>
    <w:rsid w:val="0061411E"/>
    <w:rsid w:val="0061440D"/>
    <w:rsid w:val="00614501"/>
    <w:rsid w:val="006146A1"/>
    <w:rsid w:val="006149F3"/>
    <w:rsid w:val="00614D93"/>
    <w:rsid w:val="00615276"/>
    <w:rsid w:val="0061550E"/>
    <w:rsid w:val="006157AC"/>
    <w:rsid w:val="0061584F"/>
    <w:rsid w:val="00615B38"/>
    <w:rsid w:val="00616063"/>
    <w:rsid w:val="006162B1"/>
    <w:rsid w:val="00616460"/>
    <w:rsid w:val="00616790"/>
    <w:rsid w:val="006167C7"/>
    <w:rsid w:val="006168D6"/>
    <w:rsid w:val="00616910"/>
    <w:rsid w:val="00616CCB"/>
    <w:rsid w:val="00616D10"/>
    <w:rsid w:val="00616DEA"/>
    <w:rsid w:val="006171C0"/>
    <w:rsid w:val="0061763D"/>
    <w:rsid w:val="006176D3"/>
    <w:rsid w:val="0061794D"/>
    <w:rsid w:val="00617A0E"/>
    <w:rsid w:val="00617A44"/>
    <w:rsid w:val="00617ADD"/>
    <w:rsid w:val="00617F79"/>
    <w:rsid w:val="006201A3"/>
    <w:rsid w:val="006205EE"/>
    <w:rsid w:val="0062064C"/>
    <w:rsid w:val="006207E0"/>
    <w:rsid w:val="006209C2"/>
    <w:rsid w:val="006209E3"/>
    <w:rsid w:val="00620B90"/>
    <w:rsid w:val="00620EDD"/>
    <w:rsid w:val="00621583"/>
    <w:rsid w:val="006219C4"/>
    <w:rsid w:val="00621C9E"/>
    <w:rsid w:val="00621EFA"/>
    <w:rsid w:val="00622329"/>
    <w:rsid w:val="00622418"/>
    <w:rsid w:val="00622C27"/>
    <w:rsid w:val="0062334F"/>
    <w:rsid w:val="006234CE"/>
    <w:rsid w:val="0062352A"/>
    <w:rsid w:val="00623675"/>
    <w:rsid w:val="00623ADC"/>
    <w:rsid w:val="00623C5C"/>
    <w:rsid w:val="00623EEE"/>
    <w:rsid w:val="006246A1"/>
    <w:rsid w:val="00624737"/>
    <w:rsid w:val="00624D3B"/>
    <w:rsid w:val="00624F11"/>
    <w:rsid w:val="00625233"/>
    <w:rsid w:val="0062538C"/>
    <w:rsid w:val="006255C9"/>
    <w:rsid w:val="00625809"/>
    <w:rsid w:val="00625FC1"/>
    <w:rsid w:val="006260F1"/>
    <w:rsid w:val="00626122"/>
    <w:rsid w:val="0062654C"/>
    <w:rsid w:val="00626ADC"/>
    <w:rsid w:val="00626E80"/>
    <w:rsid w:val="006277C4"/>
    <w:rsid w:val="006277E5"/>
    <w:rsid w:val="006278EA"/>
    <w:rsid w:val="00627D33"/>
    <w:rsid w:val="00627ECF"/>
    <w:rsid w:val="006303D1"/>
    <w:rsid w:val="0063059C"/>
    <w:rsid w:val="00630771"/>
    <w:rsid w:val="00630A98"/>
    <w:rsid w:val="00630B4F"/>
    <w:rsid w:val="00630B94"/>
    <w:rsid w:val="00630BD9"/>
    <w:rsid w:val="00630DAC"/>
    <w:rsid w:val="0063137D"/>
    <w:rsid w:val="006323C9"/>
    <w:rsid w:val="00632AA0"/>
    <w:rsid w:val="00632AB8"/>
    <w:rsid w:val="00632F42"/>
    <w:rsid w:val="00633073"/>
    <w:rsid w:val="00633AD9"/>
    <w:rsid w:val="00633D98"/>
    <w:rsid w:val="00633F41"/>
    <w:rsid w:val="00633FFC"/>
    <w:rsid w:val="00634049"/>
    <w:rsid w:val="00634095"/>
    <w:rsid w:val="00634C84"/>
    <w:rsid w:val="00634D7F"/>
    <w:rsid w:val="0063530F"/>
    <w:rsid w:val="006353EC"/>
    <w:rsid w:val="00635667"/>
    <w:rsid w:val="00635688"/>
    <w:rsid w:val="00635768"/>
    <w:rsid w:val="00635B60"/>
    <w:rsid w:val="00635C4E"/>
    <w:rsid w:val="00635E67"/>
    <w:rsid w:val="00636424"/>
    <w:rsid w:val="00636835"/>
    <w:rsid w:val="00636C7C"/>
    <w:rsid w:val="006372FE"/>
    <w:rsid w:val="0063788D"/>
    <w:rsid w:val="006379FF"/>
    <w:rsid w:val="00637EB9"/>
    <w:rsid w:val="00637F71"/>
    <w:rsid w:val="0064019C"/>
    <w:rsid w:val="006408EE"/>
    <w:rsid w:val="006409C4"/>
    <w:rsid w:val="00640A85"/>
    <w:rsid w:val="0064131F"/>
    <w:rsid w:val="0064152C"/>
    <w:rsid w:val="006415D0"/>
    <w:rsid w:val="00641ADD"/>
    <w:rsid w:val="00641D36"/>
    <w:rsid w:val="00641DD0"/>
    <w:rsid w:val="006423E2"/>
    <w:rsid w:val="0064337F"/>
    <w:rsid w:val="00643AE1"/>
    <w:rsid w:val="00643CB7"/>
    <w:rsid w:val="00643D6F"/>
    <w:rsid w:val="00643DA4"/>
    <w:rsid w:val="0064433D"/>
    <w:rsid w:val="006443FF"/>
    <w:rsid w:val="00644690"/>
    <w:rsid w:val="00644820"/>
    <w:rsid w:val="00644DD8"/>
    <w:rsid w:val="006451E3"/>
    <w:rsid w:val="00645D5B"/>
    <w:rsid w:val="0064615B"/>
    <w:rsid w:val="0064615D"/>
    <w:rsid w:val="006464BD"/>
    <w:rsid w:val="006465E3"/>
    <w:rsid w:val="00646691"/>
    <w:rsid w:val="006468D5"/>
    <w:rsid w:val="00646A7D"/>
    <w:rsid w:val="00646D39"/>
    <w:rsid w:val="00646EEC"/>
    <w:rsid w:val="006474C5"/>
    <w:rsid w:val="0064771A"/>
    <w:rsid w:val="00647786"/>
    <w:rsid w:val="00647A7B"/>
    <w:rsid w:val="00647BB2"/>
    <w:rsid w:val="00647D50"/>
    <w:rsid w:val="00647E4A"/>
    <w:rsid w:val="00650477"/>
    <w:rsid w:val="006504F6"/>
    <w:rsid w:val="0065075F"/>
    <w:rsid w:val="00650DB6"/>
    <w:rsid w:val="00650F71"/>
    <w:rsid w:val="00651018"/>
    <w:rsid w:val="006511CD"/>
    <w:rsid w:val="00651506"/>
    <w:rsid w:val="00651888"/>
    <w:rsid w:val="006518BE"/>
    <w:rsid w:val="00651906"/>
    <w:rsid w:val="00651C7B"/>
    <w:rsid w:val="00651D0B"/>
    <w:rsid w:val="00651D35"/>
    <w:rsid w:val="006521E2"/>
    <w:rsid w:val="00652396"/>
    <w:rsid w:val="006524B6"/>
    <w:rsid w:val="006528CB"/>
    <w:rsid w:val="00652A2C"/>
    <w:rsid w:val="00652AF5"/>
    <w:rsid w:val="00652E0D"/>
    <w:rsid w:val="00653664"/>
    <w:rsid w:val="00653900"/>
    <w:rsid w:val="00653A2F"/>
    <w:rsid w:val="00653D09"/>
    <w:rsid w:val="00653EC9"/>
    <w:rsid w:val="00653F33"/>
    <w:rsid w:val="00654299"/>
    <w:rsid w:val="00654465"/>
    <w:rsid w:val="006544B9"/>
    <w:rsid w:val="0065452E"/>
    <w:rsid w:val="00654BFA"/>
    <w:rsid w:val="00654E14"/>
    <w:rsid w:val="00654E65"/>
    <w:rsid w:val="00654F7F"/>
    <w:rsid w:val="006552F3"/>
    <w:rsid w:val="00655356"/>
    <w:rsid w:val="006553A6"/>
    <w:rsid w:val="00655410"/>
    <w:rsid w:val="00655561"/>
    <w:rsid w:val="00655653"/>
    <w:rsid w:val="00655665"/>
    <w:rsid w:val="00655A05"/>
    <w:rsid w:val="00655AD4"/>
    <w:rsid w:val="00655C28"/>
    <w:rsid w:val="00655DD6"/>
    <w:rsid w:val="00655F42"/>
    <w:rsid w:val="00656152"/>
    <w:rsid w:val="006562D5"/>
    <w:rsid w:val="0065635D"/>
    <w:rsid w:val="006564A0"/>
    <w:rsid w:val="006568FF"/>
    <w:rsid w:val="00657167"/>
    <w:rsid w:val="00657908"/>
    <w:rsid w:val="00657B2A"/>
    <w:rsid w:val="00657C27"/>
    <w:rsid w:val="0066023C"/>
    <w:rsid w:val="0066049F"/>
    <w:rsid w:val="0066054D"/>
    <w:rsid w:val="0066059D"/>
    <w:rsid w:val="00660937"/>
    <w:rsid w:val="00660959"/>
    <w:rsid w:val="006609F1"/>
    <w:rsid w:val="00660A5F"/>
    <w:rsid w:val="00660FE7"/>
    <w:rsid w:val="006610BB"/>
    <w:rsid w:val="006612BB"/>
    <w:rsid w:val="0066147A"/>
    <w:rsid w:val="00661616"/>
    <w:rsid w:val="00661916"/>
    <w:rsid w:val="00661961"/>
    <w:rsid w:val="00661C08"/>
    <w:rsid w:val="00661DB6"/>
    <w:rsid w:val="00661F97"/>
    <w:rsid w:val="00662249"/>
    <w:rsid w:val="006622A9"/>
    <w:rsid w:val="006625CE"/>
    <w:rsid w:val="006627D4"/>
    <w:rsid w:val="00662850"/>
    <w:rsid w:val="006629FA"/>
    <w:rsid w:val="00662B03"/>
    <w:rsid w:val="00662B10"/>
    <w:rsid w:val="00662B40"/>
    <w:rsid w:val="00662BCE"/>
    <w:rsid w:val="00662CA6"/>
    <w:rsid w:val="00662F59"/>
    <w:rsid w:val="006632E4"/>
    <w:rsid w:val="00663475"/>
    <w:rsid w:val="006634B1"/>
    <w:rsid w:val="006635F7"/>
    <w:rsid w:val="0066398A"/>
    <w:rsid w:val="006639D4"/>
    <w:rsid w:val="00663B5B"/>
    <w:rsid w:val="00664155"/>
    <w:rsid w:val="00664523"/>
    <w:rsid w:val="006649EA"/>
    <w:rsid w:val="00664E2D"/>
    <w:rsid w:val="00664EEF"/>
    <w:rsid w:val="00664FBE"/>
    <w:rsid w:val="00665150"/>
    <w:rsid w:val="006653CA"/>
    <w:rsid w:val="0066549C"/>
    <w:rsid w:val="006656F7"/>
    <w:rsid w:val="00665F41"/>
    <w:rsid w:val="00666116"/>
    <w:rsid w:val="006663CA"/>
    <w:rsid w:val="006663F3"/>
    <w:rsid w:val="006665BA"/>
    <w:rsid w:val="00666671"/>
    <w:rsid w:val="006668D9"/>
    <w:rsid w:val="006668FF"/>
    <w:rsid w:val="00666C3B"/>
    <w:rsid w:val="0066718C"/>
    <w:rsid w:val="006674A3"/>
    <w:rsid w:val="006676F3"/>
    <w:rsid w:val="0067005A"/>
    <w:rsid w:val="00670493"/>
    <w:rsid w:val="00670628"/>
    <w:rsid w:val="00670759"/>
    <w:rsid w:val="00670E42"/>
    <w:rsid w:val="0067111C"/>
    <w:rsid w:val="0067117E"/>
    <w:rsid w:val="006714AC"/>
    <w:rsid w:val="006714BA"/>
    <w:rsid w:val="00671FC3"/>
    <w:rsid w:val="00671FD5"/>
    <w:rsid w:val="00672614"/>
    <w:rsid w:val="00672698"/>
    <w:rsid w:val="006727A6"/>
    <w:rsid w:val="006727A9"/>
    <w:rsid w:val="006729B1"/>
    <w:rsid w:val="00672AB2"/>
    <w:rsid w:val="00672BBC"/>
    <w:rsid w:val="00672F73"/>
    <w:rsid w:val="00673150"/>
    <w:rsid w:val="00673426"/>
    <w:rsid w:val="00673AD7"/>
    <w:rsid w:val="00673EC7"/>
    <w:rsid w:val="00673FEC"/>
    <w:rsid w:val="00674B97"/>
    <w:rsid w:val="00674D6B"/>
    <w:rsid w:val="00674EB8"/>
    <w:rsid w:val="006752D0"/>
    <w:rsid w:val="00675308"/>
    <w:rsid w:val="0067534F"/>
    <w:rsid w:val="00675971"/>
    <w:rsid w:val="00675A42"/>
    <w:rsid w:val="00675BF8"/>
    <w:rsid w:val="006763EA"/>
    <w:rsid w:val="00676887"/>
    <w:rsid w:val="00676ACA"/>
    <w:rsid w:val="00676AE3"/>
    <w:rsid w:val="00676D11"/>
    <w:rsid w:val="00676E28"/>
    <w:rsid w:val="00676E63"/>
    <w:rsid w:val="00676F6C"/>
    <w:rsid w:val="00677135"/>
    <w:rsid w:val="006772FB"/>
    <w:rsid w:val="00677442"/>
    <w:rsid w:val="00677B68"/>
    <w:rsid w:val="00677C98"/>
    <w:rsid w:val="00680060"/>
    <w:rsid w:val="006801B5"/>
    <w:rsid w:val="006803A8"/>
    <w:rsid w:val="00680A26"/>
    <w:rsid w:val="00680FA4"/>
    <w:rsid w:val="0068138C"/>
    <w:rsid w:val="00681BD5"/>
    <w:rsid w:val="00681C49"/>
    <w:rsid w:val="00681CAA"/>
    <w:rsid w:val="00681D4A"/>
    <w:rsid w:val="00681EC7"/>
    <w:rsid w:val="00682314"/>
    <w:rsid w:val="006827D5"/>
    <w:rsid w:val="0068286B"/>
    <w:rsid w:val="00682BD6"/>
    <w:rsid w:val="00682D4D"/>
    <w:rsid w:val="00682D5E"/>
    <w:rsid w:val="00683833"/>
    <w:rsid w:val="0068383D"/>
    <w:rsid w:val="00683B0B"/>
    <w:rsid w:val="00683B93"/>
    <w:rsid w:val="00683CE1"/>
    <w:rsid w:val="00683E87"/>
    <w:rsid w:val="006841C7"/>
    <w:rsid w:val="00684680"/>
    <w:rsid w:val="00684A88"/>
    <w:rsid w:val="00685140"/>
    <w:rsid w:val="00685385"/>
    <w:rsid w:val="00685574"/>
    <w:rsid w:val="00685FF4"/>
    <w:rsid w:val="006861C5"/>
    <w:rsid w:val="00686250"/>
    <w:rsid w:val="006863A1"/>
    <w:rsid w:val="0068644D"/>
    <w:rsid w:val="006864CC"/>
    <w:rsid w:val="00686841"/>
    <w:rsid w:val="00686901"/>
    <w:rsid w:val="00686AE0"/>
    <w:rsid w:val="00686C33"/>
    <w:rsid w:val="00686EC5"/>
    <w:rsid w:val="00686F7A"/>
    <w:rsid w:val="0068716A"/>
    <w:rsid w:val="006871AF"/>
    <w:rsid w:val="00687200"/>
    <w:rsid w:val="006873EB"/>
    <w:rsid w:val="006874CF"/>
    <w:rsid w:val="006875E9"/>
    <w:rsid w:val="006875FE"/>
    <w:rsid w:val="006876CB"/>
    <w:rsid w:val="006877FD"/>
    <w:rsid w:val="00687A2E"/>
    <w:rsid w:val="00687A87"/>
    <w:rsid w:val="00687AEC"/>
    <w:rsid w:val="00687B05"/>
    <w:rsid w:val="00687C0A"/>
    <w:rsid w:val="00687C62"/>
    <w:rsid w:val="00687D73"/>
    <w:rsid w:val="00687F1B"/>
    <w:rsid w:val="006900DD"/>
    <w:rsid w:val="0069019E"/>
    <w:rsid w:val="006902A8"/>
    <w:rsid w:val="006902DF"/>
    <w:rsid w:val="0069038B"/>
    <w:rsid w:val="006908C2"/>
    <w:rsid w:val="0069099C"/>
    <w:rsid w:val="006911FD"/>
    <w:rsid w:val="0069134F"/>
    <w:rsid w:val="00691845"/>
    <w:rsid w:val="00691900"/>
    <w:rsid w:val="00692030"/>
    <w:rsid w:val="006920E0"/>
    <w:rsid w:val="0069219C"/>
    <w:rsid w:val="006922F0"/>
    <w:rsid w:val="00692569"/>
    <w:rsid w:val="00692620"/>
    <w:rsid w:val="00692F45"/>
    <w:rsid w:val="00692FBF"/>
    <w:rsid w:val="0069305B"/>
    <w:rsid w:val="00693449"/>
    <w:rsid w:val="006934B1"/>
    <w:rsid w:val="00693721"/>
    <w:rsid w:val="0069405E"/>
    <w:rsid w:val="0069443C"/>
    <w:rsid w:val="00694E25"/>
    <w:rsid w:val="006950A3"/>
    <w:rsid w:val="00695262"/>
    <w:rsid w:val="006952B7"/>
    <w:rsid w:val="006954E0"/>
    <w:rsid w:val="00696012"/>
    <w:rsid w:val="006961C9"/>
    <w:rsid w:val="006961D5"/>
    <w:rsid w:val="006963F7"/>
    <w:rsid w:val="00696746"/>
    <w:rsid w:val="00696BEA"/>
    <w:rsid w:val="00696D92"/>
    <w:rsid w:val="00696E58"/>
    <w:rsid w:val="00697159"/>
    <w:rsid w:val="006972FF"/>
    <w:rsid w:val="006973BE"/>
    <w:rsid w:val="00697C8B"/>
    <w:rsid w:val="00697DFC"/>
    <w:rsid w:val="00697FF1"/>
    <w:rsid w:val="006A0003"/>
    <w:rsid w:val="006A0494"/>
    <w:rsid w:val="006A05B0"/>
    <w:rsid w:val="006A111E"/>
    <w:rsid w:val="006A1455"/>
    <w:rsid w:val="006A163E"/>
    <w:rsid w:val="006A1A76"/>
    <w:rsid w:val="006A1DE7"/>
    <w:rsid w:val="006A1FEC"/>
    <w:rsid w:val="006A28D4"/>
    <w:rsid w:val="006A2B24"/>
    <w:rsid w:val="006A2D96"/>
    <w:rsid w:val="006A2FBB"/>
    <w:rsid w:val="006A3309"/>
    <w:rsid w:val="006A3388"/>
    <w:rsid w:val="006A341D"/>
    <w:rsid w:val="006A3561"/>
    <w:rsid w:val="006A3922"/>
    <w:rsid w:val="006A3A5F"/>
    <w:rsid w:val="006A3B4E"/>
    <w:rsid w:val="006A4027"/>
    <w:rsid w:val="006A4111"/>
    <w:rsid w:val="006A4933"/>
    <w:rsid w:val="006A4BF8"/>
    <w:rsid w:val="006A4CA2"/>
    <w:rsid w:val="006A4CB5"/>
    <w:rsid w:val="006A4F62"/>
    <w:rsid w:val="006A54D9"/>
    <w:rsid w:val="006A565D"/>
    <w:rsid w:val="006A5B0F"/>
    <w:rsid w:val="006A61DD"/>
    <w:rsid w:val="006A6270"/>
    <w:rsid w:val="006A66DF"/>
    <w:rsid w:val="006A6935"/>
    <w:rsid w:val="006A6AB2"/>
    <w:rsid w:val="006A6B64"/>
    <w:rsid w:val="006A6C06"/>
    <w:rsid w:val="006A6D9C"/>
    <w:rsid w:val="006A6DEF"/>
    <w:rsid w:val="006A6EC9"/>
    <w:rsid w:val="006A70A6"/>
    <w:rsid w:val="006A72C9"/>
    <w:rsid w:val="006A767A"/>
    <w:rsid w:val="006A787A"/>
    <w:rsid w:val="006A7F90"/>
    <w:rsid w:val="006B0122"/>
    <w:rsid w:val="006B03BB"/>
    <w:rsid w:val="006B07CE"/>
    <w:rsid w:val="006B0950"/>
    <w:rsid w:val="006B09C7"/>
    <w:rsid w:val="006B0B36"/>
    <w:rsid w:val="006B1670"/>
    <w:rsid w:val="006B181C"/>
    <w:rsid w:val="006B1AE5"/>
    <w:rsid w:val="006B1B0A"/>
    <w:rsid w:val="006B1D52"/>
    <w:rsid w:val="006B2185"/>
    <w:rsid w:val="006B259C"/>
    <w:rsid w:val="006B29A0"/>
    <w:rsid w:val="006B2DAB"/>
    <w:rsid w:val="006B31B9"/>
    <w:rsid w:val="006B3251"/>
    <w:rsid w:val="006B3294"/>
    <w:rsid w:val="006B339E"/>
    <w:rsid w:val="006B33C2"/>
    <w:rsid w:val="006B3A0D"/>
    <w:rsid w:val="006B3C3A"/>
    <w:rsid w:val="006B413F"/>
    <w:rsid w:val="006B4274"/>
    <w:rsid w:val="006B4DC7"/>
    <w:rsid w:val="006B4EC5"/>
    <w:rsid w:val="006B5837"/>
    <w:rsid w:val="006B5A27"/>
    <w:rsid w:val="006B5AAF"/>
    <w:rsid w:val="006B5C2F"/>
    <w:rsid w:val="006B60FA"/>
    <w:rsid w:val="006B6963"/>
    <w:rsid w:val="006B6A8A"/>
    <w:rsid w:val="006B6B77"/>
    <w:rsid w:val="006B6D75"/>
    <w:rsid w:val="006B6F5C"/>
    <w:rsid w:val="006B7188"/>
    <w:rsid w:val="006B7346"/>
    <w:rsid w:val="006B73A8"/>
    <w:rsid w:val="006B7A37"/>
    <w:rsid w:val="006B7C2B"/>
    <w:rsid w:val="006B7D91"/>
    <w:rsid w:val="006B7F5A"/>
    <w:rsid w:val="006C0289"/>
    <w:rsid w:val="006C0455"/>
    <w:rsid w:val="006C07D1"/>
    <w:rsid w:val="006C0AA5"/>
    <w:rsid w:val="006C0C57"/>
    <w:rsid w:val="006C10E8"/>
    <w:rsid w:val="006C12B2"/>
    <w:rsid w:val="006C216F"/>
    <w:rsid w:val="006C2204"/>
    <w:rsid w:val="006C266E"/>
    <w:rsid w:val="006C279E"/>
    <w:rsid w:val="006C2B29"/>
    <w:rsid w:val="006C2B47"/>
    <w:rsid w:val="006C2B4F"/>
    <w:rsid w:val="006C2BD7"/>
    <w:rsid w:val="006C2F2F"/>
    <w:rsid w:val="006C3143"/>
    <w:rsid w:val="006C3328"/>
    <w:rsid w:val="006C36B4"/>
    <w:rsid w:val="006C3AE2"/>
    <w:rsid w:val="006C3B76"/>
    <w:rsid w:val="006C3E98"/>
    <w:rsid w:val="006C3EE1"/>
    <w:rsid w:val="006C4554"/>
    <w:rsid w:val="006C4567"/>
    <w:rsid w:val="006C4B27"/>
    <w:rsid w:val="006C4BEB"/>
    <w:rsid w:val="006C5454"/>
    <w:rsid w:val="006C5578"/>
    <w:rsid w:val="006C5620"/>
    <w:rsid w:val="006C59D8"/>
    <w:rsid w:val="006C5B7C"/>
    <w:rsid w:val="006C5DC0"/>
    <w:rsid w:val="006C5EF7"/>
    <w:rsid w:val="006C603F"/>
    <w:rsid w:val="006C6578"/>
    <w:rsid w:val="006C67E1"/>
    <w:rsid w:val="006C72E2"/>
    <w:rsid w:val="006C74E7"/>
    <w:rsid w:val="006C7692"/>
    <w:rsid w:val="006C792F"/>
    <w:rsid w:val="006C795A"/>
    <w:rsid w:val="006C79A2"/>
    <w:rsid w:val="006C79D2"/>
    <w:rsid w:val="006C7A99"/>
    <w:rsid w:val="006D0845"/>
    <w:rsid w:val="006D0868"/>
    <w:rsid w:val="006D0904"/>
    <w:rsid w:val="006D0E5F"/>
    <w:rsid w:val="006D150C"/>
    <w:rsid w:val="006D170B"/>
    <w:rsid w:val="006D1716"/>
    <w:rsid w:val="006D1758"/>
    <w:rsid w:val="006D19C6"/>
    <w:rsid w:val="006D22F2"/>
    <w:rsid w:val="006D22FC"/>
    <w:rsid w:val="006D2600"/>
    <w:rsid w:val="006D2887"/>
    <w:rsid w:val="006D2C69"/>
    <w:rsid w:val="006D2F73"/>
    <w:rsid w:val="006D2FE7"/>
    <w:rsid w:val="006D3059"/>
    <w:rsid w:val="006D3231"/>
    <w:rsid w:val="006D32A5"/>
    <w:rsid w:val="006D3529"/>
    <w:rsid w:val="006D38EA"/>
    <w:rsid w:val="006D3AD8"/>
    <w:rsid w:val="006D4112"/>
    <w:rsid w:val="006D420E"/>
    <w:rsid w:val="006D4907"/>
    <w:rsid w:val="006D4C15"/>
    <w:rsid w:val="006D4D3B"/>
    <w:rsid w:val="006D507B"/>
    <w:rsid w:val="006D55DE"/>
    <w:rsid w:val="006D57CB"/>
    <w:rsid w:val="006D57F4"/>
    <w:rsid w:val="006D59C0"/>
    <w:rsid w:val="006D5AC5"/>
    <w:rsid w:val="006D5EDC"/>
    <w:rsid w:val="006D5FBD"/>
    <w:rsid w:val="006D62FD"/>
    <w:rsid w:val="006D672C"/>
    <w:rsid w:val="006D69D3"/>
    <w:rsid w:val="006D71FE"/>
    <w:rsid w:val="006D7206"/>
    <w:rsid w:val="006D77F2"/>
    <w:rsid w:val="006D7EBD"/>
    <w:rsid w:val="006E03B1"/>
    <w:rsid w:val="006E060D"/>
    <w:rsid w:val="006E07BC"/>
    <w:rsid w:val="006E07D1"/>
    <w:rsid w:val="006E0882"/>
    <w:rsid w:val="006E0AD9"/>
    <w:rsid w:val="006E0C79"/>
    <w:rsid w:val="006E0D44"/>
    <w:rsid w:val="006E0E71"/>
    <w:rsid w:val="006E0F55"/>
    <w:rsid w:val="006E108A"/>
    <w:rsid w:val="006E121C"/>
    <w:rsid w:val="006E1321"/>
    <w:rsid w:val="006E1A80"/>
    <w:rsid w:val="006E1A82"/>
    <w:rsid w:val="006E1D32"/>
    <w:rsid w:val="006E1FD0"/>
    <w:rsid w:val="006E2059"/>
    <w:rsid w:val="006E20F0"/>
    <w:rsid w:val="006E2FA7"/>
    <w:rsid w:val="006E3220"/>
    <w:rsid w:val="006E3277"/>
    <w:rsid w:val="006E333D"/>
    <w:rsid w:val="006E33F3"/>
    <w:rsid w:val="006E3526"/>
    <w:rsid w:val="006E3AB5"/>
    <w:rsid w:val="006E3C0F"/>
    <w:rsid w:val="006E4110"/>
    <w:rsid w:val="006E4799"/>
    <w:rsid w:val="006E493B"/>
    <w:rsid w:val="006E4B7A"/>
    <w:rsid w:val="006E4BC8"/>
    <w:rsid w:val="006E518E"/>
    <w:rsid w:val="006E5618"/>
    <w:rsid w:val="006E565A"/>
    <w:rsid w:val="006E580E"/>
    <w:rsid w:val="006E5CF3"/>
    <w:rsid w:val="006E5D38"/>
    <w:rsid w:val="006E6029"/>
    <w:rsid w:val="006E6317"/>
    <w:rsid w:val="006E6DAC"/>
    <w:rsid w:val="006E6E91"/>
    <w:rsid w:val="006E6F12"/>
    <w:rsid w:val="006E6F38"/>
    <w:rsid w:val="006E734D"/>
    <w:rsid w:val="006E755C"/>
    <w:rsid w:val="006E7B48"/>
    <w:rsid w:val="006E7B9C"/>
    <w:rsid w:val="006E7BA0"/>
    <w:rsid w:val="006E7C2A"/>
    <w:rsid w:val="006E7D4B"/>
    <w:rsid w:val="006F0430"/>
    <w:rsid w:val="006F085D"/>
    <w:rsid w:val="006F0D74"/>
    <w:rsid w:val="006F0EA9"/>
    <w:rsid w:val="006F1134"/>
    <w:rsid w:val="006F125A"/>
    <w:rsid w:val="006F129C"/>
    <w:rsid w:val="006F155F"/>
    <w:rsid w:val="006F161E"/>
    <w:rsid w:val="006F17A0"/>
    <w:rsid w:val="006F17B2"/>
    <w:rsid w:val="006F1D16"/>
    <w:rsid w:val="006F2413"/>
    <w:rsid w:val="006F24AE"/>
    <w:rsid w:val="006F289F"/>
    <w:rsid w:val="006F28F5"/>
    <w:rsid w:val="006F3250"/>
    <w:rsid w:val="006F353E"/>
    <w:rsid w:val="006F3AC1"/>
    <w:rsid w:val="006F3DCA"/>
    <w:rsid w:val="006F3E1B"/>
    <w:rsid w:val="006F3F03"/>
    <w:rsid w:val="006F4928"/>
    <w:rsid w:val="006F4E8C"/>
    <w:rsid w:val="006F4F4F"/>
    <w:rsid w:val="006F50F7"/>
    <w:rsid w:val="006F5106"/>
    <w:rsid w:val="006F52DF"/>
    <w:rsid w:val="006F52FF"/>
    <w:rsid w:val="006F54FF"/>
    <w:rsid w:val="006F55AA"/>
    <w:rsid w:val="006F5B64"/>
    <w:rsid w:val="006F5C94"/>
    <w:rsid w:val="006F5D3D"/>
    <w:rsid w:val="006F6BFB"/>
    <w:rsid w:val="006F6F1F"/>
    <w:rsid w:val="006F750D"/>
    <w:rsid w:val="006F7649"/>
    <w:rsid w:val="006F780B"/>
    <w:rsid w:val="006F7932"/>
    <w:rsid w:val="006F7D7C"/>
    <w:rsid w:val="007003A9"/>
    <w:rsid w:val="0070040C"/>
    <w:rsid w:val="0070041D"/>
    <w:rsid w:val="0070095D"/>
    <w:rsid w:val="00700ACF"/>
    <w:rsid w:val="00700B4E"/>
    <w:rsid w:val="00700F53"/>
    <w:rsid w:val="00701359"/>
    <w:rsid w:val="0070163D"/>
    <w:rsid w:val="007016D0"/>
    <w:rsid w:val="007017E4"/>
    <w:rsid w:val="00701BFB"/>
    <w:rsid w:val="00701E06"/>
    <w:rsid w:val="00701E35"/>
    <w:rsid w:val="007025F0"/>
    <w:rsid w:val="00702B67"/>
    <w:rsid w:val="00703130"/>
    <w:rsid w:val="00703454"/>
    <w:rsid w:val="007034FF"/>
    <w:rsid w:val="0070386B"/>
    <w:rsid w:val="00703CD5"/>
    <w:rsid w:val="00703ED8"/>
    <w:rsid w:val="00704923"/>
    <w:rsid w:val="007049E0"/>
    <w:rsid w:val="00704CC3"/>
    <w:rsid w:val="00705179"/>
    <w:rsid w:val="00705412"/>
    <w:rsid w:val="007056AF"/>
    <w:rsid w:val="00705CEB"/>
    <w:rsid w:val="007064D4"/>
    <w:rsid w:val="0070683C"/>
    <w:rsid w:val="00706A1D"/>
    <w:rsid w:val="00706A63"/>
    <w:rsid w:val="00706DB6"/>
    <w:rsid w:val="00707083"/>
    <w:rsid w:val="0070729D"/>
    <w:rsid w:val="00707327"/>
    <w:rsid w:val="007073BB"/>
    <w:rsid w:val="007074AC"/>
    <w:rsid w:val="00710819"/>
    <w:rsid w:val="00710850"/>
    <w:rsid w:val="00710A28"/>
    <w:rsid w:val="00710CD2"/>
    <w:rsid w:val="00710F79"/>
    <w:rsid w:val="00711376"/>
    <w:rsid w:val="0071164B"/>
    <w:rsid w:val="00711C9E"/>
    <w:rsid w:val="00711E1F"/>
    <w:rsid w:val="007125D8"/>
    <w:rsid w:val="00712700"/>
    <w:rsid w:val="00712856"/>
    <w:rsid w:val="007131E8"/>
    <w:rsid w:val="00713399"/>
    <w:rsid w:val="007133F7"/>
    <w:rsid w:val="00713EDF"/>
    <w:rsid w:val="0071403C"/>
    <w:rsid w:val="007141B9"/>
    <w:rsid w:val="00714B71"/>
    <w:rsid w:val="00714CE4"/>
    <w:rsid w:val="007151D8"/>
    <w:rsid w:val="007153C8"/>
    <w:rsid w:val="00715849"/>
    <w:rsid w:val="00715986"/>
    <w:rsid w:val="00715C78"/>
    <w:rsid w:val="00715CFF"/>
    <w:rsid w:val="00715EF3"/>
    <w:rsid w:val="00716219"/>
    <w:rsid w:val="00716A33"/>
    <w:rsid w:val="00716C71"/>
    <w:rsid w:val="00716C7D"/>
    <w:rsid w:val="0071712D"/>
    <w:rsid w:val="007171BB"/>
    <w:rsid w:val="00717542"/>
    <w:rsid w:val="007175D2"/>
    <w:rsid w:val="00717705"/>
    <w:rsid w:val="00717785"/>
    <w:rsid w:val="00717911"/>
    <w:rsid w:val="00717F49"/>
    <w:rsid w:val="00717FB5"/>
    <w:rsid w:val="00720117"/>
    <w:rsid w:val="00720210"/>
    <w:rsid w:val="007207F5"/>
    <w:rsid w:val="00720AB4"/>
    <w:rsid w:val="00720F5F"/>
    <w:rsid w:val="007213B4"/>
    <w:rsid w:val="00721441"/>
    <w:rsid w:val="00721480"/>
    <w:rsid w:val="00721939"/>
    <w:rsid w:val="00721EFA"/>
    <w:rsid w:val="007227C7"/>
    <w:rsid w:val="00722A31"/>
    <w:rsid w:val="00722CD1"/>
    <w:rsid w:val="007238B0"/>
    <w:rsid w:val="00723BDE"/>
    <w:rsid w:val="00723D8D"/>
    <w:rsid w:val="0072477A"/>
    <w:rsid w:val="00724973"/>
    <w:rsid w:val="00724BB2"/>
    <w:rsid w:val="00724DF3"/>
    <w:rsid w:val="00724E18"/>
    <w:rsid w:val="00725162"/>
    <w:rsid w:val="00725456"/>
    <w:rsid w:val="00725523"/>
    <w:rsid w:val="0072554B"/>
    <w:rsid w:val="00725860"/>
    <w:rsid w:val="00725B6F"/>
    <w:rsid w:val="007264BD"/>
    <w:rsid w:val="007265C6"/>
    <w:rsid w:val="00726900"/>
    <w:rsid w:val="00727024"/>
    <w:rsid w:val="00727384"/>
    <w:rsid w:val="007274D8"/>
    <w:rsid w:val="007278D0"/>
    <w:rsid w:val="00727A60"/>
    <w:rsid w:val="00727AC6"/>
    <w:rsid w:val="00727B19"/>
    <w:rsid w:val="00730225"/>
    <w:rsid w:val="007307BB"/>
    <w:rsid w:val="0073132A"/>
    <w:rsid w:val="00731447"/>
    <w:rsid w:val="00731584"/>
    <w:rsid w:val="00731F3C"/>
    <w:rsid w:val="00732103"/>
    <w:rsid w:val="00732734"/>
    <w:rsid w:val="007327E1"/>
    <w:rsid w:val="00732B15"/>
    <w:rsid w:val="00732E4B"/>
    <w:rsid w:val="007334FC"/>
    <w:rsid w:val="007336A1"/>
    <w:rsid w:val="0073389E"/>
    <w:rsid w:val="0073392C"/>
    <w:rsid w:val="00733BA9"/>
    <w:rsid w:val="00733D6D"/>
    <w:rsid w:val="00734084"/>
    <w:rsid w:val="007341A8"/>
    <w:rsid w:val="00734286"/>
    <w:rsid w:val="00734678"/>
    <w:rsid w:val="00734884"/>
    <w:rsid w:val="00734C3F"/>
    <w:rsid w:val="00734D4C"/>
    <w:rsid w:val="00734F17"/>
    <w:rsid w:val="0073532B"/>
    <w:rsid w:val="007353AC"/>
    <w:rsid w:val="0073559B"/>
    <w:rsid w:val="00735A26"/>
    <w:rsid w:val="00735B1C"/>
    <w:rsid w:val="00735FE4"/>
    <w:rsid w:val="007365E5"/>
    <w:rsid w:val="00736A61"/>
    <w:rsid w:val="00736E34"/>
    <w:rsid w:val="0073711A"/>
    <w:rsid w:val="007375FB"/>
    <w:rsid w:val="00737870"/>
    <w:rsid w:val="00737FB5"/>
    <w:rsid w:val="0074019B"/>
    <w:rsid w:val="00740753"/>
    <w:rsid w:val="00740AA8"/>
    <w:rsid w:val="00740ED9"/>
    <w:rsid w:val="00740F81"/>
    <w:rsid w:val="0074130E"/>
    <w:rsid w:val="007416A5"/>
    <w:rsid w:val="00741797"/>
    <w:rsid w:val="007417CE"/>
    <w:rsid w:val="007418E7"/>
    <w:rsid w:val="00741AC6"/>
    <w:rsid w:val="00741B61"/>
    <w:rsid w:val="00741C02"/>
    <w:rsid w:val="00741DF3"/>
    <w:rsid w:val="00741E4E"/>
    <w:rsid w:val="007425A1"/>
    <w:rsid w:val="007425FC"/>
    <w:rsid w:val="0074276F"/>
    <w:rsid w:val="007428FE"/>
    <w:rsid w:val="00742BCF"/>
    <w:rsid w:val="00742D06"/>
    <w:rsid w:val="00742D07"/>
    <w:rsid w:val="00742FCE"/>
    <w:rsid w:val="0074304D"/>
    <w:rsid w:val="00743186"/>
    <w:rsid w:val="00743481"/>
    <w:rsid w:val="00743494"/>
    <w:rsid w:val="00743A8C"/>
    <w:rsid w:val="00743B4B"/>
    <w:rsid w:val="00743C58"/>
    <w:rsid w:val="00743E08"/>
    <w:rsid w:val="00744132"/>
    <w:rsid w:val="00744166"/>
    <w:rsid w:val="00744419"/>
    <w:rsid w:val="0074485A"/>
    <w:rsid w:val="00744A99"/>
    <w:rsid w:val="00744FDF"/>
    <w:rsid w:val="0074514C"/>
    <w:rsid w:val="00745304"/>
    <w:rsid w:val="00745491"/>
    <w:rsid w:val="007456E2"/>
    <w:rsid w:val="007457F8"/>
    <w:rsid w:val="00745B70"/>
    <w:rsid w:val="00745E01"/>
    <w:rsid w:val="00746080"/>
    <w:rsid w:val="00746293"/>
    <w:rsid w:val="007463FC"/>
    <w:rsid w:val="0074668E"/>
    <w:rsid w:val="00746695"/>
    <w:rsid w:val="007467B4"/>
    <w:rsid w:val="00746847"/>
    <w:rsid w:val="00746884"/>
    <w:rsid w:val="00746942"/>
    <w:rsid w:val="007476D0"/>
    <w:rsid w:val="00750079"/>
    <w:rsid w:val="00750154"/>
    <w:rsid w:val="0075023A"/>
    <w:rsid w:val="00750260"/>
    <w:rsid w:val="00750473"/>
    <w:rsid w:val="00750A06"/>
    <w:rsid w:val="007510A9"/>
    <w:rsid w:val="007510B1"/>
    <w:rsid w:val="007512D9"/>
    <w:rsid w:val="0075131A"/>
    <w:rsid w:val="00751A84"/>
    <w:rsid w:val="00751BFE"/>
    <w:rsid w:val="007521AF"/>
    <w:rsid w:val="00752EC1"/>
    <w:rsid w:val="00752F53"/>
    <w:rsid w:val="00752FFF"/>
    <w:rsid w:val="0075356A"/>
    <w:rsid w:val="0075374F"/>
    <w:rsid w:val="0075382B"/>
    <w:rsid w:val="007539E1"/>
    <w:rsid w:val="00753BAA"/>
    <w:rsid w:val="00753DC0"/>
    <w:rsid w:val="00753E32"/>
    <w:rsid w:val="00753F9E"/>
    <w:rsid w:val="00754165"/>
    <w:rsid w:val="0075430D"/>
    <w:rsid w:val="00754623"/>
    <w:rsid w:val="00754A4E"/>
    <w:rsid w:val="007550B1"/>
    <w:rsid w:val="007550E0"/>
    <w:rsid w:val="00755140"/>
    <w:rsid w:val="0075560D"/>
    <w:rsid w:val="0075570C"/>
    <w:rsid w:val="007557DB"/>
    <w:rsid w:val="00755809"/>
    <w:rsid w:val="00755863"/>
    <w:rsid w:val="00755984"/>
    <w:rsid w:val="00755DB0"/>
    <w:rsid w:val="00755F0D"/>
    <w:rsid w:val="00756114"/>
    <w:rsid w:val="00756115"/>
    <w:rsid w:val="00756480"/>
    <w:rsid w:val="00756772"/>
    <w:rsid w:val="007569DD"/>
    <w:rsid w:val="00756B85"/>
    <w:rsid w:val="00756E89"/>
    <w:rsid w:val="007571EF"/>
    <w:rsid w:val="00757204"/>
    <w:rsid w:val="00757656"/>
    <w:rsid w:val="00757D10"/>
    <w:rsid w:val="0076088E"/>
    <w:rsid w:val="00760C5A"/>
    <w:rsid w:val="00760D16"/>
    <w:rsid w:val="00760E97"/>
    <w:rsid w:val="00761299"/>
    <w:rsid w:val="007617B8"/>
    <w:rsid w:val="00761850"/>
    <w:rsid w:val="0076196D"/>
    <w:rsid w:val="007619E1"/>
    <w:rsid w:val="007624B1"/>
    <w:rsid w:val="007624BA"/>
    <w:rsid w:val="00762609"/>
    <w:rsid w:val="00762684"/>
    <w:rsid w:val="00762774"/>
    <w:rsid w:val="007627BF"/>
    <w:rsid w:val="007628A9"/>
    <w:rsid w:val="007632E8"/>
    <w:rsid w:val="00763466"/>
    <w:rsid w:val="00763758"/>
    <w:rsid w:val="007637F7"/>
    <w:rsid w:val="007637FF"/>
    <w:rsid w:val="00763B66"/>
    <w:rsid w:val="00763CA2"/>
    <w:rsid w:val="007641D7"/>
    <w:rsid w:val="007643AE"/>
    <w:rsid w:val="00764490"/>
    <w:rsid w:val="00764A5F"/>
    <w:rsid w:val="00764AF4"/>
    <w:rsid w:val="00764D55"/>
    <w:rsid w:val="007652A7"/>
    <w:rsid w:val="0076535D"/>
    <w:rsid w:val="00765892"/>
    <w:rsid w:val="007658CB"/>
    <w:rsid w:val="00765F9E"/>
    <w:rsid w:val="00766024"/>
    <w:rsid w:val="0076619A"/>
    <w:rsid w:val="0076636A"/>
    <w:rsid w:val="007666F9"/>
    <w:rsid w:val="007667BC"/>
    <w:rsid w:val="00766BA8"/>
    <w:rsid w:val="00766DE5"/>
    <w:rsid w:val="0076701F"/>
    <w:rsid w:val="007671F0"/>
    <w:rsid w:val="00767235"/>
    <w:rsid w:val="00767529"/>
    <w:rsid w:val="007675A2"/>
    <w:rsid w:val="007675CF"/>
    <w:rsid w:val="007676D9"/>
    <w:rsid w:val="007678CB"/>
    <w:rsid w:val="00767E09"/>
    <w:rsid w:val="00767EB8"/>
    <w:rsid w:val="00767F7C"/>
    <w:rsid w:val="00770003"/>
    <w:rsid w:val="007702FB"/>
    <w:rsid w:val="00770719"/>
    <w:rsid w:val="00770972"/>
    <w:rsid w:val="0077099B"/>
    <w:rsid w:val="007709E9"/>
    <w:rsid w:val="00770D98"/>
    <w:rsid w:val="00770E17"/>
    <w:rsid w:val="007711FB"/>
    <w:rsid w:val="00771442"/>
    <w:rsid w:val="00771453"/>
    <w:rsid w:val="00771464"/>
    <w:rsid w:val="007715D3"/>
    <w:rsid w:val="00771817"/>
    <w:rsid w:val="00771BDC"/>
    <w:rsid w:val="00771C53"/>
    <w:rsid w:val="00771D36"/>
    <w:rsid w:val="007722AB"/>
    <w:rsid w:val="0077247E"/>
    <w:rsid w:val="007724E4"/>
    <w:rsid w:val="007725F7"/>
    <w:rsid w:val="007726FE"/>
    <w:rsid w:val="007727D0"/>
    <w:rsid w:val="00772C2E"/>
    <w:rsid w:val="00772EF2"/>
    <w:rsid w:val="0077316E"/>
    <w:rsid w:val="0077333C"/>
    <w:rsid w:val="0077349E"/>
    <w:rsid w:val="00773726"/>
    <w:rsid w:val="007738F9"/>
    <w:rsid w:val="00773A5D"/>
    <w:rsid w:val="00773A99"/>
    <w:rsid w:val="00773C01"/>
    <w:rsid w:val="00773CA9"/>
    <w:rsid w:val="00774021"/>
    <w:rsid w:val="007741AA"/>
    <w:rsid w:val="0077525A"/>
    <w:rsid w:val="007753CD"/>
    <w:rsid w:val="007753D2"/>
    <w:rsid w:val="00775405"/>
    <w:rsid w:val="00775655"/>
    <w:rsid w:val="007758B2"/>
    <w:rsid w:val="0077594C"/>
    <w:rsid w:val="00775AD6"/>
    <w:rsid w:val="00775F62"/>
    <w:rsid w:val="00775F7B"/>
    <w:rsid w:val="00776790"/>
    <w:rsid w:val="00777392"/>
    <w:rsid w:val="00777A96"/>
    <w:rsid w:val="00777B8A"/>
    <w:rsid w:val="00777DFB"/>
    <w:rsid w:val="00777ED1"/>
    <w:rsid w:val="00777FE0"/>
    <w:rsid w:val="007802D8"/>
    <w:rsid w:val="00780AA2"/>
    <w:rsid w:val="00780DE6"/>
    <w:rsid w:val="007811A6"/>
    <w:rsid w:val="00781922"/>
    <w:rsid w:val="00781D1E"/>
    <w:rsid w:val="00781DBD"/>
    <w:rsid w:val="00781F26"/>
    <w:rsid w:val="007825A5"/>
    <w:rsid w:val="00782BA1"/>
    <w:rsid w:val="0078302F"/>
    <w:rsid w:val="007834FD"/>
    <w:rsid w:val="00783690"/>
    <w:rsid w:val="00783B8A"/>
    <w:rsid w:val="00784A94"/>
    <w:rsid w:val="00784AA0"/>
    <w:rsid w:val="00785089"/>
    <w:rsid w:val="00785AE7"/>
    <w:rsid w:val="00785B37"/>
    <w:rsid w:val="00785BA1"/>
    <w:rsid w:val="00785CE2"/>
    <w:rsid w:val="00785D56"/>
    <w:rsid w:val="00786156"/>
    <w:rsid w:val="00786D0F"/>
    <w:rsid w:val="00786D1D"/>
    <w:rsid w:val="00786E23"/>
    <w:rsid w:val="00787345"/>
    <w:rsid w:val="00787B64"/>
    <w:rsid w:val="00787BCD"/>
    <w:rsid w:val="00790132"/>
    <w:rsid w:val="007903E7"/>
    <w:rsid w:val="007907D3"/>
    <w:rsid w:val="00790C15"/>
    <w:rsid w:val="00790E5E"/>
    <w:rsid w:val="00791002"/>
    <w:rsid w:val="00791119"/>
    <w:rsid w:val="0079113A"/>
    <w:rsid w:val="007913A1"/>
    <w:rsid w:val="007914A7"/>
    <w:rsid w:val="00791ADE"/>
    <w:rsid w:val="007921A7"/>
    <w:rsid w:val="00792BC4"/>
    <w:rsid w:val="00792C2C"/>
    <w:rsid w:val="00792D22"/>
    <w:rsid w:val="00792E55"/>
    <w:rsid w:val="007930D7"/>
    <w:rsid w:val="0079313D"/>
    <w:rsid w:val="00793B90"/>
    <w:rsid w:val="00793C28"/>
    <w:rsid w:val="00793F2F"/>
    <w:rsid w:val="00793F63"/>
    <w:rsid w:val="00794072"/>
    <w:rsid w:val="0079407C"/>
    <w:rsid w:val="007945F0"/>
    <w:rsid w:val="0079471A"/>
    <w:rsid w:val="00794ABC"/>
    <w:rsid w:val="00794D9A"/>
    <w:rsid w:val="00794DE6"/>
    <w:rsid w:val="00794E37"/>
    <w:rsid w:val="00795257"/>
    <w:rsid w:val="007955A2"/>
    <w:rsid w:val="007956A3"/>
    <w:rsid w:val="00796002"/>
    <w:rsid w:val="00796054"/>
    <w:rsid w:val="00796173"/>
    <w:rsid w:val="00796235"/>
    <w:rsid w:val="007967AD"/>
    <w:rsid w:val="007968D6"/>
    <w:rsid w:val="00796A05"/>
    <w:rsid w:val="00797319"/>
    <w:rsid w:val="0079788E"/>
    <w:rsid w:val="007979AF"/>
    <w:rsid w:val="007A0119"/>
    <w:rsid w:val="007A056F"/>
    <w:rsid w:val="007A05B6"/>
    <w:rsid w:val="007A0DF0"/>
    <w:rsid w:val="007A0F17"/>
    <w:rsid w:val="007A11EF"/>
    <w:rsid w:val="007A1344"/>
    <w:rsid w:val="007A1386"/>
    <w:rsid w:val="007A1744"/>
    <w:rsid w:val="007A1C31"/>
    <w:rsid w:val="007A2096"/>
    <w:rsid w:val="007A2206"/>
    <w:rsid w:val="007A2879"/>
    <w:rsid w:val="007A29CA"/>
    <w:rsid w:val="007A2BAF"/>
    <w:rsid w:val="007A2CD7"/>
    <w:rsid w:val="007A2DBF"/>
    <w:rsid w:val="007A3524"/>
    <w:rsid w:val="007A35D7"/>
    <w:rsid w:val="007A36CF"/>
    <w:rsid w:val="007A3757"/>
    <w:rsid w:val="007A3FCB"/>
    <w:rsid w:val="007A42C5"/>
    <w:rsid w:val="007A4497"/>
    <w:rsid w:val="007A45AE"/>
    <w:rsid w:val="007A475F"/>
    <w:rsid w:val="007A484C"/>
    <w:rsid w:val="007A4B03"/>
    <w:rsid w:val="007A4C26"/>
    <w:rsid w:val="007A4E64"/>
    <w:rsid w:val="007A4E82"/>
    <w:rsid w:val="007A58A1"/>
    <w:rsid w:val="007A5A50"/>
    <w:rsid w:val="007A5F5E"/>
    <w:rsid w:val="007A6478"/>
    <w:rsid w:val="007A667D"/>
    <w:rsid w:val="007A6703"/>
    <w:rsid w:val="007A7548"/>
    <w:rsid w:val="007A75CD"/>
    <w:rsid w:val="007A75F2"/>
    <w:rsid w:val="007A7871"/>
    <w:rsid w:val="007A7A13"/>
    <w:rsid w:val="007B0007"/>
    <w:rsid w:val="007B00FB"/>
    <w:rsid w:val="007B01FE"/>
    <w:rsid w:val="007B0241"/>
    <w:rsid w:val="007B0476"/>
    <w:rsid w:val="007B0672"/>
    <w:rsid w:val="007B07E3"/>
    <w:rsid w:val="007B0842"/>
    <w:rsid w:val="007B0A16"/>
    <w:rsid w:val="007B0B3F"/>
    <w:rsid w:val="007B0BE6"/>
    <w:rsid w:val="007B0D96"/>
    <w:rsid w:val="007B1203"/>
    <w:rsid w:val="007B15DD"/>
    <w:rsid w:val="007B1710"/>
    <w:rsid w:val="007B2562"/>
    <w:rsid w:val="007B2756"/>
    <w:rsid w:val="007B2DBC"/>
    <w:rsid w:val="007B3364"/>
    <w:rsid w:val="007B34A9"/>
    <w:rsid w:val="007B3587"/>
    <w:rsid w:val="007B3B22"/>
    <w:rsid w:val="007B4112"/>
    <w:rsid w:val="007B47DE"/>
    <w:rsid w:val="007B48B1"/>
    <w:rsid w:val="007B4947"/>
    <w:rsid w:val="007B4A4E"/>
    <w:rsid w:val="007B4D24"/>
    <w:rsid w:val="007B51B5"/>
    <w:rsid w:val="007B546B"/>
    <w:rsid w:val="007B54D6"/>
    <w:rsid w:val="007B59A6"/>
    <w:rsid w:val="007B5A5C"/>
    <w:rsid w:val="007B5EE2"/>
    <w:rsid w:val="007B67C2"/>
    <w:rsid w:val="007B6830"/>
    <w:rsid w:val="007B6FEC"/>
    <w:rsid w:val="007B7194"/>
    <w:rsid w:val="007B757E"/>
    <w:rsid w:val="007B765E"/>
    <w:rsid w:val="007B79DF"/>
    <w:rsid w:val="007B7BA7"/>
    <w:rsid w:val="007B7BE0"/>
    <w:rsid w:val="007B7BE4"/>
    <w:rsid w:val="007B7E33"/>
    <w:rsid w:val="007B7ECA"/>
    <w:rsid w:val="007B7FAA"/>
    <w:rsid w:val="007C010D"/>
    <w:rsid w:val="007C0159"/>
    <w:rsid w:val="007C03F7"/>
    <w:rsid w:val="007C0AEF"/>
    <w:rsid w:val="007C0D24"/>
    <w:rsid w:val="007C0D87"/>
    <w:rsid w:val="007C0E86"/>
    <w:rsid w:val="007C0EBB"/>
    <w:rsid w:val="007C1076"/>
    <w:rsid w:val="007C1E13"/>
    <w:rsid w:val="007C2B8F"/>
    <w:rsid w:val="007C308F"/>
    <w:rsid w:val="007C3238"/>
    <w:rsid w:val="007C3656"/>
    <w:rsid w:val="007C37B9"/>
    <w:rsid w:val="007C37E8"/>
    <w:rsid w:val="007C3959"/>
    <w:rsid w:val="007C3BB3"/>
    <w:rsid w:val="007C3D82"/>
    <w:rsid w:val="007C41FA"/>
    <w:rsid w:val="007C443A"/>
    <w:rsid w:val="007C45E7"/>
    <w:rsid w:val="007C4896"/>
    <w:rsid w:val="007C4AB7"/>
    <w:rsid w:val="007C4DB0"/>
    <w:rsid w:val="007C5005"/>
    <w:rsid w:val="007C59F0"/>
    <w:rsid w:val="007C5F5E"/>
    <w:rsid w:val="007C623D"/>
    <w:rsid w:val="007C64ED"/>
    <w:rsid w:val="007C6633"/>
    <w:rsid w:val="007C7621"/>
    <w:rsid w:val="007C77C2"/>
    <w:rsid w:val="007C7A43"/>
    <w:rsid w:val="007C7D7C"/>
    <w:rsid w:val="007C7FDF"/>
    <w:rsid w:val="007D009A"/>
    <w:rsid w:val="007D04C4"/>
    <w:rsid w:val="007D0768"/>
    <w:rsid w:val="007D0799"/>
    <w:rsid w:val="007D084B"/>
    <w:rsid w:val="007D11CE"/>
    <w:rsid w:val="007D1370"/>
    <w:rsid w:val="007D1785"/>
    <w:rsid w:val="007D186D"/>
    <w:rsid w:val="007D19E3"/>
    <w:rsid w:val="007D1D36"/>
    <w:rsid w:val="007D287E"/>
    <w:rsid w:val="007D2ABD"/>
    <w:rsid w:val="007D2B0D"/>
    <w:rsid w:val="007D3078"/>
    <w:rsid w:val="007D3239"/>
    <w:rsid w:val="007D32E8"/>
    <w:rsid w:val="007D3364"/>
    <w:rsid w:val="007D34C6"/>
    <w:rsid w:val="007D3C68"/>
    <w:rsid w:val="007D3E08"/>
    <w:rsid w:val="007D4136"/>
    <w:rsid w:val="007D4327"/>
    <w:rsid w:val="007D44FD"/>
    <w:rsid w:val="007D463C"/>
    <w:rsid w:val="007D4870"/>
    <w:rsid w:val="007D51B8"/>
    <w:rsid w:val="007D5235"/>
    <w:rsid w:val="007D53BF"/>
    <w:rsid w:val="007D54C9"/>
    <w:rsid w:val="007D588B"/>
    <w:rsid w:val="007D5921"/>
    <w:rsid w:val="007D5D4A"/>
    <w:rsid w:val="007D5DA8"/>
    <w:rsid w:val="007D617F"/>
    <w:rsid w:val="007D618B"/>
    <w:rsid w:val="007D6222"/>
    <w:rsid w:val="007D6AC7"/>
    <w:rsid w:val="007D6FEC"/>
    <w:rsid w:val="007D7199"/>
    <w:rsid w:val="007D7218"/>
    <w:rsid w:val="007D743F"/>
    <w:rsid w:val="007D750C"/>
    <w:rsid w:val="007D7762"/>
    <w:rsid w:val="007D7B20"/>
    <w:rsid w:val="007D7BC4"/>
    <w:rsid w:val="007E0B98"/>
    <w:rsid w:val="007E1919"/>
    <w:rsid w:val="007E1A25"/>
    <w:rsid w:val="007E1CCF"/>
    <w:rsid w:val="007E1FCA"/>
    <w:rsid w:val="007E2234"/>
    <w:rsid w:val="007E250A"/>
    <w:rsid w:val="007E2AC8"/>
    <w:rsid w:val="007E2BB9"/>
    <w:rsid w:val="007E2E5F"/>
    <w:rsid w:val="007E3046"/>
    <w:rsid w:val="007E3180"/>
    <w:rsid w:val="007E34A0"/>
    <w:rsid w:val="007E383E"/>
    <w:rsid w:val="007E3841"/>
    <w:rsid w:val="007E38A7"/>
    <w:rsid w:val="007E38C1"/>
    <w:rsid w:val="007E3B41"/>
    <w:rsid w:val="007E3B51"/>
    <w:rsid w:val="007E3BF7"/>
    <w:rsid w:val="007E3C2F"/>
    <w:rsid w:val="007E42EC"/>
    <w:rsid w:val="007E43AF"/>
    <w:rsid w:val="007E4704"/>
    <w:rsid w:val="007E4767"/>
    <w:rsid w:val="007E4AE3"/>
    <w:rsid w:val="007E4B43"/>
    <w:rsid w:val="007E4C08"/>
    <w:rsid w:val="007E4DFF"/>
    <w:rsid w:val="007E562A"/>
    <w:rsid w:val="007E5803"/>
    <w:rsid w:val="007E5908"/>
    <w:rsid w:val="007E5D4A"/>
    <w:rsid w:val="007E6121"/>
    <w:rsid w:val="007E666C"/>
    <w:rsid w:val="007E6C71"/>
    <w:rsid w:val="007E6E2A"/>
    <w:rsid w:val="007E6F0E"/>
    <w:rsid w:val="007E6F34"/>
    <w:rsid w:val="007E74B7"/>
    <w:rsid w:val="007E7E42"/>
    <w:rsid w:val="007E7F00"/>
    <w:rsid w:val="007F017D"/>
    <w:rsid w:val="007F02AC"/>
    <w:rsid w:val="007F03D3"/>
    <w:rsid w:val="007F0603"/>
    <w:rsid w:val="007F0808"/>
    <w:rsid w:val="007F08B4"/>
    <w:rsid w:val="007F0931"/>
    <w:rsid w:val="007F09A9"/>
    <w:rsid w:val="007F0E4E"/>
    <w:rsid w:val="007F1113"/>
    <w:rsid w:val="007F13A0"/>
    <w:rsid w:val="007F13DC"/>
    <w:rsid w:val="007F15A2"/>
    <w:rsid w:val="007F1770"/>
    <w:rsid w:val="007F17A1"/>
    <w:rsid w:val="007F17FC"/>
    <w:rsid w:val="007F20D0"/>
    <w:rsid w:val="007F2315"/>
    <w:rsid w:val="007F24B6"/>
    <w:rsid w:val="007F2508"/>
    <w:rsid w:val="007F271A"/>
    <w:rsid w:val="007F281D"/>
    <w:rsid w:val="007F2834"/>
    <w:rsid w:val="007F28DE"/>
    <w:rsid w:val="007F2E32"/>
    <w:rsid w:val="007F2F60"/>
    <w:rsid w:val="007F30E9"/>
    <w:rsid w:val="007F328D"/>
    <w:rsid w:val="007F3466"/>
    <w:rsid w:val="007F3799"/>
    <w:rsid w:val="007F379F"/>
    <w:rsid w:val="007F37CE"/>
    <w:rsid w:val="007F3AF4"/>
    <w:rsid w:val="007F3BDC"/>
    <w:rsid w:val="007F3C0D"/>
    <w:rsid w:val="007F3F0F"/>
    <w:rsid w:val="007F3FA9"/>
    <w:rsid w:val="007F41AB"/>
    <w:rsid w:val="007F45CE"/>
    <w:rsid w:val="007F4963"/>
    <w:rsid w:val="007F4CD0"/>
    <w:rsid w:val="007F53FF"/>
    <w:rsid w:val="007F54C9"/>
    <w:rsid w:val="007F55FC"/>
    <w:rsid w:val="007F5FD5"/>
    <w:rsid w:val="007F631D"/>
    <w:rsid w:val="007F66D7"/>
    <w:rsid w:val="007F6754"/>
    <w:rsid w:val="007F6E43"/>
    <w:rsid w:val="007F7120"/>
    <w:rsid w:val="007F7A6C"/>
    <w:rsid w:val="007F7BCD"/>
    <w:rsid w:val="007F7C29"/>
    <w:rsid w:val="008000B2"/>
    <w:rsid w:val="008014F7"/>
    <w:rsid w:val="008019AA"/>
    <w:rsid w:val="00801AB6"/>
    <w:rsid w:val="00802036"/>
    <w:rsid w:val="008021E6"/>
    <w:rsid w:val="00802434"/>
    <w:rsid w:val="00802593"/>
    <w:rsid w:val="00802647"/>
    <w:rsid w:val="00802847"/>
    <w:rsid w:val="008031CC"/>
    <w:rsid w:val="0080377E"/>
    <w:rsid w:val="00803F73"/>
    <w:rsid w:val="0080408C"/>
    <w:rsid w:val="00804777"/>
    <w:rsid w:val="00804947"/>
    <w:rsid w:val="00804B52"/>
    <w:rsid w:val="00804B69"/>
    <w:rsid w:val="008052C4"/>
    <w:rsid w:val="008057AF"/>
    <w:rsid w:val="00805A11"/>
    <w:rsid w:val="00805F84"/>
    <w:rsid w:val="00806206"/>
    <w:rsid w:val="00806439"/>
    <w:rsid w:val="00806A34"/>
    <w:rsid w:val="00806AFF"/>
    <w:rsid w:val="00806F40"/>
    <w:rsid w:val="0080702C"/>
    <w:rsid w:val="00807076"/>
    <w:rsid w:val="00807240"/>
    <w:rsid w:val="008072A8"/>
    <w:rsid w:val="008075A8"/>
    <w:rsid w:val="008078E9"/>
    <w:rsid w:val="00807DC7"/>
    <w:rsid w:val="008103F0"/>
    <w:rsid w:val="008104BD"/>
    <w:rsid w:val="008107AF"/>
    <w:rsid w:val="00810845"/>
    <w:rsid w:val="00810ADF"/>
    <w:rsid w:val="00810B31"/>
    <w:rsid w:val="00810E19"/>
    <w:rsid w:val="0081167C"/>
    <w:rsid w:val="00811929"/>
    <w:rsid w:val="00811A88"/>
    <w:rsid w:val="00811D84"/>
    <w:rsid w:val="00811DC9"/>
    <w:rsid w:val="00811FCB"/>
    <w:rsid w:val="00812080"/>
    <w:rsid w:val="00812092"/>
    <w:rsid w:val="008120A2"/>
    <w:rsid w:val="0081249B"/>
    <w:rsid w:val="008124F5"/>
    <w:rsid w:val="008125A6"/>
    <w:rsid w:val="00812715"/>
    <w:rsid w:val="00812EE3"/>
    <w:rsid w:val="00813272"/>
    <w:rsid w:val="0081335C"/>
    <w:rsid w:val="00813759"/>
    <w:rsid w:val="008137B6"/>
    <w:rsid w:val="008137C1"/>
    <w:rsid w:val="0081397F"/>
    <w:rsid w:val="008142E8"/>
    <w:rsid w:val="008144C1"/>
    <w:rsid w:val="00814C21"/>
    <w:rsid w:val="00814CE4"/>
    <w:rsid w:val="00814F40"/>
    <w:rsid w:val="00815088"/>
    <w:rsid w:val="00815457"/>
    <w:rsid w:val="008157CB"/>
    <w:rsid w:val="00815939"/>
    <w:rsid w:val="00815B08"/>
    <w:rsid w:val="00815C68"/>
    <w:rsid w:val="00815CDE"/>
    <w:rsid w:val="0081656D"/>
    <w:rsid w:val="00816636"/>
    <w:rsid w:val="00816DE9"/>
    <w:rsid w:val="00817804"/>
    <w:rsid w:val="0081786D"/>
    <w:rsid w:val="00817F69"/>
    <w:rsid w:val="008203D7"/>
    <w:rsid w:val="008203E7"/>
    <w:rsid w:val="008205AD"/>
    <w:rsid w:val="008205AE"/>
    <w:rsid w:val="0082082F"/>
    <w:rsid w:val="00820978"/>
    <w:rsid w:val="00820B06"/>
    <w:rsid w:val="00820C90"/>
    <w:rsid w:val="00820E27"/>
    <w:rsid w:val="00820E2E"/>
    <w:rsid w:val="00820E65"/>
    <w:rsid w:val="008219FE"/>
    <w:rsid w:val="00821C36"/>
    <w:rsid w:val="00821D9E"/>
    <w:rsid w:val="00821E54"/>
    <w:rsid w:val="00821F7D"/>
    <w:rsid w:val="008220F3"/>
    <w:rsid w:val="00822190"/>
    <w:rsid w:val="008221EA"/>
    <w:rsid w:val="008225F6"/>
    <w:rsid w:val="008227D9"/>
    <w:rsid w:val="00822AB9"/>
    <w:rsid w:val="00822C6E"/>
    <w:rsid w:val="00822D14"/>
    <w:rsid w:val="00822F9B"/>
    <w:rsid w:val="00822FC4"/>
    <w:rsid w:val="008233EE"/>
    <w:rsid w:val="00823431"/>
    <w:rsid w:val="00823466"/>
    <w:rsid w:val="00823553"/>
    <w:rsid w:val="0082373A"/>
    <w:rsid w:val="008237C3"/>
    <w:rsid w:val="0082384C"/>
    <w:rsid w:val="00823A4B"/>
    <w:rsid w:val="00823CE4"/>
    <w:rsid w:val="00823D05"/>
    <w:rsid w:val="008240D5"/>
    <w:rsid w:val="0082426C"/>
    <w:rsid w:val="00824B72"/>
    <w:rsid w:val="00824C96"/>
    <w:rsid w:val="00824F34"/>
    <w:rsid w:val="008254C8"/>
    <w:rsid w:val="008255DF"/>
    <w:rsid w:val="008258D0"/>
    <w:rsid w:val="00825CBF"/>
    <w:rsid w:val="0082611C"/>
    <w:rsid w:val="0082611E"/>
    <w:rsid w:val="0082652B"/>
    <w:rsid w:val="008266AC"/>
    <w:rsid w:val="008268F1"/>
    <w:rsid w:val="008270B7"/>
    <w:rsid w:val="008271D0"/>
    <w:rsid w:val="008274C5"/>
    <w:rsid w:val="0082758A"/>
    <w:rsid w:val="00827606"/>
    <w:rsid w:val="00827E01"/>
    <w:rsid w:val="00830526"/>
    <w:rsid w:val="00830A43"/>
    <w:rsid w:val="00830EFC"/>
    <w:rsid w:val="00830F35"/>
    <w:rsid w:val="008311E3"/>
    <w:rsid w:val="00831234"/>
    <w:rsid w:val="00831C09"/>
    <w:rsid w:val="0083204F"/>
    <w:rsid w:val="00832249"/>
    <w:rsid w:val="00832B70"/>
    <w:rsid w:val="0083316A"/>
    <w:rsid w:val="00833308"/>
    <w:rsid w:val="008334B0"/>
    <w:rsid w:val="00833D41"/>
    <w:rsid w:val="00833D66"/>
    <w:rsid w:val="00833DB8"/>
    <w:rsid w:val="0083414A"/>
    <w:rsid w:val="008342D2"/>
    <w:rsid w:val="00835249"/>
    <w:rsid w:val="008353E7"/>
    <w:rsid w:val="0083592B"/>
    <w:rsid w:val="008359A9"/>
    <w:rsid w:val="00835BB1"/>
    <w:rsid w:val="008365A4"/>
    <w:rsid w:val="008371D1"/>
    <w:rsid w:val="0083744B"/>
    <w:rsid w:val="00837CE8"/>
    <w:rsid w:val="0084001F"/>
    <w:rsid w:val="0084006A"/>
    <w:rsid w:val="00840272"/>
    <w:rsid w:val="00840495"/>
    <w:rsid w:val="0084051C"/>
    <w:rsid w:val="0084077E"/>
    <w:rsid w:val="00840D4A"/>
    <w:rsid w:val="00840D63"/>
    <w:rsid w:val="00841158"/>
    <w:rsid w:val="008417D5"/>
    <w:rsid w:val="00841B05"/>
    <w:rsid w:val="00841FDE"/>
    <w:rsid w:val="008422BE"/>
    <w:rsid w:val="008424E0"/>
    <w:rsid w:val="0084255F"/>
    <w:rsid w:val="008425CE"/>
    <w:rsid w:val="0084286A"/>
    <w:rsid w:val="00842A2E"/>
    <w:rsid w:val="00843351"/>
    <w:rsid w:val="00843546"/>
    <w:rsid w:val="00843722"/>
    <w:rsid w:val="0084378B"/>
    <w:rsid w:val="00843A45"/>
    <w:rsid w:val="00843A61"/>
    <w:rsid w:val="00843F06"/>
    <w:rsid w:val="00844462"/>
    <w:rsid w:val="00844946"/>
    <w:rsid w:val="00844A8D"/>
    <w:rsid w:val="00844F3D"/>
    <w:rsid w:val="008452AC"/>
    <w:rsid w:val="0084537E"/>
    <w:rsid w:val="008457B1"/>
    <w:rsid w:val="0084639A"/>
    <w:rsid w:val="008467DA"/>
    <w:rsid w:val="00846935"/>
    <w:rsid w:val="0084697E"/>
    <w:rsid w:val="00846B77"/>
    <w:rsid w:val="00846D7B"/>
    <w:rsid w:val="00846E17"/>
    <w:rsid w:val="00846EC7"/>
    <w:rsid w:val="0084719F"/>
    <w:rsid w:val="008472DD"/>
    <w:rsid w:val="008472E5"/>
    <w:rsid w:val="008478CD"/>
    <w:rsid w:val="00847CC5"/>
    <w:rsid w:val="0085067F"/>
    <w:rsid w:val="008506DF"/>
    <w:rsid w:val="0085090C"/>
    <w:rsid w:val="008522F8"/>
    <w:rsid w:val="00852349"/>
    <w:rsid w:val="00852843"/>
    <w:rsid w:val="00852938"/>
    <w:rsid w:val="008529AC"/>
    <w:rsid w:val="008529F7"/>
    <w:rsid w:val="00852A56"/>
    <w:rsid w:val="00852B03"/>
    <w:rsid w:val="008532D7"/>
    <w:rsid w:val="008535C5"/>
    <w:rsid w:val="00853784"/>
    <w:rsid w:val="00853982"/>
    <w:rsid w:val="008539B4"/>
    <w:rsid w:val="00853BA0"/>
    <w:rsid w:val="00853D33"/>
    <w:rsid w:val="00853D7E"/>
    <w:rsid w:val="00853EE1"/>
    <w:rsid w:val="00854065"/>
    <w:rsid w:val="008548FC"/>
    <w:rsid w:val="008553E7"/>
    <w:rsid w:val="0085564A"/>
    <w:rsid w:val="0085594C"/>
    <w:rsid w:val="00855968"/>
    <w:rsid w:val="00855A8C"/>
    <w:rsid w:val="00855ABE"/>
    <w:rsid w:val="00855F8A"/>
    <w:rsid w:val="00855FD6"/>
    <w:rsid w:val="00856156"/>
    <w:rsid w:val="00856323"/>
    <w:rsid w:val="00856A22"/>
    <w:rsid w:val="00856D2A"/>
    <w:rsid w:val="00856DE1"/>
    <w:rsid w:val="00856F0B"/>
    <w:rsid w:val="00856F87"/>
    <w:rsid w:val="00856FDE"/>
    <w:rsid w:val="0085712E"/>
    <w:rsid w:val="00857236"/>
    <w:rsid w:val="008572CD"/>
    <w:rsid w:val="00857505"/>
    <w:rsid w:val="008577AE"/>
    <w:rsid w:val="00857A26"/>
    <w:rsid w:val="00857A53"/>
    <w:rsid w:val="00857C75"/>
    <w:rsid w:val="00857D08"/>
    <w:rsid w:val="00857D80"/>
    <w:rsid w:val="00857F63"/>
    <w:rsid w:val="00860063"/>
    <w:rsid w:val="008600F0"/>
    <w:rsid w:val="0086054A"/>
    <w:rsid w:val="00860788"/>
    <w:rsid w:val="008608D1"/>
    <w:rsid w:val="00860932"/>
    <w:rsid w:val="00860C5F"/>
    <w:rsid w:val="00860FD9"/>
    <w:rsid w:val="008611AC"/>
    <w:rsid w:val="008612B5"/>
    <w:rsid w:val="008613D5"/>
    <w:rsid w:val="0086141A"/>
    <w:rsid w:val="008615C8"/>
    <w:rsid w:val="0086165D"/>
    <w:rsid w:val="00861B0F"/>
    <w:rsid w:val="00861B74"/>
    <w:rsid w:val="00861C29"/>
    <w:rsid w:val="00861E56"/>
    <w:rsid w:val="00862572"/>
    <w:rsid w:val="00862701"/>
    <w:rsid w:val="00862C42"/>
    <w:rsid w:val="00862C8B"/>
    <w:rsid w:val="00862CDA"/>
    <w:rsid w:val="00863AFC"/>
    <w:rsid w:val="0086411D"/>
    <w:rsid w:val="0086461E"/>
    <w:rsid w:val="00864AAA"/>
    <w:rsid w:val="00865147"/>
    <w:rsid w:val="008654A9"/>
    <w:rsid w:val="008659B7"/>
    <w:rsid w:val="00865B2A"/>
    <w:rsid w:val="00865E8B"/>
    <w:rsid w:val="00865E8E"/>
    <w:rsid w:val="00865FE5"/>
    <w:rsid w:val="00866A65"/>
    <w:rsid w:val="00866BD2"/>
    <w:rsid w:val="00866CB2"/>
    <w:rsid w:val="00866F6F"/>
    <w:rsid w:val="0086724A"/>
    <w:rsid w:val="00867896"/>
    <w:rsid w:val="008679F8"/>
    <w:rsid w:val="00870308"/>
    <w:rsid w:val="008703C8"/>
    <w:rsid w:val="008709ED"/>
    <w:rsid w:val="00870F7B"/>
    <w:rsid w:val="00871396"/>
    <w:rsid w:val="008713B8"/>
    <w:rsid w:val="008713F1"/>
    <w:rsid w:val="008719DC"/>
    <w:rsid w:val="00871E03"/>
    <w:rsid w:val="00871E69"/>
    <w:rsid w:val="0087207D"/>
    <w:rsid w:val="0087291B"/>
    <w:rsid w:val="008732EF"/>
    <w:rsid w:val="008736DE"/>
    <w:rsid w:val="0087384E"/>
    <w:rsid w:val="00874BE5"/>
    <w:rsid w:val="00874C3C"/>
    <w:rsid w:val="0087514B"/>
    <w:rsid w:val="008751D9"/>
    <w:rsid w:val="008753C3"/>
    <w:rsid w:val="00875433"/>
    <w:rsid w:val="008754B0"/>
    <w:rsid w:val="008756AA"/>
    <w:rsid w:val="00875751"/>
    <w:rsid w:val="00875BBE"/>
    <w:rsid w:val="00876023"/>
    <w:rsid w:val="0087656B"/>
    <w:rsid w:val="008766FA"/>
    <w:rsid w:val="00876765"/>
    <w:rsid w:val="00876795"/>
    <w:rsid w:val="0087691E"/>
    <w:rsid w:val="00876A3B"/>
    <w:rsid w:val="00876A92"/>
    <w:rsid w:val="00876C6E"/>
    <w:rsid w:val="00876D72"/>
    <w:rsid w:val="00876E13"/>
    <w:rsid w:val="0087736C"/>
    <w:rsid w:val="00877439"/>
    <w:rsid w:val="008778A1"/>
    <w:rsid w:val="00877AF8"/>
    <w:rsid w:val="00877BDF"/>
    <w:rsid w:val="00880715"/>
    <w:rsid w:val="00880948"/>
    <w:rsid w:val="00880B3B"/>
    <w:rsid w:val="00880D89"/>
    <w:rsid w:val="008810BA"/>
    <w:rsid w:val="0088150B"/>
    <w:rsid w:val="00881644"/>
    <w:rsid w:val="008818C0"/>
    <w:rsid w:val="008819C3"/>
    <w:rsid w:val="00881C1A"/>
    <w:rsid w:val="00881D20"/>
    <w:rsid w:val="00881E7C"/>
    <w:rsid w:val="008822CA"/>
    <w:rsid w:val="0088270B"/>
    <w:rsid w:val="00882984"/>
    <w:rsid w:val="008829BD"/>
    <w:rsid w:val="00882C3D"/>
    <w:rsid w:val="00883643"/>
    <w:rsid w:val="0088384C"/>
    <w:rsid w:val="00883A03"/>
    <w:rsid w:val="00883CE6"/>
    <w:rsid w:val="00883D1E"/>
    <w:rsid w:val="00883D59"/>
    <w:rsid w:val="0088436F"/>
    <w:rsid w:val="008844E4"/>
    <w:rsid w:val="008846B6"/>
    <w:rsid w:val="00884D5E"/>
    <w:rsid w:val="00885056"/>
    <w:rsid w:val="00885675"/>
    <w:rsid w:val="00885A7A"/>
    <w:rsid w:val="00885F91"/>
    <w:rsid w:val="008862C8"/>
    <w:rsid w:val="008865EE"/>
    <w:rsid w:val="00886945"/>
    <w:rsid w:val="00886F1B"/>
    <w:rsid w:val="008873C2"/>
    <w:rsid w:val="0088753B"/>
    <w:rsid w:val="00887624"/>
    <w:rsid w:val="00887628"/>
    <w:rsid w:val="00887712"/>
    <w:rsid w:val="008878DC"/>
    <w:rsid w:val="00887B98"/>
    <w:rsid w:val="00887CA5"/>
    <w:rsid w:val="00887F39"/>
    <w:rsid w:val="00890290"/>
    <w:rsid w:val="008906D6"/>
    <w:rsid w:val="00890A39"/>
    <w:rsid w:val="00890D88"/>
    <w:rsid w:val="00891156"/>
    <w:rsid w:val="008916DE"/>
    <w:rsid w:val="008917C1"/>
    <w:rsid w:val="00891849"/>
    <w:rsid w:val="008919D6"/>
    <w:rsid w:val="00891DC8"/>
    <w:rsid w:val="008922DA"/>
    <w:rsid w:val="00892321"/>
    <w:rsid w:val="008925EB"/>
    <w:rsid w:val="0089262E"/>
    <w:rsid w:val="008929FD"/>
    <w:rsid w:val="008935D3"/>
    <w:rsid w:val="0089370D"/>
    <w:rsid w:val="0089374D"/>
    <w:rsid w:val="008937D1"/>
    <w:rsid w:val="00893A0C"/>
    <w:rsid w:val="00893CC9"/>
    <w:rsid w:val="00894384"/>
    <w:rsid w:val="008943F1"/>
    <w:rsid w:val="008947ED"/>
    <w:rsid w:val="00894A98"/>
    <w:rsid w:val="00894BA5"/>
    <w:rsid w:val="00894E5D"/>
    <w:rsid w:val="00894EA2"/>
    <w:rsid w:val="00895011"/>
    <w:rsid w:val="00895484"/>
    <w:rsid w:val="0089574E"/>
    <w:rsid w:val="008959F1"/>
    <w:rsid w:val="00895E40"/>
    <w:rsid w:val="00895E84"/>
    <w:rsid w:val="008962DD"/>
    <w:rsid w:val="00896824"/>
    <w:rsid w:val="008968F7"/>
    <w:rsid w:val="008971C2"/>
    <w:rsid w:val="0089774E"/>
    <w:rsid w:val="00897CA0"/>
    <w:rsid w:val="00897E3B"/>
    <w:rsid w:val="00897E5D"/>
    <w:rsid w:val="008A0013"/>
    <w:rsid w:val="008A0041"/>
    <w:rsid w:val="008A00AF"/>
    <w:rsid w:val="008A0169"/>
    <w:rsid w:val="008A083A"/>
    <w:rsid w:val="008A0C5B"/>
    <w:rsid w:val="008A110F"/>
    <w:rsid w:val="008A190F"/>
    <w:rsid w:val="008A1967"/>
    <w:rsid w:val="008A2343"/>
    <w:rsid w:val="008A239E"/>
    <w:rsid w:val="008A27CB"/>
    <w:rsid w:val="008A284F"/>
    <w:rsid w:val="008A29B6"/>
    <w:rsid w:val="008A2A5B"/>
    <w:rsid w:val="008A2FF4"/>
    <w:rsid w:val="008A3185"/>
    <w:rsid w:val="008A349F"/>
    <w:rsid w:val="008A3B31"/>
    <w:rsid w:val="008A3DE1"/>
    <w:rsid w:val="008A4232"/>
    <w:rsid w:val="008A4306"/>
    <w:rsid w:val="008A4339"/>
    <w:rsid w:val="008A43D9"/>
    <w:rsid w:val="008A4A20"/>
    <w:rsid w:val="008A5100"/>
    <w:rsid w:val="008A5B28"/>
    <w:rsid w:val="008A630E"/>
    <w:rsid w:val="008A6798"/>
    <w:rsid w:val="008A6D97"/>
    <w:rsid w:val="008A6D98"/>
    <w:rsid w:val="008A6E32"/>
    <w:rsid w:val="008A6F89"/>
    <w:rsid w:val="008A6FD8"/>
    <w:rsid w:val="008A70A2"/>
    <w:rsid w:val="008A73C7"/>
    <w:rsid w:val="008A7638"/>
    <w:rsid w:val="008A7849"/>
    <w:rsid w:val="008A7978"/>
    <w:rsid w:val="008A7CC9"/>
    <w:rsid w:val="008A7CD5"/>
    <w:rsid w:val="008B02ED"/>
    <w:rsid w:val="008B02F1"/>
    <w:rsid w:val="008B035E"/>
    <w:rsid w:val="008B0673"/>
    <w:rsid w:val="008B06D6"/>
    <w:rsid w:val="008B0C0B"/>
    <w:rsid w:val="008B128B"/>
    <w:rsid w:val="008B130C"/>
    <w:rsid w:val="008B137E"/>
    <w:rsid w:val="008B1382"/>
    <w:rsid w:val="008B16FA"/>
    <w:rsid w:val="008B176A"/>
    <w:rsid w:val="008B218B"/>
    <w:rsid w:val="008B2539"/>
    <w:rsid w:val="008B264B"/>
    <w:rsid w:val="008B27D2"/>
    <w:rsid w:val="008B308E"/>
    <w:rsid w:val="008B31D5"/>
    <w:rsid w:val="008B333F"/>
    <w:rsid w:val="008B33DE"/>
    <w:rsid w:val="008B3A25"/>
    <w:rsid w:val="008B45C3"/>
    <w:rsid w:val="008B462F"/>
    <w:rsid w:val="008B47A8"/>
    <w:rsid w:val="008B48B3"/>
    <w:rsid w:val="008B4D98"/>
    <w:rsid w:val="008B52D7"/>
    <w:rsid w:val="008B544C"/>
    <w:rsid w:val="008B57A4"/>
    <w:rsid w:val="008B5BDA"/>
    <w:rsid w:val="008B5DDA"/>
    <w:rsid w:val="008B5E88"/>
    <w:rsid w:val="008B5FD6"/>
    <w:rsid w:val="008B613F"/>
    <w:rsid w:val="008B61BD"/>
    <w:rsid w:val="008B66D1"/>
    <w:rsid w:val="008B6730"/>
    <w:rsid w:val="008B6DF6"/>
    <w:rsid w:val="008B7672"/>
    <w:rsid w:val="008B7791"/>
    <w:rsid w:val="008B794F"/>
    <w:rsid w:val="008B7D98"/>
    <w:rsid w:val="008B7F93"/>
    <w:rsid w:val="008C01F0"/>
    <w:rsid w:val="008C02CD"/>
    <w:rsid w:val="008C038A"/>
    <w:rsid w:val="008C04CF"/>
    <w:rsid w:val="008C0EF4"/>
    <w:rsid w:val="008C0F8F"/>
    <w:rsid w:val="008C109B"/>
    <w:rsid w:val="008C1123"/>
    <w:rsid w:val="008C1178"/>
    <w:rsid w:val="008C1250"/>
    <w:rsid w:val="008C12DE"/>
    <w:rsid w:val="008C1535"/>
    <w:rsid w:val="008C19CF"/>
    <w:rsid w:val="008C1B34"/>
    <w:rsid w:val="008C1C1C"/>
    <w:rsid w:val="008C2771"/>
    <w:rsid w:val="008C28C3"/>
    <w:rsid w:val="008C2BE7"/>
    <w:rsid w:val="008C2C81"/>
    <w:rsid w:val="008C2CE0"/>
    <w:rsid w:val="008C304E"/>
    <w:rsid w:val="008C3508"/>
    <w:rsid w:val="008C3658"/>
    <w:rsid w:val="008C3953"/>
    <w:rsid w:val="008C39D0"/>
    <w:rsid w:val="008C3C51"/>
    <w:rsid w:val="008C4007"/>
    <w:rsid w:val="008C431C"/>
    <w:rsid w:val="008C4511"/>
    <w:rsid w:val="008C4A9A"/>
    <w:rsid w:val="008C4B7A"/>
    <w:rsid w:val="008C4DA8"/>
    <w:rsid w:val="008C5B55"/>
    <w:rsid w:val="008C619B"/>
    <w:rsid w:val="008C61B6"/>
    <w:rsid w:val="008C63D8"/>
    <w:rsid w:val="008C6C67"/>
    <w:rsid w:val="008C6CC7"/>
    <w:rsid w:val="008C6D56"/>
    <w:rsid w:val="008C71B1"/>
    <w:rsid w:val="008C770B"/>
    <w:rsid w:val="008C7A9A"/>
    <w:rsid w:val="008C7B07"/>
    <w:rsid w:val="008D034E"/>
    <w:rsid w:val="008D03A6"/>
    <w:rsid w:val="008D07EC"/>
    <w:rsid w:val="008D097D"/>
    <w:rsid w:val="008D0A6E"/>
    <w:rsid w:val="008D0E62"/>
    <w:rsid w:val="008D113F"/>
    <w:rsid w:val="008D12DC"/>
    <w:rsid w:val="008D1893"/>
    <w:rsid w:val="008D1B47"/>
    <w:rsid w:val="008D1F29"/>
    <w:rsid w:val="008D1F60"/>
    <w:rsid w:val="008D21A1"/>
    <w:rsid w:val="008D2390"/>
    <w:rsid w:val="008D25FA"/>
    <w:rsid w:val="008D2694"/>
    <w:rsid w:val="008D2CE3"/>
    <w:rsid w:val="008D2EBE"/>
    <w:rsid w:val="008D3328"/>
    <w:rsid w:val="008D35E7"/>
    <w:rsid w:val="008D382E"/>
    <w:rsid w:val="008D3D68"/>
    <w:rsid w:val="008D3D7E"/>
    <w:rsid w:val="008D3FF4"/>
    <w:rsid w:val="008D4C44"/>
    <w:rsid w:val="008D4CD7"/>
    <w:rsid w:val="008D5004"/>
    <w:rsid w:val="008D5009"/>
    <w:rsid w:val="008D5024"/>
    <w:rsid w:val="008D514F"/>
    <w:rsid w:val="008D52AB"/>
    <w:rsid w:val="008D5574"/>
    <w:rsid w:val="008D582C"/>
    <w:rsid w:val="008D589A"/>
    <w:rsid w:val="008D5AE0"/>
    <w:rsid w:val="008D5F48"/>
    <w:rsid w:val="008D6540"/>
    <w:rsid w:val="008D66C1"/>
    <w:rsid w:val="008D6730"/>
    <w:rsid w:val="008D6859"/>
    <w:rsid w:val="008D6AD9"/>
    <w:rsid w:val="008D6B00"/>
    <w:rsid w:val="008D6E43"/>
    <w:rsid w:val="008D7876"/>
    <w:rsid w:val="008D7BE7"/>
    <w:rsid w:val="008D7CB3"/>
    <w:rsid w:val="008D7D84"/>
    <w:rsid w:val="008D7E00"/>
    <w:rsid w:val="008D7E15"/>
    <w:rsid w:val="008E0056"/>
    <w:rsid w:val="008E012E"/>
    <w:rsid w:val="008E0340"/>
    <w:rsid w:val="008E0955"/>
    <w:rsid w:val="008E0A6D"/>
    <w:rsid w:val="008E18F8"/>
    <w:rsid w:val="008E1E64"/>
    <w:rsid w:val="008E23EC"/>
    <w:rsid w:val="008E2545"/>
    <w:rsid w:val="008E2602"/>
    <w:rsid w:val="008E2757"/>
    <w:rsid w:val="008E2DFA"/>
    <w:rsid w:val="008E3020"/>
    <w:rsid w:val="008E302A"/>
    <w:rsid w:val="008E3094"/>
    <w:rsid w:val="008E30E2"/>
    <w:rsid w:val="008E33B4"/>
    <w:rsid w:val="008E35E7"/>
    <w:rsid w:val="008E36F8"/>
    <w:rsid w:val="008E3816"/>
    <w:rsid w:val="008E38E0"/>
    <w:rsid w:val="008E38E8"/>
    <w:rsid w:val="008E40D9"/>
    <w:rsid w:val="008E41FD"/>
    <w:rsid w:val="008E4350"/>
    <w:rsid w:val="008E47A6"/>
    <w:rsid w:val="008E4AD1"/>
    <w:rsid w:val="008E53B9"/>
    <w:rsid w:val="008E5B7B"/>
    <w:rsid w:val="008E5BC4"/>
    <w:rsid w:val="008E60E7"/>
    <w:rsid w:val="008E6295"/>
    <w:rsid w:val="008E63BD"/>
    <w:rsid w:val="008E64FB"/>
    <w:rsid w:val="008E655D"/>
    <w:rsid w:val="008E6906"/>
    <w:rsid w:val="008E69FB"/>
    <w:rsid w:val="008E6B7A"/>
    <w:rsid w:val="008E6C19"/>
    <w:rsid w:val="008E6DF7"/>
    <w:rsid w:val="008E6ECB"/>
    <w:rsid w:val="008E6EF3"/>
    <w:rsid w:val="008E72D3"/>
    <w:rsid w:val="008E74F1"/>
    <w:rsid w:val="008F025A"/>
    <w:rsid w:val="008F056F"/>
    <w:rsid w:val="008F05F7"/>
    <w:rsid w:val="008F0745"/>
    <w:rsid w:val="008F0BEC"/>
    <w:rsid w:val="008F0F67"/>
    <w:rsid w:val="008F106F"/>
    <w:rsid w:val="008F11F9"/>
    <w:rsid w:val="008F17F6"/>
    <w:rsid w:val="008F17F7"/>
    <w:rsid w:val="008F194B"/>
    <w:rsid w:val="008F1F6E"/>
    <w:rsid w:val="008F20D8"/>
    <w:rsid w:val="008F27FA"/>
    <w:rsid w:val="008F29E3"/>
    <w:rsid w:val="008F2A9D"/>
    <w:rsid w:val="008F2CF2"/>
    <w:rsid w:val="008F2D75"/>
    <w:rsid w:val="008F2F91"/>
    <w:rsid w:val="008F2FBC"/>
    <w:rsid w:val="008F37A1"/>
    <w:rsid w:val="008F3C39"/>
    <w:rsid w:val="008F3E5D"/>
    <w:rsid w:val="008F43EB"/>
    <w:rsid w:val="008F44B7"/>
    <w:rsid w:val="008F4905"/>
    <w:rsid w:val="008F5C8D"/>
    <w:rsid w:val="008F6152"/>
    <w:rsid w:val="008F631D"/>
    <w:rsid w:val="008F665D"/>
    <w:rsid w:val="008F6B8C"/>
    <w:rsid w:val="008F6B96"/>
    <w:rsid w:val="008F7094"/>
    <w:rsid w:val="008F72F5"/>
    <w:rsid w:val="008F7876"/>
    <w:rsid w:val="008F78A2"/>
    <w:rsid w:val="008F798F"/>
    <w:rsid w:val="008F7E89"/>
    <w:rsid w:val="00900385"/>
    <w:rsid w:val="00900A7A"/>
    <w:rsid w:val="00900C21"/>
    <w:rsid w:val="00900CCD"/>
    <w:rsid w:val="00900D1A"/>
    <w:rsid w:val="00900D45"/>
    <w:rsid w:val="00900F81"/>
    <w:rsid w:val="009010BD"/>
    <w:rsid w:val="009012F3"/>
    <w:rsid w:val="009013C6"/>
    <w:rsid w:val="00901641"/>
    <w:rsid w:val="009016D4"/>
    <w:rsid w:val="00901890"/>
    <w:rsid w:val="0090190F"/>
    <w:rsid w:val="00901A61"/>
    <w:rsid w:val="00901DC3"/>
    <w:rsid w:val="00902378"/>
    <w:rsid w:val="00902536"/>
    <w:rsid w:val="00902A07"/>
    <w:rsid w:val="00902CBC"/>
    <w:rsid w:val="00902D51"/>
    <w:rsid w:val="00903A9E"/>
    <w:rsid w:val="0090442E"/>
    <w:rsid w:val="0090460F"/>
    <w:rsid w:val="009046F3"/>
    <w:rsid w:val="00904701"/>
    <w:rsid w:val="009048A5"/>
    <w:rsid w:val="009050B0"/>
    <w:rsid w:val="009052A7"/>
    <w:rsid w:val="009052C6"/>
    <w:rsid w:val="0090542E"/>
    <w:rsid w:val="00905579"/>
    <w:rsid w:val="009058DB"/>
    <w:rsid w:val="00905B2E"/>
    <w:rsid w:val="00905B8C"/>
    <w:rsid w:val="00905BF7"/>
    <w:rsid w:val="00905D9C"/>
    <w:rsid w:val="00905FD1"/>
    <w:rsid w:val="0090603F"/>
    <w:rsid w:val="00906093"/>
    <w:rsid w:val="0090666C"/>
    <w:rsid w:val="00906BC3"/>
    <w:rsid w:val="00906D8A"/>
    <w:rsid w:val="00906F3B"/>
    <w:rsid w:val="009077FE"/>
    <w:rsid w:val="00907917"/>
    <w:rsid w:val="00907A23"/>
    <w:rsid w:val="00907A2B"/>
    <w:rsid w:val="00910128"/>
    <w:rsid w:val="009106B6"/>
    <w:rsid w:val="009107C9"/>
    <w:rsid w:val="00910AB7"/>
    <w:rsid w:val="00910B3E"/>
    <w:rsid w:val="0091142F"/>
    <w:rsid w:val="00911C1E"/>
    <w:rsid w:val="0091203E"/>
    <w:rsid w:val="009120E1"/>
    <w:rsid w:val="00912153"/>
    <w:rsid w:val="0091284E"/>
    <w:rsid w:val="0091298F"/>
    <w:rsid w:val="009132D8"/>
    <w:rsid w:val="009133A3"/>
    <w:rsid w:val="009139E8"/>
    <w:rsid w:val="00913C8F"/>
    <w:rsid w:val="00913CB6"/>
    <w:rsid w:val="00913E4A"/>
    <w:rsid w:val="009147E2"/>
    <w:rsid w:val="00914A27"/>
    <w:rsid w:val="00914B4C"/>
    <w:rsid w:val="009151BA"/>
    <w:rsid w:val="0091522C"/>
    <w:rsid w:val="00915332"/>
    <w:rsid w:val="009154DB"/>
    <w:rsid w:val="0091569D"/>
    <w:rsid w:val="0091598A"/>
    <w:rsid w:val="00915AEB"/>
    <w:rsid w:val="00915B36"/>
    <w:rsid w:val="00915E75"/>
    <w:rsid w:val="00916253"/>
    <w:rsid w:val="0091640A"/>
    <w:rsid w:val="009165E5"/>
    <w:rsid w:val="00916854"/>
    <w:rsid w:val="00916864"/>
    <w:rsid w:val="00916A48"/>
    <w:rsid w:val="00916D94"/>
    <w:rsid w:val="00916F47"/>
    <w:rsid w:val="00917076"/>
    <w:rsid w:val="00917124"/>
    <w:rsid w:val="00917144"/>
    <w:rsid w:val="00917190"/>
    <w:rsid w:val="0091740E"/>
    <w:rsid w:val="009175AA"/>
    <w:rsid w:val="00917934"/>
    <w:rsid w:val="00917B94"/>
    <w:rsid w:val="009201C9"/>
    <w:rsid w:val="0092023E"/>
    <w:rsid w:val="0092055D"/>
    <w:rsid w:val="009205BD"/>
    <w:rsid w:val="00920F1B"/>
    <w:rsid w:val="009215BF"/>
    <w:rsid w:val="009218D6"/>
    <w:rsid w:val="009219EB"/>
    <w:rsid w:val="00921A23"/>
    <w:rsid w:val="00921F43"/>
    <w:rsid w:val="0092200D"/>
    <w:rsid w:val="0092246A"/>
    <w:rsid w:val="0092266D"/>
    <w:rsid w:val="009226FA"/>
    <w:rsid w:val="009228CE"/>
    <w:rsid w:val="009229C9"/>
    <w:rsid w:val="00922C95"/>
    <w:rsid w:val="0092309F"/>
    <w:rsid w:val="009232BA"/>
    <w:rsid w:val="009234B2"/>
    <w:rsid w:val="00923C06"/>
    <w:rsid w:val="0092400A"/>
    <w:rsid w:val="0092424B"/>
    <w:rsid w:val="009242BE"/>
    <w:rsid w:val="009247AD"/>
    <w:rsid w:val="009251A4"/>
    <w:rsid w:val="00925843"/>
    <w:rsid w:val="00925944"/>
    <w:rsid w:val="00925D7B"/>
    <w:rsid w:val="00925F4C"/>
    <w:rsid w:val="00926097"/>
    <w:rsid w:val="00926390"/>
    <w:rsid w:val="00926C66"/>
    <w:rsid w:val="00926E74"/>
    <w:rsid w:val="00927C67"/>
    <w:rsid w:val="00927D28"/>
    <w:rsid w:val="00930318"/>
    <w:rsid w:val="0093059C"/>
    <w:rsid w:val="009305D4"/>
    <w:rsid w:val="009305D9"/>
    <w:rsid w:val="00930730"/>
    <w:rsid w:val="00930AED"/>
    <w:rsid w:val="00930F49"/>
    <w:rsid w:val="009313D2"/>
    <w:rsid w:val="00931472"/>
    <w:rsid w:val="00931C69"/>
    <w:rsid w:val="00932454"/>
    <w:rsid w:val="009324EA"/>
    <w:rsid w:val="009324F0"/>
    <w:rsid w:val="0093285C"/>
    <w:rsid w:val="00932C76"/>
    <w:rsid w:val="00932C7C"/>
    <w:rsid w:val="00932F4C"/>
    <w:rsid w:val="00933267"/>
    <w:rsid w:val="00933397"/>
    <w:rsid w:val="009333BF"/>
    <w:rsid w:val="00933521"/>
    <w:rsid w:val="009335E9"/>
    <w:rsid w:val="0093387E"/>
    <w:rsid w:val="00933C37"/>
    <w:rsid w:val="00933E1A"/>
    <w:rsid w:val="009340E9"/>
    <w:rsid w:val="00934177"/>
    <w:rsid w:val="00934507"/>
    <w:rsid w:val="00934619"/>
    <w:rsid w:val="00934788"/>
    <w:rsid w:val="0093486C"/>
    <w:rsid w:val="009348EB"/>
    <w:rsid w:val="00934963"/>
    <w:rsid w:val="00934B23"/>
    <w:rsid w:val="00934D25"/>
    <w:rsid w:val="0093528B"/>
    <w:rsid w:val="00935DA8"/>
    <w:rsid w:val="00935E0E"/>
    <w:rsid w:val="00936320"/>
    <w:rsid w:val="00936664"/>
    <w:rsid w:val="00936906"/>
    <w:rsid w:val="00936D90"/>
    <w:rsid w:val="00936DA7"/>
    <w:rsid w:val="009370C1"/>
    <w:rsid w:val="00937197"/>
    <w:rsid w:val="0093796C"/>
    <w:rsid w:val="00937BEE"/>
    <w:rsid w:val="00937FFC"/>
    <w:rsid w:val="009400DE"/>
    <w:rsid w:val="009403F6"/>
    <w:rsid w:val="0094041A"/>
    <w:rsid w:val="0094096B"/>
    <w:rsid w:val="00940A8E"/>
    <w:rsid w:val="00940BE6"/>
    <w:rsid w:val="00940E0F"/>
    <w:rsid w:val="00941495"/>
    <w:rsid w:val="00941605"/>
    <w:rsid w:val="00941652"/>
    <w:rsid w:val="00941AED"/>
    <w:rsid w:val="009420EE"/>
    <w:rsid w:val="009421CB"/>
    <w:rsid w:val="009426AC"/>
    <w:rsid w:val="00942BB0"/>
    <w:rsid w:val="00942D98"/>
    <w:rsid w:val="00942EAE"/>
    <w:rsid w:val="0094313D"/>
    <w:rsid w:val="0094333E"/>
    <w:rsid w:val="009435FF"/>
    <w:rsid w:val="00943655"/>
    <w:rsid w:val="00943660"/>
    <w:rsid w:val="00944550"/>
    <w:rsid w:val="0094459F"/>
    <w:rsid w:val="0094492F"/>
    <w:rsid w:val="00944E56"/>
    <w:rsid w:val="009453A2"/>
    <w:rsid w:val="0094556A"/>
    <w:rsid w:val="00945657"/>
    <w:rsid w:val="00945B11"/>
    <w:rsid w:val="00945D44"/>
    <w:rsid w:val="009463C6"/>
    <w:rsid w:val="00946716"/>
    <w:rsid w:val="00946BB0"/>
    <w:rsid w:val="00946BCF"/>
    <w:rsid w:val="00946E7A"/>
    <w:rsid w:val="00947252"/>
    <w:rsid w:val="009473BE"/>
    <w:rsid w:val="00947497"/>
    <w:rsid w:val="0094758B"/>
    <w:rsid w:val="0094780A"/>
    <w:rsid w:val="00947A17"/>
    <w:rsid w:val="00947A5E"/>
    <w:rsid w:val="00947A87"/>
    <w:rsid w:val="00947DC3"/>
    <w:rsid w:val="0095015F"/>
    <w:rsid w:val="0095019F"/>
    <w:rsid w:val="009501A6"/>
    <w:rsid w:val="009503AD"/>
    <w:rsid w:val="00950446"/>
    <w:rsid w:val="00950615"/>
    <w:rsid w:val="00950798"/>
    <w:rsid w:val="0095080F"/>
    <w:rsid w:val="00950C9A"/>
    <w:rsid w:val="00950ECF"/>
    <w:rsid w:val="00951129"/>
    <w:rsid w:val="00951163"/>
    <w:rsid w:val="00951174"/>
    <w:rsid w:val="009511E7"/>
    <w:rsid w:val="0095190E"/>
    <w:rsid w:val="00951A24"/>
    <w:rsid w:val="00951CE3"/>
    <w:rsid w:val="00951E33"/>
    <w:rsid w:val="00951F6D"/>
    <w:rsid w:val="009522B9"/>
    <w:rsid w:val="00952478"/>
    <w:rsid w:val="009525BA"/>
    <w:rsid w:val="009527A2"/>
    <w:rsid w:val="00952A51"/>
    <w:rsid w:val="00952DB6"/>
    <w:rsid w:val="0095304C"/>
    <w:rsid w:val="0095313B"/>
    <w:rsid w:val="009532F2"/>
    <w:rsid w:val="00953C11"/>
    <w:rsid w:val="00953D3D"/>
    <w:rsid w:val="00953DD7"/>
    <w:rsid w:val="00954245"/>
    <w:rsid w:val="009542CC"/>
    <w:rsid w:val="0095431E"/>
    <w:rsid w:val="009547AB"/>
    <w:rsid w:val="00954860"/>
    <w:rsid w:val="00954CDD"/>
    <w:rsid w:val="00954DD9"/>
    <w:rsid w:val="00954F19"/>
    <w:rsid w:val="009550C5"/>
    <w:rsid w:val="00955137"/>
    <w:rsid w:val="009557C8"/>
    <w:rsid w:val="00955A05"/>
    <w:rsid w:val="00955B8D"/>
    <w:rsid w:val="00955C47"/>
    <w:rsid w:val="00955CAB"/>
    <w:rsid w:val="00956A5B"/>
    <w:rsid w:val="00956CC4"/>
    <w:rsid w:val="00957382"/>
    <w:rsid w:val="00957B95"/>
    <w:rsid w:val="00957FC9"/>
    <w:rsid w:val="00960112"/>
    <w:rsid w:val="009605DA"/>
    <w:rsid w:val="00960705"/>
    <w:rsid w:val="00960779"/>
    <w:rsid w:val="00960885"/>
    <w:rsid w:val="009608B4"/>
    <w:rsid w:val="009609B8"/>
    <w:rsid w:val="009609BE"/>
    <w:rsid w:val="00960CBE"/>
    <w:rsid w:val="00960D00"/>
    <w:rsid w:val="00960D5D"/>
    <w:rsid w:val="00960EC4"/>
    <w:rsid w:val="009610B4"/>
    <w:rsid w:val="009614CA"/>
    <w:rsid w:val="00961993"/>
    <w:rsid w:val="009619EB"/>
    <w:rsid w:val="00961A68"/>
    <w:rsid w:val="00961BD8"/>
    <w:rsid w:val="00961C66"/>
    <w:rsid w:val="00961FCB"/>
    <w:rsid w:val="009623EA"/>
    <w:rsid w:val="00962566"/>
    <w:rsid w:val="00962567"/>
    <w:rsid w:val="009626EC"/>
    <w:rsid w:val="00962B92"/>
    <w:rsid w:val="00963B7E"/>
    <w:rsid w:val="00963F2E"/>
    <w:rsid w:val="009640E1"/>
    <w:rsid w:val="009642C4"/>
    <w:rsid w:val="00964752"/>
    <w:rsid w:val="00964907"/>
    <w:rsid w:val="00964971"/>
    <w:rsid w:val="00964F7A"/>
    <w:rsid w:val="00965010"/>
    <w:rsid w:val="009651A4"/>
    <w:rsid w:val="00965582"/>
    <w:rsid w:val="00965670"/>
    <w:rsid w:val="009657B7"/>
    <w:rsid w:val="0096586C"/>
    <w:rsid w:val="00965ADF"/>
    <w:rsid w:val="00965B2C"/>
    <w:rsid w:val="00965D9A"/>
    <w:rsid w:val="0096622C"/>
    <w:rsid w:val="009663C3"/>
    <w:rsid w:val="00966572"/>
    <w:rsid w:val="009668FE"/>
    <w:rsid w:val="00966BEB"/>
    <w:rsid w:val="00966D73"/>
    <w:rsid w:val="00966EDD"/>
    <w:rsid w:val="00966F23"/>
    <w:rsid w:val="00967003"/>
    <w:rsid w:val="009670B9"/>
    <w:rsid w:val="009670DF"/>
    <w:rsid w:val="00967ADB"/>
    <w:rsid w:val="00967AF8"/>
    <w:rsid w:val="0097020A"/>
    <w:rsid w:val="009706E5"/>
    <w:rsid w:val="00970701"/>
    <w:rsid w:val="009707F3"/>
    <w:rsid w:val="00970ABF"/>
    <w:rsid w:val="00971169"/>
    <w:rsid w:val="009715F5"/>
    <w:rsid w:val="009716AF"/>
    <w:rsid w:val="00971734"/>
    <w:rsid w:val="00971FDC"/>
    <w:rsid w:val="00972220"/>
    <w:rsid w:val="00972414"/>
    <w:rsid w:val="00972566"/>
    <w:rsid w:val="00972B4B"/>
    <w:rsid w:val="00972C7C"/>
    <w:rsid w:val="00972FE8"/>
    <w:rsid w:val="0097333C"/>
    <w:rsid w:val="009736D6"/>
    <w:rsid w:val="009738F9"/>
    <w:rsid w:val="009742C1"/>
    <w:rsid w:val="009743C9"/>
    <w:rsid w:val="00974433"/>
    <w:rsid w:val="0097475A"/>
    <w:rsid w:val="009750A2"/>
    <w:rsid w:val="00975489"/>
    <w:rsid w:val="009754B4"/>
    <w:rsid w:val="009754BB"/>
    <w:rsid w:val="00975770"/>
    <w:rsid w:val="00975897"/>
    <w:rsid w:val="009761E2"/>
    <w:rsid w:val="009769EF"/>
    <w:rsid w:val="00976B5D"/>
    <w:rsid w:val="00976E2D"/>
    <w:rsid w:val="00976F93"/>
    <w:rsid w:val="00977359"/>
    <w:rsid w:val="009775A6"/>
    <w:rsid w:val="009775D5"/>
    <w:rsid w:val="00977868"/>
    <w:rsid w:val="00977926"/>
    <w:rsid w:val="00977960"/>
    <w:rsid w:val="00977969"/>
    <w:rsid w:val="00977A40"/>
    <w:rsid w:val="00977B3D"/>
    <w:rsid w:val="00977FA3"/>
    <w:rsid w:val="00980057"/>
    <w:rsid w:val="0098026F"/>
    <w:rsid w:val="009802F0"/>
    <w:rsid w:val="0098034F"/>
    <w:rsid w:val="0098043D"/>
    <w:rsid w:val="0098060E"/>
    <w:rsid w:val="00980A58"/>
    <w:rsid w:val="00980E62"/>
    <w:rsid w:val="00980ECF"/>
    <w:rsid w:val="00981511"/>
    <w:rsid w:val="0098190C"/>
    <w:rsid w:val="00981976"/>
    <w:rsid w:val="00981AB4"/>
    <w:rsid w:val="00981C51"/>
    <w:rsid w:val="00981F8C"/>
    <w:rsid w:val="00981F96"/>
    <w:rsid w:val="00981FDD"/>
    <w:rsid w:val="0098211A"/>
    <w:rsid w:val="0098242D"/>
    <w:rsid w:val="00982646"/>
    <w:rsid w:val="00982767"/>
    <w:rsid w:val="00982B14"/>
    <w:rsid w:val="00982C09"/>
    <w:rsid w:val="00982C79"/>
    <w:rsid w:val="00983078"/>
    <w:rsid w:val="00983318"/>
    <w:rsid w:val="0098341A"/>
    <w:rsid w:val="009834FB"/>
    <w:rsid w:val="0098353C"/>
    <w:rsid w:val="009839A7"/>
    <w:rsid w:val="00983CAE"/>
    <w:rsid w:val="00983CCC"/>
    <w:rsid w:val="00983F0C"/>
    <w:rsid w:val="009841EB"/>
    <w:rsid w:val="009844C2"/>
    <w:rsid w:val="00984635"/>
    <w:rsid w:val="0098479C"/>
    <w:rsid w:val="009847D7"/>
    <w:rsid w:val="00984A61"/>
    <w:rsid w:val="00984DE5"/>
    <w:rsid w:val="00984F2C"/>
    <w:rsid w:val="00985194"/>
    <w:rsid w:val="00985986"/>
    <w:rsid w:val="00986050"/>
    <w:rsid w:val="00986A22"/>
    <w:rsid w:val="00986C32"/>
    <w:rsid w:val="00986C80"/>
    <w:rsid w:val="00986CEE"/>
    <w:rsid w:val="009873C0"/>
    <w:rsid w:val="0098744F"/>
    <w:rsid w:val="009874C4"/>
    <w:rsid w:val="00987C2C"/>
    <w:rsid w:val="009902AD"/>
    <w:rsid w:val="00990305"/>
    <w:rsid w:val="0099050E"/>
    <w:rsid w:val="00990684"/>
    <w:rsid w:val="00990DB9"/>
    <w:rsid w:val="00990F7F"/>
    <w:rsid w:val="00991002"/>
    <w:rsid w:val="00991536"/>
    <w:rsid w:val="0099196C"/>
    <w:rsid w:val="009919C2"/>
    <w:rsid w:val="00991DAA"/>
    <w:rsid w:val="00992362"/>
    <w:rsid w:val="00992585"/>
    <w:rsid w:val="009926A7"/>
    <w:rsid w:val="00992904"/>
    <w:rsid w:val="00992905"/>
    <w:rsid w:val="00992B2B"/>
    <w:rsid w:val="00992B3B"/>
    <w:rsid w:val="00992FA1"/>
    <w:rsid w:val="00993337"/>
    <w:rsid w:val="009934FC"/>
    <w:rsid w:val="0099364A"/>
    <w:rsid w:val="00993D85"/>
    <w:rsid w:val="0099439E"/>
    <w:rsid w:val="00994722"/>
    <w:rsid w:val="00995079"/>
    <w:rsid w:val="0099577A"/>
    <w:rsid w:val="009958D4"/>
    <w:rsid w:val="0099599F"/>
    <w:rsid w:val="00995DFC"/>
    <w:rsid w:val="009960C1"/>
    <w:rsid w:val="009961E6"/>
    <w:rsid w:val="00996396"/>
    <w:rsid w:val="00996427"/>
    <w:rsid w:val="0099662D"/>
    <w:rsid w:val="009967D7"/>
    <w:rsid w:val="0099680A"/>
    <w:rsid w:val="00996A9B"/>
    <w:rsid w:val="0099707D"/>
    <w:rsid w:val="009979DC"/>
    <w:rsid w:val="00997C1D"/>
    <w:rsid w:val="00997F73"/>
    <w:rsid w:val="009A00EB"/>
    <w:rsid w:val="009A0412"/>
    <w:rsid w:val="009A04C5"/>
    <w:rsid w:val="009A0731"/>
    <w:rsid w:val="009A11DF"/>
    <w:rsid w:val="009A13A8"/>
    <w:rsid w:val="009A16FC"/>
    <w:rsid w:val="009A17A7"/>
    <w:rsid w:val="009A18A0"/>
    <w:rsid w:val="009A1FB0"/>
    <w:rsid w:val="009A25A7"/>
    <w:rsid w:val="009A2AA5"/>
    <w:rsid w:val="009A2AE5"/>
    <w:rsid w:val="009A31F3"/>
    <w:rsid w:val="009A341F"/>
    <w:rsid w:val="009A37E2"/>
    <w:rsid w:val="009A3849"/>
    <w:rsid w:val="009A3A21"/>
    <w:rsid w:val="009A3DA6"/>
    <w:rsid w:val="009A48A3"/>
    <w:rsid w:val="009A4D0F"/>
    <w:rsid w:val="009A4D85"/>
    <w:rsid w:val="009A4F92"/>
    <w:rsid w:val="009A51A9"/>
    <w:rsid w:val="009A5526"/>
    <w:rsid w:val="009A580D"/>
    <w:rsid w:val="009A5FD7"/>
    <w:rsid w:val="009A60A1"/>
    <w:rsid w:val="009A69A4"/>
    <w:rsid w:val="009A6D1F"/>
    <w:rsid w:val="009A7282"/>
    <w:rsid w:val="009A7294"/>
    <w:rsid w:val="009A7392"/>
    <w:rsid w:val="009A7421"/>
    <w:rsid w:val="009A75B8"/>
    <w:rsid w:val="009A75C8"/>
    <w:rsid w:val="009A7A80"/>
    <w:rsid w:val="009A7B89"/>
    <w:rsid w:val="009B00FD"/>
    <w:rsid w:val="009B0660"/>
    <w:rsid w:val="009B08CF"/>
    <w:rsid w:val="009B098A"/>
    <w:rsid w:val="009B0D40"/>
    <w:rsid w:val="009B10F6"/>
    <w:rsid w:val="009B1153"/>
    <w:rsid w:val="009B1368"/>
    <w:rsid w:val="009B169A"/>
    <w:rsid w:val="009B197B"/>
    <w:rsid w:val="009B1BAA"/>
    <w:rsid w:val="009B22AA"/>
    <w:rsid w:val="009B22F3"/>
    <w:rsid w:val="009B2A15"/>
    <w:rsid w:val="009B3109"/>
    <w:rsid w:val="009B33AD"/>
    <w:rsid w:val="009B3492"/>
    <w:rsid w:val="009B3535"/>
    <w:rsid w:val="009B3ABF"/>
    <w:rsid w:val="009B3C7D"/>
    <w:rsid w:val="009B3DF3"/>
    <w:rsid w:val="009B3FD4"/>
    <w:rsid w:val="009B42F4"/>
    <w:rsid w:val="009B4CEA"/>
    <w:rsid w:val="009B4D5C"/>
    <w:rsid w:val="009B4E3A"/>
    <w:rsid w:val="009B4E41"/>
    <w:rsid w:val="009B57E2"/>
    <w:rsid w:val="009B5A8F"/>
    <w:rsid w:val="009B5AB6"/>
    <w:rsid w:val="009B5ADC"/>
    <w:rsid w:val="009B5FB6"/>
    <w:rsid w:val="009B6507"/>
    <w:rsid w:val="009B655A"/>
    <w:rsid w:val="009B66A8"/>
    <w:rsid w:val="009B6CDB"/>
    <w:rsid w:val="009B6D65"/>
    <w:rsid w:val="009B6F31"/>
    <w:rsid w:val="009B72EA"/>
    <w:rsid w:val="009B77C3"/>
    <w:rsid w:val="009B79D9"/>
    <w:rsid w:val="009B7E08"/>
    <w:rsid w:val="009B7E5E"/>
    <w:rsid w:val="009C008E"/>
    <w:rsid w:val="009C0486"/>
    <w:rsid w:val="009C07BD"/>
    <w:rsid w:val="009C0938"/>
    <w:rsid w:val="009C0C75"/>
    <w:rsid w:val="009C10C4"/>
    <w:rsid w:val="009C1788"/>
    <w:rsid w:val="009C1894"/>
    <w:rsid w:val="009C1AF6"/>
    <w:rsid w:val="009C1B7B"/>
    <w:rsid w:val="009C1D9E"/>
    <w:rsid w:val="009C260A"/>
    <w:rsid w:val="009C268E"/>
    <w:rsid w:val="009C2723"/>
    <w:rsid w:val="009C2B09"/>
    <w:rsid w:val="009C314C"/>
    <w:rsid w:val="009C3325"/>
    <w:rsid w:val="009C38D9"/>
    <w:rsid w:val="009C3A6C"/>
    <w:rsid w:val="009C3BC4"/>
    <w:rsid w:val="009C4062"/>
    <w:rsid w:val="009C4113"/>
    <w:rsid w:val="009C4117"/>
    <w:rsid w:val="009C419A"/>
    <w:rsid w:val="009C46B6"/>
    <w:rsid w:val="009C47DF"/>
    <w:rsid w:val="009C47F7"/>
    <w:rsid w:val="009C4C9B"/>
    <w:rsid w:val="009C4E18"/>
    <w:rsid w:val="009C4FF7"/>
    <w:rsid w:val="009C501F"/>
    <w:rsid w:val="009C525E"/>
    <w:rsid w:val="009C52AB"/>
    <w:rsid w:val="009C58B5"/>
    <w:rsid w:val="009C5A61"/>
    <w:rsid w:val="009C5F6B"/>
    <w:rsid w:val="009C60E9"/>
    <w:rsid w:val="009C64CA"/>
    <w:rsid w:val="009C6559"/>
    <w:rsid w:val="009C69F6"/>
    <w:rsid w:val="009C70BD"/>
    <w:rsid w:val="009C70D9"/>
    <w:rsid w:val="009C7227"/>
    <w:rsid w:val="009C7321"/>
    <w:rsid w:val="009C739F"/>
    <w:rsid w:val="009C7551"/>
    <w:rsid w:val="009C780E"/>
    <w:rsid w:val="009C7944"/>
    <w:rsid w:val="009C7C27"/>
    <w:rsid w:val="009C7E5A"/>
    <w:rsid w:val="009D0335"/>
    <w:rsid w:val="009D0412"/>
    <w:rsid w:val="009D0652"/>
    <w:rsid w:val="009D0A69"/>
    <w:rsid w:val="009D0B0F"/>
    <w:rsid w:val="009D1836"/>
    <w:rsid w:val="009D196B"/>
    <w:rsid w:val="009D1B8B"/>
    <w:rsid w:val="009D1DF9"/>
    <w:rsid w:val="009D2720"/>
    <w:rsid w:val="009D28BD"/>
    <w:rsid w:val="009D2A05"/>
    <w:rsid w:val="009D2C3A"/>
    <w:rsid w:val="009D303C"/>
    <w:rsid w:val="009D3142"/>
    <w:rsid w:val="009D35F3"/>
    <w:rsid w:val="009D363F"/>
    <w:rsid w:val="009D3C9D"/>
    <w:rsid w:val="009D3DD9"/>
    <w:rsid w:val="009D4764"/>
    <w:rsid w:val="009D4FB5"/>
    <w:rsid w:val="009D5261"/>
    <w:rsid w:val="009D5342"/>
    <w:rsid w:val="009D5D80"/>
    <w:rsid w:val="009D5F6E"/>
    <w:rsid w:val="009D600B"/>
    <w:rsid w:val="009D62B7"/>
    <w:rsid w:val="009D64FA"/>
    <w:rsid w:val="009D6B8D"/>
    <w:rsid w:val="009D6C11"/>
    <w:rsid w:val="009D6DB0"/>
    <w:rsid w:val="009D77C8"/>
    <w:rsid w:val="009D7881"/>
    <w:rsid w:val="009D7D30"/>
    <w:rsid w:val="009D7E7B"/>
    <w:rsid w:val="009D7EF4"/>
    <w:rsid w:val="009E0225"/>
    <w:rsid w:val="009E0278"/>
    <w:rsid w:val="009E0B16"/>
    <w:rsid w:val="009E0BE7"/>
    <w:rsid w:val="009E0C6E"/>
    <w:rsid w:val="009E0E5D"/>
    <w:rsid w:val="009E126D"/>
    <w:rsid w:val="009E144B"/>
    <w:rsid w:val="009E1560"/>
    <w:rsid w:val="009E1CE0"/>
    <w:rsid w:val="009E1D8A"/>
    <w:rsid w:val="009E20FA"/>
    <w:rsid w:val="009E224B"/>
    <w:rsid w:val="009E31D8"/>
    <w:rsid w:val="009E36AB"/>
    <w:rsid w:val="009E3C51"/>
    <w:rsid w:val="009E3D24"/>
    <w:rsid w:val="009E41C8"/>
    <w:rsid w:val="009E41F6"/>
    <w:rsid w:val="009E429D"/>
    <w:rsid w:val="009E478F"/>
    <w:rsid w:val="009E492C"/>
    <w:rsid w:val="009E494C"/>
    <w:rsid w:val="009E4D4A"/>
    <w:rsid w:val="009E5161"/>
    <w:rsid w:val="009E51ED"/>
    <w:rsid w:val="009E54F7"/>
    <w:rsid w:val="009E594E"/>
    <w:rsid w:val="009E599C"/>
    <w:rsid w:val="009E59EF"/>
    <w:rsid w:val="009E5CD2"/>
    <w:rsid w:val="009E5EA9"/>
    <w:rsid w:val="009E5F80"/>
    <w:rsid w:val="009E665F"/>
    <w:rsid w:val="009E6AE3"/>
    <w:rsid w:val="009E6F50"/>
    <w:rsid w:val="009E7191"/>
    <w:rsid w:val="009E71C6"/>
    <w:rsid w:val="009E772B"/>
    <w:rsid w:val="009E7766"/>
    <w:rsid w:val="009E776A"/>
    <w:rsid w:val="009E7928"/>
    <w:rsid w:val="009E7D86"/>
    <w:rsid w:val="009F016D"/>
    <w:rsid w:val="009F02DA"/>
    <w:rsid w:val="009F04F2"/>
    <w:rsid w:val="009F1592"/>
    <w:rsid w:val="009F159D"/>
    <w:rsid w:val="009F20F8"/>
    <w:rsid w:val="009F2191"/>
    <w:rsid w:val="009F272D"/>
    <w:rsid w:val="009F27F7"/>
    <w:rsid w:val="009F2DFD"/>
    <w:rsid w:val="009F3247"/>
    <w:rsid w:val="009F32A9"/>
    <w:rsid w:val="009F32B9"/>
    <w:rsid w:val="009F3381"/>
    <w:rsid w:val="009F3A56"/>
    <w:rsid w:val="009F3E55"/>
    <w:rsid w:val="009F4D5F"/>
    <w:rsid w:val="009F4E1D"/>
    <w:rsid w:val="009F56CE"/>
    <w:rsid w:val="009F573C"/>
    <w:rsid w:val="009F5E01"/>
    <w:rsid w:val="009F5E42"/>
    <w:rsid w:val="009F6039"/>
    <w:rsid w:val="009F60D0"/>
    <w:rsid w:val="009F65C8"/>
    <w:rsid w:val="009F65CE"/>
    <w:rsid w:val="009F6895"/>
    <w:rsid w:val="009F690F"/>
    <w:rsid w:val="009F69EA"/>
    <w:rsid w:val="009F6B50"/>
    <w:rsid w:val="009F6B90"/>
    <w:rsid w:val="009F6D20"/>
    <w:rsid w:val="009F71AE"/>
    <w:rsid w:val="009F7484"/>
    <w:rsid w:val="009F7629"/>
    <w:rsid w:val="009F7A01"/>
    <w:rsid w:val="009F7AAB"/>
    <w:rsid w:val="009F7DA8"/>
    <w:rsid w:val="00A00469"/>
    <w:rsid w:val="00A004D0"/>
    <w:rsid w:val="00A007E9"/>
    <w:rsid w:val="00A00884"/>
    <w:rsid w:val="00A008F3"/>
    <w:rsid w:val="00A00A56"/>
    <w:rsid w:val="00A01264"/>
    <w:rsid w:val="00A012EA"/>
    <w:rsid w:val="00A0163F"/>
    <w:rsid w:val="00A01989"/>
    <w:rsid w:val="00A01FA0"/>
    <w:rsid w:val="00A01FCB"/>
    <w:rsid w:val="00A021D9"/>
    <w:rsid w:val="00A02248"/>
    <w:rsid w:val="00A023DE"/>
    <w:rsid w:val="00A024C2"/>
    <w:rsid w:val="00A0254A"/>
    <w:rsid w:val="00A02784"/>
    <w:rsid w:val="00A027B3"/>
    <w:rsid w:val="00A0281B"/>
    <w:rsid w:val="00A02BDD"/>
    <w:rsid w:val="00A02C3C"/>
    <w:rsid w:val="00A02D0F"/>
    <w:rsid w:val="00A03084"/>
    <w:rsid w:val="00A030BB"/>
    <w:rsid w:val="00A03248"/>
    <w:rsid w:val="00A03441"/>
    <w:rsid w:val="00A03CC0"/>
    <w:rsid w:val="00A03F9F"/>
    <w:rsid w:val="00A041CC"/>
    <w:rsid w:val="00A0423D"/>
    <w:rsid w:val="00A042C2"/>
    <w:rsid w:val="00A049F8"/>
    <w:rsid w:val="00A05098"/>
    <w:rsid w:val="00A055F8"/>
    <w:rsid w:val="00A05698"/>
    <w:rsid w:val="00A05714"/>
    <w:rsid w:val="00A0592F"/>
    <w:rsid w:val="00A0594C"/>
    <w:rsid w:val="00A05AA7"/>
    <w:rsid w:val="00A05B9E"/>
    <w:rsid w:val="00A05E38"/>
    <w:rsid w:val="00A0622F"/>
    <w:rsid w:val="00A0660C"/>
    <w:rsid w:val="00A0682A"/>
    <w:rsid w:val="00A068CF"/>
    <w:rsid w:val="00A06D24"/>
    <w:rsid w:val="00A06E2E"/>
    <w:rsid w:val="00A06E7A"/>
    <w:rsid w:val="00A07562"/>
    <w:rsid w:val="00A07654"/>
    <w:rsid w:val="00A07CA9"/>
    <w:rsid w:val="00A1039E"/>
    <w:rsid w:val="00A103DC"/>
    <w:rsid w:val="00A108A6"/>
    <w:rsid w:val="00A10969"/>
    <w:rsid w:val="00A115EF"/>
    <w:rsid w:val="00A11DB0"/>
    <w:rsid w:val="00A12216"/>
    <w:rsid w:val="00A1253A"/>
    <w:rsid w:val="00A12590"/>
    <w:rsid w:val="00A12810"/>
    <w:rsid w:val="00A129BA"/>
    <w:rsid w:val="00A13095"/>
    <w:rsid w:val="00A13675"/>
    <w:rsid w:val="00A13B3A"/>
    <w:rsid w:val="00A13DCD"/>
    <w:rsid w:val="00A1469C"/>
    <w:rsid w:val="00A146E5"/>
    <w:rsid w:val="00A1475C"/>
    <w:rsid w:val="00A14917"/>
    <w:rsid w:val="00A14AB3"/>
    <w:rsid w:val="00A15272"/>
    <w:rsid w:val="00A15333"/>
    <w:rsid w:val="00A1546B"/>
    <w:rsid w:val="00A160BA"/>
    <w:rsid w:val="00A1620E"/>
    <w:rsid w:val="00A16506"/>
    <w:rsid w:val="00A16530"/>
    <w:rsid w:val="00A16B5E"/>
    <w:rsid w:val="00A16C7C"/>
    <w:rsid w:val="00A16CE6"/>
    <w:rsid w:val="00A17704"/>
    <w:rsid w:val="00A1777A"/>
    <w:rsid w:val="00A17D83"/>
    <w:rsid w:val="00A17DE7"/>
    <w:rsid w:val="00A200CB"/>
    <w:rsid w:val="00A2036B"/>
    <w:rsid w:val="00A203A4"/>
    <w:rsid w:val="00A20B75"/>
    <w:rsid w:val="00A20B98"/>
    <w:rsid w:val="00A20C86"/>
    <w:rsid w:val="00A20FF5"/>
    <w:rsid w:val="00A21783"/>
    <w:rsid w:val="00A22110"/>
    <w:rsid w:val="00A221D1"/>
    <w:rsid w:val="00A222E4"/>
    <w:rsid w:val="00A22519"/>
    <w:rsid w:val="00A22550"/>
    <w:rsid w:val="00A22552"/>
    <w:rsid w:val="00A227F2"/>
    <w:rsid w:val="00A22AB8"/>
    <w:rsid w:val="00A22B04"/>
    <w:rsid w:val="00A22D7A"/>
    <w:rsid w:val="00A23073"/>
    <w:rsid w:val="00A2342C"/>
    <w:rsid w:val="00A23519"/>
    <w:rsid w:val="00A2352E"/>
    <w:rsid w:val="00A235FA"/>
    <w:rsid w:val="00A236A4"/>
    <w:rsid w:val="00A23768"/>
    <w:rsid w:val="00A23C0F"/>
    <w:rsid w:val="00A23DF4"/>
    <w:rsid w:val="00A23E72"/>
    <w:rsid w:val="00A24564"/>
    <w:rsid w:val="00A246B0"/>
    <w:rsid w:val="00A24766"/>
    <w:rsid w:val="00A24C09"/>
    <w:rsid w:val="00A24F21"/>
    <w:rsid w:val="00A25140"/>
    <w:rsid w:val="00A25250"/>
    <w:rsid w:val="00A2541C"/>
    <w:rsid w:val="00A25837"/>
    <w:rsid w:val="00A25A9F"/>
    <w:rsid w:val="00A25C6A"/>
    <w:rsid w:val="00A25DB6"/>
    <w:rsid w:val="00A25DFB"/>
    <w:rsid w:val="00A2606F"/>
    <w:rsid w:val="00A261A7"/>
    <w:rsid w:val="00A2652A"/>
    <w:rsid w:val="00A2698B"/>
    <w:rsid w:val="00A26A73"/>
    <w:rsid w:val="00A30571"/>
    <w:rsid w:val="00A31068"/>
    <w:rsid w:val="00A313FC"/>
    <w:rsid w:val="00A3170F"/>
    <w:rsid w:val="00A319FB"/>
    <w:rsid w:val="00A31A5C"/>
    <w:rsid w:val="00A31BCA"/>
    <w:rsid w:val="00A31BEF"/>
    <w:rsid w:val="00A31D9A"/>
    <w:rsid w:val="00A31E4F"/>
    <w:rsid w:val="00A32421"/>
    <w:rsid w:val="00A328E9"/>
    <w:rsid w:val="00A32B52"/>
    <w:rsid w:val="00A33045"/>
    <w:rsid w:val="00A3353C"/>
    <w:rsid w:val="00A335D7"/>
    <w:rsid w:val="00A33748"/>
    <w:rsid w:val="00A33FF4"/>
    <w:rsid w:val="00A3430B"/>
    <w:rsid w:val="00A3430E"/>
    <w:rsid w:val="00A34445"/>
    <w:rsid w:val="00A3466D"/>
    <w:rsid w:val="00A34D6D"/>
    <w:rsid w:val="00A34F49"/>
    <w:rsid w:val="00A35434"/>
    <w:rsid w:val="00A357AD"/>
    <w:rsid w:val="00A35B93"/>
    <w:rsid w:val="00A35F72"/>
    <w:rsid w:val="00A3625C"/>
    <w:rsid w:val="00A3647B"/>
    <w:rsid w:val="00A365B6"/>
    <w:rsid w:val="00A36710"/>
    <w:rsid w:val="00A37E81"/>
    <w:rsid w:val="00A4041B"/>
    <w:rsid w:val="00A405B3"/>
    <w:rsid w:val="00A40864"/>
    <w:rsid w:val="00A40AF8"/>
    <w:rsid w:val="00A40FC8"/>
    <w:rsid w:val="00A414C8"/>
    <w:rsid w:val="00A41604"/>
    <w:rsid w:val="00A41674"/>
    <w:rsid w:val="00A41BDD"/>
    <w:rsid w:val="00A41BE8"/>
    <w:rsid w:val="00A41F0E"/>
    <w:rsid w:val="00A42149"/>
    <w:rsid w:val="00A4261F"/>
    <w:rsid w:val="00A42802"/>
    <w:rsid w:val="00A42857"/>
    <w:rsid w:val="00A42E07"/>
    <w:rsid w:val="00A44A87"/>
    <w:rsid w:val="00A44DAE"/>
    <w:rsid w:val="00A44DF8"/>
    <w:rsid w:val="00A44F24"/>
    <w:rsid w:val="00A45323"/>
    <w:rsid w:val="00A459BA"/>
    <w:rsid w:val="00A45DC7"/>
    <w:rsid w:val="00A45EEC"/>
    <w:rsid w:val="00A4616F"/>
    <w:rsid w:val="00A4658B"/>
    <w:rsid w:val="00A466DF"/>
    <w:rsid w:val="00A46760"/>
    <w:rsid w:val="00A467BC"/>
    <w:rsid w:val="00A46979"/>
    <w:rsid w:val="00A46C77"/>
    <w:rsid w:val="00A46DBB"/>
    <w:rsid w:val="00A46F65"/>
    <w:rsid w:val="00A470ED"/>
    <w:rsid w:val="00A47162"/>
    <w:rsid w:val="00A47174"/>
    <w:rsid w:val="00A500E0"/>
    <w:rsid w:val="00A5057E"/>
    <w:rsid w:val="00A50660"/>
    <w:rsid w:val="00A50749"/>
    <w:rsid w:val="00A507D5"/>
    <w:rsid w:val="00A50B0C"/>
    <w:rsid w:val="00A50F90"/>
    <w:rsid w:val="00A51151"/>
    <w:rsid w:val="00A511C7"/>
    <w:rsid w:val="00A51240"/>
    <w:rsid w:val="00A51A1D"/>
    <w:rsid w:val="00A51B9C"/>
    <w:rsid w:val="00A52128"/>
    <w:rsid w:val="00A5213A"/>
    <w:rsid w:val="00A527A5"/>
    <w:rsid w:val="00A5281B"/>
    <w:rsid w:val="00A52964"/>
    <w:rsid w:val="00A52B4E"/>
    <w:rsid w:val="00A530F4"/>
    <w:rsid w:val="00A53318"/>
    <w:rsid w:val="00A539E1"/>
    <w:rsid w:val="00A539EB"/>
    <w:rsid w:val="00A53A5F"/>
    <w:rsid w:val="00A54032"/>
    <w:rsid w:val="00A54A39"/>
    <w:rsid w:val="00A54EAD"/>
    <w:rsid w:val="00A54F3E"/>
    <w:rsid w:val="00A5510F"/>
    <w:rsid w:val="00A555EF"/>
    <w:rsid w:val="00A558A4"/>
    <w:rsid w:val="00A558CB"/>
    <w:rsid w:val="00A55910"/>
    <w:rsid w:val="00A55914"/>
    <w:rsid w:val="00A55D21"/>
    <w:rsid w:val="00A56135"/>
    <w:rsid w:val="00A5680C"/>
    <w:rsid w:val="00A56BFF"/>
    <w:rsid w:val="00A56CEA"/>
    <w:rsid w:val="00A56D30"/>
    <w:rsid w:val="00A56E46"/>
    <w:rsid w:val="00A5700D"/>
    <w:rsid w:val="00A5748D"/>
    <w:rsid w:val="00A574A8"/>
    <w:rsid w:val="00A57648"/>
    <w:rsid w:val="00A578EB"/>
    <w:rsid w:val="00A57DCB"/>
    <w:rsid w:val="00A57E5D"/>
    <w:rsid w:val="00A57FED"/>
    <w:rsid w:val="00A602A8"/>
    <w:rsid w:val="00A605D6"/>
    <w:rsid w:val="00A61813"/>
    <w:rsid w:val="00A61910"/>
    <w:rsid w:val="00A61DF5"/>
    <w:rsid w:val="00A62072"/>
    <w:rsid w:val="00A627A9"/>
    <w:rsid w:val="00A62AEC"/>
    <w:rsid w:val="00A62C20"/>
    <w:rsid w:val="00A6314D"/>
    <w:rsid w:val="00A635C3"/>
    <w:rsid w:val="00A638CF"/>
    <w:rsid w:val="00A63C12"/>
    <w:rsid w:val="00A63EA0"/>
    <w:rsid w:val="00A642AF"/>
    <w:rsid w:val="00A6437B"/>
    <w:rsid w:val="00A644B1"/>
    <w:rsid w:val="00A644EA"/>
    <w:rsid w:val="00A645C3"/>
    <w:rsid w:val="00A646C7"/>
    <w:rsid w:val="00A64746"/>
    <w:rsid w:val="00A64983"/>
    <w:rsid w:val="00A64BC2"/>
    <w:rsid w:val="00A64C44"/>
    <w:rsid w:val="00A64EF2"/>
    <w:rsid w:val="00A64F0A"/>
    <w:rsid w:val="00A650EF"/>
    <w:rsid w:val="00A656B9"/>
    <w:rsid w:val="00A65B1A"/>
    <w:rsid w:val="00A65C37"/>
    <w:rsid w:val="00A65D8E"/>
    <w:rsid w:val="00A65EB1"/>
    <w:rsid w:val="00A65F26"/>
    <w:rsid w:val="00A65F2E"/>
    <w:rsid w:val="00A661EB"/>
    <w:rsid w:val="00A66486"/>
    <w:rsid w:val="00A664C0"/>
    <w:rsid w:val="00A66A76"/>
    <w:rsid w:val="00A66B19"/>
    <w:rsid w:val="00A66C25"/>
    <w:rsid w:val="00A66DDF"/>
    <w:rsid w:val="00A6720C"/>
    <w:rsid w:val="00A673B0"/>
    <w:rsid w:val="00A6771D"/>
    <w:rsid w:val="00A67AF1"/>
    <w:rsid w:val="00A67AFF"/>
    <w:rsid w:val="00A67EAF"/>
    <w:rsid w:val="00A700B7"/>
    <w:rsid w:val="00A700CB"/>
    <w:rsid w:val="00A70494"/>
    <w:rsid w:val="00A704AD"/>
    <w:rsid w:val="00A70C1E"/>
    <w:rsid w:val="00A70E5A"/>
    <w:rsid w:val="00A70E90"/>
    <w:rsid w:val="00A70F12"/>
    <w:rsid w:val="00A7167C"/>
    <w:rsid w:val="00A72021"/>
    <w:rsid w:val="00A72531"/>
    <w:rsid w:val="00A72612"/>
    <w:rsid w:val="00A72618"/>
    <w:rsid w:val="00A72720"/>
    <w:rsid w:val="00A72AD4"/>
    <w:rsid w:val="00A72CD2"/>
    <w:rsid w:val="00A72D48"/>
    <w:rsid w:val="00A72E43"/>
    <w:rsid w:val="00A72F73"/>
    <w:rsid w:val="00A7309C"/>
    <w:rsid w:val="00A73157"/>
    <w:rsid w:val="00A735DA"/>
    <w:rsid w:val="00A7361E"/>
    <w:rsid w:val="00A73A55"/>
    <w:rsid w:val="00A73B9E"/>
    <w:rsid w:val="00A73BE0"/>
    <w:rsid w:val="00A73D9B"/>
    <w:rsid w:val="00A73FB0"/>
    <w:rsid w:val="00A74307"/>
    <w:rsid w:val="00A749B5"/>
    <w:rsid w:val="00A74A9F"/>
    <w:rsid w:val="00A74F4A"/>
    <w:rsid w:val="00A75049"/>
    <w:rsid w:val="00A750DE"/>
    <w:rsid w:val="00A7532A"/>
    <w:rsid w:val="00A75489"/>
    <w:rsid w:val="00A7589F"/>
    <w:rsid w:val="00A759B4"/>
    <w:rsid w:val="00A75CCA"/>
    <w:rsid w:val="00A75D88"/>
    <w:rsid w:val="00A76422"/>
    <w:rsid w:val="00A76740"/>
    <w:rsid w:val="00A76782"/>
    <w:rsid w:val="00A76C65"/>
    <w:rsid w:val="00A76F4A"/>
    <w:rsid w:val="00A770F3"/>
    <w:rsid w:val="00A77C13"/>
    <w:rsid w:val="00A77D12"/>
    <w:rsid w:val="00A77D67"/>
    <w:rsid w:val="00A80494"/>
    <w:rsid w:val="00A80A91"/>
    <w:rsid w:val="00A80EB4"/>
    <w:rsid w:val="00A81238"/>
    <w:rsid w:val="00A816A6"/>
    <w:rsid w:val="00A81830"/>
    <w:rsid w:val="00A81950"/>
    <w:rsid w:val="00A81BE6"/>
    <w:rsid w:val="00A81CDC"/>
    <w:rsid w:val="00A81D1B"/>
    <w:rsid w:val="00A81F2D"/>
    <w:rsid w:val="00A81F88"/>
    <w:rsid w:val="00A82021"/>
    <w:rsid w:val="00A82421"/>
    <w:rsid w:val="00A824E6"/>
    <w:rsid w:val="00A82602"/>
    <w:rsid w:val="00A8260A"/>
    <w:rsid w:val="00A8277E"/>
    <w:rsid w:val="00A827EA"/>
    <w:rsid w:val="00A82844"/>
    <w:rsid w:val="00A829A0"/>
    <w:rsid w:val="00A82A9B"/>
    <w:rsid w:val="00A82B3B"/>
    <w:rsid w:val="00A837A2"/>
    <w:rsid w:val="00A83F18"/>
    <w:rsid w:val="00A841D4"/>
    <w:rsid w:val="00A8426E"/>
    <w:rsid w:val="00A8470D"/>
    <w:rsid w:val="00A8498F"/>
    <w:rsid w:val="00A849BC"/>
    <w:rsid w:val="00A84BED"/>
    <w:rsid w:val="00A850BD"/>
    <w:rsid w:val="00A85271"/>
    <w:rsid w:val="00A85381"/>
    <w:rsid w:val="00A85CA8"/>
    <w:rsid w:val="00A85CF7"/>
    <w:rsid w:val="00A85D3D"/>
    <w:rsid w:val="00A85EAC"/>
    <w:rsid w:val="00A85F20"/>
    <w:rsid w:val="00A8608A"/>
    <w:rsid w:val="00A8618A"/>
    <w:rsid w:val="00A861BD"/>
    <w:rsid w:val="00A86415"/>
    <w:rsid w:val="00A8681F"/>
    <w:rsid w:val="00A86B46"/>
    <w:rsid w:val="00A86E5F"/>
    <w:rsid w:val="00A8702A"/>
    <w:rsid w:val="00A87541"/>
    <w:rsid w:val="00A87670"/>
    <w:rsid w:val="00A8775B"/>
    <w:rsid w:val="00A903AC"/>
    <w:rsid w:val="00A905DA"/>
    <w:rsid w:val="00A90A1A"/>
    <w:rsid w:val="00A90BC1"/>
    <w:rsid w:val="00A90C0D"/>
    <w:rsid w:val="00A917E4"/>
    <w:rsid w:val="00A91897"/>
    <w:rsid w:val="00A91974"/>
    <w:rsid w:val="00A91B2A"/>
    <w:rsid w:val="00A91C4C"/>
    <w:rsid w:val="00A9214E"/>
    <w:rsid w:val="00A92203"/>
    <w:rsid w:val="00A92264"/>
    <w:rsid w:val="00A92C8B"/>
    <w:rsid w:val="00A92F42"/>
    <w:rsid w:val="00A935AA"/>
    <w:rsid w:val="00A935C8"/>
    <w:rsid w:val="00A93881"/>
    <w:rsid w:val="00A93BAB"/>
    <w:rsid w:val="00A93D11"/>
    <w:rsid w:val="00A93DA6"/>
    <w:rsid w:val="00A93E4A"/>
    <w:rsid w:val="00A9413B"/>
    <w:rsid w:val="00A9414C"/>
    <w:rsid w:val="00A94262"/>
    <w:rsid w:val="00A94365"/>
    <w:rsid w:val="00A94682"/>
    <w:rsid w:val="00A9474B"/>
    <w:rsid w:val="00A94B61"/>
    <w:rsid w:val="00A94FDC"/>
    <w:rsid w:val="00A95078"/>
    <w:rsid w:val="00A95479"/>
    <w:rsid w:val="00A955BE"/>
    <w:rsid w:val="00A95A29"/>
    <w:rsid w:val="00A95A33"/>
    <w:rsid w:val="00A960DF"/>
    <w:rsid w:val="00A960F1"/>
    <w:rsid w:val="00A962D1"/>
    <w:rsid w:val="00A9638A"/>
    <w:rsid w:val="00A96465"/>
    <w:rsid w:val="00A9691B"/>
    <w:rsid w:val="00A97414"/>
    <w:rsid w:val="00A97485"/>
    <w:rsid w:val="00A97611"/>
    <w:rsid w:val="00A97B36"/>
    <w:rsid w:val="00A97B61"/>
    <w:rsid w:val="00AA037E"/>
    <w:rsid w:val="00AA0386"/>
    <w:rsid w:val="00AA0912"/>
    <w:rsid w:val="00AA128D"/>
    <w:rsid w:val="00AA19E2"/>
    <w:rsid w:val="00AA1CA7"/>
    <w:rsid w:val="00AA1DA1"/>
    <w:rsid w:val="00AA1FAA"/>
    <w:rsid w:val="00AA228A"/>
    <w:rsid w:val="00AA2530"/>
    <w:rsid w:val="00AA25C0"/>
    <w:rsid w:val="00AA2A99"/>
    <w:rsid w:val="00AA2BCE"/>
    <w:rsid w:val="00AA2F14"/>
    <w:rsid w:val="00AA3667"/>
    <w:rsid w:val="00AA3C90"/>
    <w:rsid w:val="00AA3CCB"/>
    <w:rsid w:val="00AA43DD"/>
    <w:rsid w:val="00AA4B8A"/>
    <w:rsid w:val="00AA4F49"/>
    <w:rsid w:val="00AA5066"/>
    <w:rsid w:val="00AA5070"/>
    <w:rsid w:val="00AA508A"/>
    <w:rsid w:val="00AA53B4"/>
    <w:rsid w:val="00AA5E15"/>
    <w:rsid w:val="00AA5F51"/>
    <w:rsid w:val="00AA6741"/>
    <w:rsid w:val="00AA6878"/>
    <w:rsid w:val="00AA6A2C"/>
    <w:rsid w:val="00AA6AA1"/>
    <w:rsid w:val="00AA7303"/>
    <w:rsid w:val="00AA782B"/>
    <w:rsid w:val="00AA7843"/>
    <w:rsid w:val="00AA7D8F"/>
    <w:rsid w:val="00AA7E7B"/>
    <w:rsid w:val="00AB040F"/>
    <w:rsid w:val="00AB043F"/>
    <w:rsid w:val="00AB08EE"/>
    <w:rsid w:val="00AB0E2A"/>
    <w:rsid w:val="00AB10E5"/>
    <w:rsid w:val="00AB1170"/>
    <w:rsid w:val="00AB15FF"/>
    <w:rsid w:val="00AB184B"/>
    <w:rsid w:val="00AB1B44"/>
    <w:rsid w:val="00AB22A7"/>
    <w:rsid w:val="00AB2B1E"/>
    <w:rsid w:val="00AB2B9F"/>
    <w:rsid w:val="00AB2C5A"/>
    <w:rsid w:val="00AB2CEF"/>
    <w:rsid w:val="00AB2F33"/>
    <w:rsid w:val="00AB3408"/>
    <w:rsid w:val="00AB37F3"/>
    <w:rsid w:val="00AB3E41"/>
    <w:rsid w:val="00AB4163"/>
    <w:rsid w:val="00AB424E"/>
    <w:rsid w:val="00AB4CCA"/>
    <w:rsid w:val="00AB4F26"/>
    <w:rsid w:val="00AB50DA"/>
    <w:rsid w:val="00AB5CCE"/>
    <w:rsid w:val="00AB5F54"/>
    <w:rsid w:val="00AB6215"/>
    <w:rsid w:val="00AB651A"/>
    <w:rsid w:val="00AB6B06"/>
    <w:rsid w:val="00AB6CE1"/>
    <w:rsid w:val="00AB7152"/>
    <w:rsid w:val="00AB721A"/>
    <w:rsid w:val="00AB72F7"/>
    <w:rsid w:val="00AB76C1"/>
    <w:rsid w:val="00AB77B1"/>
    <w:rsid w:val="00AB7932"/>
    <w:rsid w:val="00AB7B13"/>
    <w:rsid w:val="00AB7E5B"/>
    <w:rsid w:val="00AC0AE9"/>
    <w:rsid w:val="00AC0B3B"/>
    <w:rsid w:val="00AC10B9"/>
    <w:rsid w:val="00AC140C"/>
    <w:rsid w:val="00AC18DA"/>
    <w:rsid w:val="00AC1AE2"/>
    <w:rsid w:val="00AC1F33"/>
    <w:rsid w:val="00AC1F6E"/>
    <w:rsid w:val="00AC2105"/>
    <w:rsid w:val="00AC22B3"/>
    <w:rsid w:val="00AC250D"/>
    <w:rsid w:val="00AC2A19"/>
    <w:rsid w:val="00AC2AA2"/>
    <w:rsid w:val="00AC2BC2"/>
    <w:rsid w:val="00AC2CE2"/>
    <w:rsid w:val="00AC2EDF"/>
    <w:rsid w:val="00AC33E5"/>
    <w:rsid w:val="00AC36A8"/>
    <w:rsid w:val="00AC395A"/>
    <w:rsid w:val="00AC40E4"/>
    <w:rsid w:val="00AC4499"/>
    <w:rsid w:val="00AC4DBD"/>
    <w:rsid w:val="00AC4FC8"/>
    <w:rsid w:val="00AC53B0"/>
    <w:rsid w:val="00AC5B6E"/>
    <w:rsid w:val="00AC5C5D"/>
    <w:rsid w:val="00AC5FE1"/>
    <w:rsid w:val="00AC6257"/>
    <w:rsid w:val="00AC64B0"/>
    <w:rsid w:val="00AC663D"/>
    <w:rsid w:val="00AC6ACF"/>
    <w:rsid w:val="00AC6E80"/>
    <w:rsid w:val="00AC6EF5"/>
    <w:rsid w:val="00AC77D0"/>
    <w:rsid w:val="00AC7C3A"/>
    <w:rsid w:val="00AC7D7D"/>
    <w:rsid w:val="00AC7F0A"/>
    <w:rsid w:val="00AD017B"/>
    <w:rsid w:val="00AD03E5"/>
    <w:rsid w:val="00AD061E"/>
    <w:rsid w:val="00AD08A7"/>
    <w:rsid w:val="00AD0A81"/>
    <w:rsid w:val="00AD1060"/>
    <w:rsid w:val="00AD12E7"/>
    <w:rsid w:val="00AD1589"/>
    <w:rsid w:val="00AD18BB"/>
    <w:rsid w:val="00AD1B81"/>
    <w:rsid w:val="00AD1D62"/>
    <w:rsid w:val="00AD1F48"/>
    <w:rsid w:val="00AD2032"/>
    <w:rsid w:val="00AD2432"/>
    <w:rsid w:val="00AD25B8"/>
    <w:rsid w:val="00AD2910"/>
    <w:rsid w:val="00AD3050"/>
    <w:rsid w:val="00AD3175"/>
    <w:rsid w:val="00AD371B"/>
    <w:rsid w:val="00AD3AB2"/>
    <w:rsid w:val="00AD407E"/>
    <w:rsid w:val="00AD44CE"/>
    <w:rsid w:val="00AD4774"/>
    <w:rsid w:val="00AD4EF9"/>
    <w:rsid w:val="00AD4F0E"/>
    <w:rsid w:val="00AD5237"/>
    <w:rsid w:val="00AD530A"/>
    <w:rsid w:val="00AD57E6"/>
    <w:rsid w:val="00AD598F"/>
    <w:rsid w:val="00AD6A5E"/>
    <w:rsid w:val="00AD6BD8"/>
    <w:rsid w:val="00AD6C5B"/>
    <w:rsid w:val="00AD7203"/>
    <w:rsid w:val="00AD7603"/>
    <w:rsid w:val="00AD77BB"/>
    <w:rsid w:val="00AD78D8"/>
    <w:rsid w:val="00AD7B47"/>
    <w:rsid w:val="00AD7B4B"/>
    <w:rsid w:val="00AD7BEE"/>
    <w:rsid w:val="00AD7C00"/>
    <w:rsid w:val="00AD7D0C"/>
    <w:rsid w:val="00AE0009"/>
    <w:rsid w:val="00AE007A"/>
    <w:rsid w:val="00AE09E2"/>
    <w:rsid w:val="00AE102A"/>
    <w:rsid w:val="00AE10A8"/>
    <w:rsid w:val="00AE111E"/>
    <w:rsid w:val="00AE149C"/>
    <w:rsid w:val="00AE1613"/>
    <w:rsid w:val="00AE185B"/>
    <w:rsid w:val="00AE1883"/>
    <w:rsid w:val="00AE1FE8"/>
    <w:rsid w:val="00AE2190"/>
    <w:rsid w:val="00AE23B0"/>
    <w:rsid w:val="00AE2496"/>
    <w:rsid w:val="00AE27ED"/>
    <w:rsid w:val="00AE2884"/>
    <w:rsid w:val="00AE29C7"/>
    <w:rsid w:val="00AE2BD9"/>
    <w:rsid w:val="00AE3082"/>
    <w:rsid w:val="00AE31E4"/>
    <w:rsid w:val="00AE3DE8"/>
    <w:rsid w:val="00AE3E21"/>
    <w:rsid w:val="00AE3E41"/>
    <w:rsid w:val="00AE4268"/>
    <w:rsid w:val="00AE42E0"/>
    <w:rsid w:val="00AE4716"/>
    <w:rsid w:val="00AE4A43"/>
    <w:rsid w:val="00AE4AB1"/>
    <w:rsid w:val="00AE4C36"/>
    <w:rsid w:val="00AE51DB"/>
    <w:rsid w:val="00AE544C"/>
    <w:rsid w:val="00AE558B"/>
    <w:rsid w:val="00AE5A64"/>
    <w:rsid w:val="00AE5D2D"/>
    <w:rsid w:val="00AE5F3F"/>
    <w:rsid w:val="00AE61A2"/>
    <w:rsid w:val="00AE644A"/>
    <w:rsid w:val="00AE64CC"/>
    <w:rsid w:val="00AE64E3"/>
    <w:rsid w:val="00AE669A"/>
    <w:rsid w:val="00AE68D9"/>
    <w:rsid w:val="00AE6910"/>
    <w:rsid w:val="00AE6C3C"/>
    <w:rsid w:val="00AE7040"/>
    <w:rsid w:val="00AE70C6"/>
    <w:rsid w:val="00AE72B4"/>
    <w:rsid w:val="00AE7649"/>
    <w:rsid w:val="00AE7FC5"/>
    <w:rsid w:val="00AF00B5"/>
    <w:rsid w:val="00AF0396"/>
    <w:rsid w:val="00AF09A8"/>
    <w:rsid w:val="00AF0A2E"/>
    <w:rsid w:val="00AF0D8B"/>
    <w:rsid w:val="00AF0D93"/>
    <w:rsid w:val="00AF1A8C"/>
    <w:rsid w:val="00AF1B54"/>
    <w:rsid w:val="00AF2023"/>
    <w:rsid w:val="00AF225E"/>
    <w:rsid w:val="00AF2443"/>
    <w:rsid w:val="00AF29DE"/>
    <w:rsid w:val="00AF2D6B"/>
    <w:rsid w:val="00AF2DA1"/>
    <w:rsid w:val="00AF2E36"/>
    <w:rsid w:val="00AF3545"/>
    <w:rsid w:val="00AF35F1"/>
    <w:rsid w:val="00AF3675"/>
    <w:rsid w:val="00AF3890"/>
    <w:rsid w:val="00AF3947"/>
    <w:rsid w:val="00AF3987"/>
    <w:rsid w:val="00AF40E5"/>
    <w:rsid w:val="00AF46FB"/>
    <w:rsid w:val="00AF4719"/>
    <w:rsid w:val="00AF48A8"/>
    <w:rsid w:val="00AF4F28"/>
    <w:rsid w:val="00AF5072"/>
    <w:rsid w:val="00AF56A2"/>
    <w:rsid w:val="00AF5865"/>
    <w:rsid w:val="00AF5D6A"/>
    <w:rsid w:val="00AF5F07"/>
    <w:rsid w:val="00AF603A"/>
    <w:rsid w:val="00AF65EB"/>
    <w:rsid w:val="00AF6659"/>
    <w:rsid w:val="00AF67CE"/>
    <w:rsid w:val="00AF716A"/>
    <w:rsid w:val="00AF72DA"/>
    <w:rsid w:val="00AF79EB"/>
    <w:rsid w:val="00AF7CE0"/>
    <w:rsid w:val="00AF7FF5"/>
    <w:rsid w:val="00B00031"/>
    <w:rsid w:val="00B00248"/>
    <w:rsid w:val="00B003A0"/>
    <w:rsid w:val="00B00671"/>
    <w:rsid w:val="00B008ED"/>
    <w:rsid w:val="00B009FE"/>
    <w:rsid w:val="00B00C9E"/>
    <w:rsid w:val="00B01314"/>
    <w:rsid w:val="00B0148F"/>
    <w:rsid w:val="00B016A9"/>
    <w:rsid w:val="00B01913"/>
    <w:rsid w:val="00B01B2F"/>
    <w:rsid w:val="00B01E94"/>
    <w:rsid w:val="00B02394"/>
    <w:rsid w:val="00B0248C"/>
    <w:rsid w:val="00B0263C"/>
    <w:rsid w:val="00B02736"/>
    <w:rsid w:val="00B02B7A"/>
    <w:rsid w:val="00B02D41"/>
    <w:rsid w:val="00B0312E"/>
    <w:rsid w:val="00B031B2"/>
    <w:rsid w:val="00B032B1"/>
    <w:rsid w:val="00B03546"/>
    <w:rsid w:val="00B039F4"/>
    <w:rsid w:val="00B03A0D"/>
    <w:rsid w:val="00B03B87"/>
    <w:rsid w:val="00B040EB"/>
    <w:rsid w:val="00B04136"/>
    <w:rsid w:val="00B046C7"/>
    <w:rsid w:val="00B049C1"/>
    <w:rsid w:val="00B05018"/>
    <w:rsid w:val="00B050A2"/>
    <w:rsid w:val="00B05504"/>
    <w:rsid w:val="00B05831"/>
    <w:rsid w:val="00B05C00"/>
    <w:rsid w:val="00B061F8"/>
    <w:rsid w:val="00B06404"/>
    <w:rsid w:val="00B0647B"/>
    <w:rsid w:val="00B0650F"/>
    <w:rsid w:val="00B06A0E"/>
    <w:rsid w:val="00B06E3D"/>
    <w:rsid w:val="00B06EC6"/>
    <w:rsid w:val="00B06EED"/>
    <w:rsid w:val="00B0704F"/>
    <w:rsid w:val="00B070AE"/>
    <w:rsid w:val="00B074CB"/>
    <w:rsid w:val="00B07955"/>
    <w:rsid w:val="00B07990"/>
    <w:rsid w:val="00B07A7D"/>
    <w:rsid w:val="00B07C56"/>
    <w:rsid w:val="00B07CE8"/>
    <w:rsid w:val="00B07E19"/>
    <w:rsid w:val="00B07EE8"/>
    <w:rsid w:val="00B07F22"/>
    <w:rsid w:val="00B10459"/>
    <w:rsid w:val="00B10652"/>
    <w:rsid w:val="00B109FC"/>
    <w:rsid w:val="00B10B7F"/>
    <w:rsid w:val="00B10F39"/>
    <w:rsid w:val="00B11269"/>
    <w:rsid w:val="00B1159B"/>
    <w:rsid w:val="00B117C7"/>
    <w:rsid w:val="00B118F0"/>
    <w:rsid w:val="00B11EC8"/>
    <w:rsid w:val="00B12266"/>
    <w:rsid w:val="00B12625"/>
    <w:rsid w:val="00B12F4E"/>
    <w:rsid w:val="00B13B18"/>
    <w:rsid w:val="00B13D73"/>
    <w:rsid w:val="00B13E5C"/>
    <w:rsid w:val="00B13EBA"/>
    <w:rsid w:val="00B145AD"/>
    <w:rsid w:val="00B14960"/>
    <w:rsid w:val="00B14D1C"/>
    <w:rsid w:val="00B1514C"/>
    <w:rsid w:val="00B15370"/>
    <w:rsid w:val="00B154D5"/>
    <w:rsid w:val="00B15608"/>
    <w:rsid w:val="00B15654"/>
    <w:rsid w:val="00B15CA5"/>
    <w:rsid w:val="00B1643F"/>
    <w:rsid w:val="00B16AC0"/>
    <w:rsid w:val="00B17169"/>
    <w:rsid w:val="00B17265"/>
    <w:rsid w:val="00B173DB"/>
    <w:rsid w:val="00B17739"/>
    <w:rsid w:val="00B1784E"/>
    <w:rsid w:val="00B17B33"/>
    <w:rsid w:val="00B17D64"/>
    <w:rsid w:val="00B205E1"/>
    <w:rsid w:val="00B205FF"/>
    <w:rsid w:val="00B20C2F"/>
    <w:rsid w:val="00B20D7C"/>
    <w:rsid w:val="00B211EF"/>
    <w:rsid w:val="00B21230"/>
    <w:rsid w:val="00B213CF"/>
    <w:rsid w:val="00B213F9"/>
    <w:rsid w:val="00B2175B"/>
    <w:rsid w:val="00B21A9F"/>
    <w:rsid w:val="00B21DC6"/>
    <w:rsid w:val="00B21E00"/>
    <w:rsid w:val="00B22235"/>
    <w:rsid w:val="00B226BD"/>
    <w:rsid w:val="00B227EF"/>
    <w:rsid w:val="00B22AFA"/>
    <w:rsid w:val="00B22E80"/>
    <w:rsid w:val="00B23026"/>
    <w:rsid w:val="00B2308C"/>
    <w:rsid w:val="00B23212"/>
    <w:rsid w:val="00B23446"/>
    <w:rsid w:val="00B23A6A"/>
    <w:rsid w:val="00B23B12"/>
    <w:rsid w:val="00B23B38"/>
    <w:rsid w:val="00B23BB9"/>
    <w:rsid w:val="00B23C22"/>
    <w:rsid w:val="00B23EB4"/>
    <w:rsid w:val="00B23F22"/>
    <w:rsid w:val="00B240AC"/>
    <w:rsid w:val="00B24823"/>
    <w:rsid w:val="00B24A75"/>
    <w:rsid w:val="00B24DF1"/>
    <w:rsid w:val="00B24E58"/>
    <w:rsid w:val="00B25452"/>
    <w:rsid w:val="00B2564C"/>
    <w:rsid w:val="00B2575C"/>
    <w:rsid w:val="00B25AD2"/>
    <w:rsid w:val="00B2601D"/>
    <w:rsid w:val="00B261CE"/>
    <w:rsid w:val="00B261E1"/>
    <w:rsid w:val="00B26267"/>
    <w:rsid w:val="00B262DB"/>
    <w:rsid w:val="00B264A1"/>
    <w:rsid w:val="00B26611"/>
    <w:rsid w:val="00B26AC8"/>
    <w:rsid w:val="00B26B18"/>
    <w:rsid w:val="00B26B1B"/>
    <w:rsid w:val="00B2736F"/>
    <w:rsid w:val="00B2770A"/>
    <w:rsid w:val="00B2781B"/>
    <w:rsid w:val="00B27896"/>
    <w:rsid w:val="00B278C9"/>
    <w:rsid w:val="00B278F5"/>
    <w:rsid w:val="00B27921"/>
    <w:rsid w:val="00B279D2"/>
    <w:rsid w:val="00B27BB7"/>
    <w:rsid w:val="00B27D18"/>
    <w:rsid w:val="00B27D72"/>
    <w:rsid w:val="00B301C2"/>
    <w:rsid w:val="00B3056D"/>
    <w:rsid w:val="00B3059F"/>
    <w:rsid w:val="00B306BF"/>
    <w:rsid w:val="00B309EB"/>
    <w:rsid w:val="00B30BE7"/>
    <w:rsid w:val="00B30E28"/>
    <w:rsid w:val="00B30E2C"/>
    <w:rsid w:val="00B310CD"/>
    <w:rsid w:val="00B311FE"/>
    <w:rsid w:val="00B31434"/>
    <w:rsid w:val="00B3145B"/>
    <w:rsid w:val="00B314B8"/>
    <w:rsid w:val="00B31618"/>
    <w:rsid w:val="00B31893"/>
    <w:rsid w:val="00B319A3"/>
    <w:rsid w:val="00B31FAB"/>
    <w:rsid w:val="00B320AB"/>
    <w:rsid w:val="00B321DE"/>
    <w:rsid w:val="00B326ED"/>
    <w:rsid w:val="00B328A2"/>
    <w:rsid w:val="00B32987"/>
    <w:rsid w:val="00B32F4F"/>
    <w:rsid w:val="00B33437"/>
    <w:rsid w:val="00B338FC"/>
    <w:rsid w:val="00B33914"/>
    <w:rsid w:val="00B33A53"/>
    <w:rsid w:val="00B34225"/>
    <w:rsid w:val="00B34292"/>
    <w:rsid w:val="00B342CE"/>
    <w:rsid w:val="00B345BE"/>
    <w:rsid w:val="00B34FA3"/>
    <w:rsid w:val="00B34FB8"/>
    <w:rsid w:val="00B354A8"/>
    <w:rsid w:val="00B3579E"/>
    <w:rsid w:val="00B35961"/>
    <w:rsid w:val="00B3596B"/>
    <w:rsid w:val="00B35A8D"/>
    <w:rsid w:val="00B35DB7"/>
    <w:rsid w:val="00B35DD3"/>
    <w:rsid w:val="00B363C9"/>
    <w:rsid w:val="00B36410"/>
    <w:rsid w:val="00B368DB"/>
    <w:rsid w:val="00B36A22"/>
    <w:rsid w:val="00B371CF"/>
    <w:rsid w:val="00B372FC"/>
    <w:rsid w:val="00B3736C"/>
    <w:rsid w:val="00B37B68"/>
    <w:rsid w:val="00B37CB1"/>
    <w:rsid w:val="00B37CDB"/>
    <w:rsid w:val="00B4000C"/>
    <w:rsid w:val="00B4011A"/>
    <w:rsid w:val="00B40E6D"/>
    <w:rsid w:val="00B40F1E"/>
    <w:rsid w:val="00B40F43"/>
    <w:rsid w:val="00B412D3"/>
    <w:rsid w:val="00B41431"/>
    <w:rsid w:val="00B414C1"/>
    <w:rsid w:val="00B417F9"/>
    <w:rsid w:val="00B41829"/>
    <w:rsid w:val="00B41A80"/>
    <w:rsid w:val="00B41E1C"/>
    <w:rsid w:val="00B41FF2"/>
    <w:rsid w:val="00B42427"/>
    <w:rsid w:val="00B42428"/>
    <w:rsid w:val="00B4255A"/>
    <w:rsid w:val="00B425A5"/>
    <w:rsid w:val="00B426AE"/>
    <w:rsid w:val="00B428D3"/>
    <w:rsid w:val="00B42A09"/>
    <w:rsid w:val="00B42B9E"/>
    <w:rsid w:val="00B42BAF"/>
    <w:rsid w:val="00B43031"/>
    <w:rsid w:val="00B43051"/>
    <w:rsid w:val="00B434FE"/>
    <w:rsid w:val="00B43559"/>
    <w:rsid w:val="00B439C8"/>
    <w:rsid w:val="00B43F62"/>
    <w:rsid w:val="00B4453E"/>
    <w:rsid w:val="00B448E0"/>
    <w:rsid w:val="00B44D18"/>
    <w:rsid w:val="00B44D6F"/>
    <w:rsid w:val="00B45497"/>
    <w:rsid w:val="00B45515"/>
    <w:rsid w:val="00B455B6"/>
    <w:rsid w:val="00B4580A"/>
    <w:rsid w:val="00B45A63"/>
    <w:rsid w:val="00B45BAD"/>
    <w:rsid w:val="00B45D93"/>
    <w:rsid w:val="00B46013"/>
    <w:rsid w:val="00B46468"/>
    <w:rsid w:val="00B46A32"/>
    <w:rsid w:val="00B46AFA"/>
    <w:rsid w:val="00B46E5D"/>
    <w:rsid w:val="00B46E83"/>
    <w:rsid w:val="00B470B8"/>
    <w:rsid w:val="00B472FA"/>
    <w:rsid w:val="00B47940"/>
    <w:rsid w:val="00B47D7F"/>
    <w:rsid w:val="00B50051"/>
    <w:rsid w:val="00B500B4"/>
    <w:rsid w:val="00B5023F"/>
    <w:rsid w:val="00B5148A"/>
    <w:rsid w:val="00B51E22"/>
    <w:rsid w:val="00B522A3"/>
    <w:rsid w:val="00B52324"/>
    <w:rsid w:val="00B523EF"/>
    <w:rsid w:val="00B52963"/>
    <w:rsid w:val="00B52B31"/>
    <w:rsid w:val="00B52D6A"/>
    <w:rsid w:val="00B53133"/>
    <w:rsid w:val="00B5385B"/>
    <w:rsid w:val="00B53B63"/>
    <w:rsid w:val="00B53D8D"/>
    <w:rsid w:val="00B53FF4"/>
    <w:rsid w:val="00B54100"/>
    <w:rsid w:val="00B541C8"/>
    <w:rsid w:val="00B545C4"/>
    <w:rsid w:val="00B54685"/>
    <w:rsid w:val="00B54AD4"/>
    <w:rsid w:val="00B54F4F"/>
    <w:rsid w:val="00B552DD"/>
    <w:rsid w:val="00B5538E"/>
    <w:rsid w:val="00B55709"/>
    <w:rsid w:val="00B55D70"/>
    <w:rsid w:val="00B55F3D"/>
    <w:rsid w:val="00B56217"/>
    <w:rsid w:val="00B564AE"/>
    <w:rsid w:val="00B564D1"/>
    <w:rsid w:val="00B5653B"/>
    <w:rsid w:val="00B56AF1"/>
    <w:rsid w:val="00B570A0"/>
    <w:rsid w:val="00B571BF"/>
    <w:rsid w:val="00B57367"/>
    <w:rsid w:val="00B600CF"/>
    <w:rsid w:val="00B60709"/>
    <w:rsid w:val="00B611A4"/>
    <w:rsid w:val="00B61400"/>
    <w:rsid w:val="00B61B78"/>
    <w:rsid w:val="00B62075"/>
    <w:rsid w:val="00B62342"/>
    <w:rsid w:val="00B624E1"/>
    <w:rsid w:val="00B62565"/>
    <w:rsid w:val="00B62853"/>
    <w:rsid w:val="00B62A9E"/>
    <w:rsid w:val="00B62DA1"/>
    <w:rsid w:val="00B635B2"/>
    <w:rsid w:val="00B64130"/>
    <w:rsid w:val="00B646A0"/>
    <w:rsid w:val="00B64F6C"/>
    <w:rsid w:val="00B6571A"/>
    <w:rsid w:val="00B65A27"/>
    <w:rsid w:val="00B65EE3"/>
    <w:rsid w:val="00B662B0"/>
    <w:rsid w:val="00B666E8"/>
    <w:rsid w:val="00B6699F"/>
    <w:rsid w:val="00B66B21"/>
    <w:rsid w:val="00B66D14"/>
    <w:rsid w:val="00B66F61"/>
    <w:rsid w:val="00B6736E"/>
    <w:rsid w:val="00B676E4"/>
    <w:rsid w:val="00B67766"/>
    <w:rsid w:val="00B67A1E"/>
    <w:rsid w:val="00B67BEC"/>
    <w:rsid w:val="00B67F0C"/>
    <w:rsid w:val="00B70F6D"/>
    <w:rsid w:val="00B71128"/>
    <w:rsid w:val="00B7128A"/>
    <w:rsid w:val="00B71381"/>
    <w:rsid w:val="00B7141B"/>
    <w:rsid w:val="00B71809"/>
    <w:rsid w:val="00B71A8D"/>
    <w:rsid w:val="00B72399"/>
    <w:rsid w:val="00B724A6"/>
    <w:rsid w:val="00B72C0F"/>
    <w:rsid w:val="00B72D0E"/>
    <w:rsid w:val="00B7341F"/>
    <w:rsid w:val="00B73981"/>
    <w:rsid w:val="00B739E1"/>
    <w:rsid w:val="00B739F6"/>
    <w:rsid w:val="00B73AAE"/>
    <w:rsid w:val="00B73C55"/>
    <w:rsid w:val="00B73D7B"/>
    <w:rsid w:val="00B740FC"/>
    <w:rsid w:val="00B74127"/>
    <w:rsid w:val="00B741BB"/>
    <w:rsid w:val="00B7449F"/>
    <w:rsid w:val="00B74B8E"/>
    <w:rsid w:val="00B74C05"/>
    <w:rsid w:val="00B74E87"/>
    <w:rsid w:val="00B74EDC"/>
    <w:rsid w:val="00B75175"/>
    <w:rsid w:val="00B751FE"/>
    <w:rsid w:val="00B752B5"/>
    <w:rsid w:val="00B7569C"/>
    <w:rsid w:val="00B75DA1"/>
    <w:rsid w:val="00B76155"/>
    <w:rsid w:val="00B7616D"/>
    <w:rsid w:val="00B76217"/>
    <w:rsid w:val="00B77A5A"/>
    <w:rsid w:val="00B77A6E"/>
    <w:rsid w:val="00B77B97"/>
    <w:rsid w:val="00B805DD"/>
    <w:rsid w:val="00B805ED"/>
    <w:rsid w:val="00B80802"/>
    <w:rsid w:val="00B80ABB"/>
    <w:rsid w:val="00B80C4C"/>
    <w:rsid w:val="00B80E7B"/>
    <w:rsid w:val="00B8131D"/>
    <w:rsid w:val="00B813E0"/>
    <w:rsid w:val="00B8155C"/>
    <w:rsid w:val="00B81702"/>
    <w:rsid w:val="00B81B5C"/>
    <w:rsid w:val="00B823B5"/>
    <w:rsid w:val="00B8255E"/>
    <w:rsid w:val="00B826A9"/>
    <w:rsid w:val="00B8287A"/>
    <w:rsid w:val="00B82B6C"/>
    <w:rsid w:val="00B82DFC"/>
    <w:rsid w:val="00B83214"/>
    <w:rsid w:val="00B8355A"/>
    <w:rsid w:val="00B83A32"/>
    <w:rsid w:val="00B83E17"/>
    <w:rsid w:val="00B83EB0"/>
    <w:rsid w:val="00B83ED1"/>
    <w:rsid w:val="00B84092"/>
    <w:rsid w:val="00B8449D"/>
    <w:rsid w:val="00B848B2"/>
    <w:rsid w:val="00B84FA8"/>
    <w:rsid w:val="00B852A8"/>
    <w:rsid w:val="00B852D1"/>
    <w:rsid w:val="00B85334"/>
    <w:rsid w:val="00B857C6"/>
    <w:rsid w:val="00B85C62"/>
    <w:rsid w:val="00B85CB9"/>
    <w:rsid w:val="00B861AE"/>
    <w:rsid w:val="00B8623B"/>
    <w:rsid w:val="00B86861"/>
    <w:rsid w:val="00B86AD0"/>
    <w:rsid w:val="00B86AEC"/>
    <w:rsid w:val="00B86BA2"/>
    <w:rsid w:val="00B86DB3"/>
    <w:rsid w:val="00B871C8"/>
    <w:rsid w:val="00B87BB7"/>
    <w:rsid w:val="00B90086"/>
    <w:rsid w:val="00B903D9"/>
    <w:rsid w:val="00B90A00"/>
    <w:rsid w:val="00B90AB1"/>
    <w:rsid w:val="00B90FD6"/>
    <w:rsid w:val="00B9175D"/>
    <w:rsid w:val="00B917CD"/>
    <w:rsid w:val="00B91AA2"/>
    <w:rsid w:val="00B91B37"/>
    <w:rsid w:val="00B91C67"/>
    <w:rsid w:val="00B91D0D"/>
    <w:rsid w:val="00B91D99"/>
    <w:rsid w:val="00B91EAE"/>
    <w:rsid w:val="00B91F1C"/>
    <w:rsid w:val="00B91FB2"/>
    <w:rsid w:val="00B92B7A"/>
    <w:rsid w:val="00B92F06"/>
    <w:rsid w:val="00B93736"/>
    <w:rsid w:val="00B93941"/>
    <w:rsid w:val="00B93ADB"/>
    <w:rsid w:val="00B93E26"/>
    <w:rsid w:val="00B941D0"/>
    <w:rsid w:val="00B942B4"/>
    <w:rsid w:val="00B94644"/>
    <w:rsid w:val="00B94803"/>
    <w:rsid w:val="00B9491C"/>
    <w:rsid w:val="00B94CB0"/>
    <w:rsid w:val="00B94FE2"/>
    <w:rsid w:val="00B952A2"/>
    <w:rsid w:val="00B956CD"/>
    <w:rsid w:val="00B95E2C"/>
    <w:rsid w:val="00B9607E"/>
    <w:rsid w:val="00B9644A"/>
    <w:rsid w:val="00B9664A"/>
    <w:rsid w:val="00B96742"/>
    <w:rsid w:val="00B96D71"/>
    <w:rsid w:val="00B96D7B"/>
    <w:rsid w:val="00B96E16"/>
    <w:rsid w:val="00B975BD"/>
    <w:rsid w:val="00B97625"/>
    <w:rsid w:val="00B97AD6"/>
    <w:rsid w:val="00B97E9F"/>
    <w:rsid w:val="00B97FDB"/>
    <w:rsid w:val="00BA0507"/>
    <w:rsid w:val="00BA0CDB"/>
    <w:rsid w:val="00BA0EF5"/>
    <w:rsid w:val="00BA12DC"/>
    <w:rsid w:val="00BA13FF"/>
    <w:rsid w:val="00BA15F1"/>
    <w:rsid w:val="00BA1BE6"/>
    <w:rsid w:val="00BA1FDA"/>
    <w:rsid w:val="00BA2787"/>
    <w:rsid w:val="00BA27CE"/>
    <w:rsid w:val="00BA27D0"/>
    <w:rsid w:val="00BA27D2"/>
    <w:rsid w:val="00BA2C9D"/>
    <w:rsid w:val="00BA2F61"/>
    <w:rsid w:val="00BA2F7F"/>
    <w:rsid w:val="00BA3004"/>
    <w:rsid w:val="00BA3155"/>
    <w:rsid w:val="00BA34C5"/>
    <w:rsid w:val="00BA36F5"/>
    <w:rsid w:val="00BA39BF"/>
    <w:rsid w:val="00BA3A20"/>
    <w:rsid w:val="00BA3A32"/>
    <w:rsid w:val="00BA3A37"/>
    <w:rsid w:val="00BA3E6A"/>
    <w:rsid w:val="00BA3E7C"/>
    <w:rsid w:val="00BA3EF2"/>
    <w:rsid w:val="00BA441F"/>
    <w:rsid w:val="00BA5056"/>
    <w:rsid w:val="00BA55FF"/>
    <w:rsid w:val="00BA5825"/>
    <w:rsid w:val="00BA5D4C"/>
    <w:rsid w:val="00BA5D98"/>
    <w:rsid w:val="00BA626B"/>
    <w:rsid w:val="00BA673E"/>
    <w:rsid w:val="00BA6BB9"/>
    <w:rsid w:val="00BA6C1F"/>
    <w:rsid w:val="00BA6C5C"/>
    <w:rsid w:val="00BA6CBD"/>
    <w:rsid w:val="00BA704C"/>
    <w:rsid w:val="00BA72CD"/>
    <w:rsid w:val="00BA78A7"/>
    <w:rsid w:val="00BA7CFF"/>
    <w:rsid w:val="00BA7F07"/>
    <w:rsid w:val="00BA7FE2"/>
    <w:rsid w:val="00BB01D7"/>
    <w:rsid w:val="00BB031A"/>
    <w:rsid w:val="00BB044E"/>
    <w:rsid w:val="00BB0741"/>
    <w:rsid w:val="00BB09FC"/>
    <w:rsid w:val="00BB0DF9"/>
    <w:rsid w:val="00BB0E02"/>
    <w:rsid w:val="00BB0E1A"/>
    <w:rsid w:val="00BB0F86"/>
    <w:rsid w:val="00BB15CC"/>
    <w:rsid w:val="00BB1667"/>
    <w:rsid w:val="00BB1BB5"/>
    <w:rsid w:val="00BB20AB"/>
    <w:rsid w:val="00BB228E"/>
    <w:rsid w:val="00BB22E5"/>
    <w:rsid w:val="00BB233E"/>
    <w:rsid w:val="00BB2615"/>
    <w:rsid w:val="00BB2870"/>
    <w:rsid w:val="00BB2970"/>
    <w:rsid w:val="00BB2F46"/>
    <w:rsid w:val="00BB3321"/>
    <w:rsid w:val="00BB34DA"/>
    <w:rsid w:val="00BB35B0"/>
    <w:rsid w:val="00BB3DE0"/>
    <w:rsid w:val="00BB3E87"/>
    <w:rsid w:val="00BB403F"/>
    <w:rsid w:val="00BB4118"/>
    <w:rsid w:val="00BB4529"/>
    <w:rsid w:val="00BB493C"/>
    <w:rsid w:val="00BB52B3"/>
    <w:rsid w:val="00BB5365"/>
    <w:rsid w:val="00BB546E"/>
    <w:rsid w:val="00BB54B1"/>
    <w:rsid w:val="00BB551D"/>
    <w:rsid w:val="00BB5857"/>
    <w:rsid w:val="00BB59EA"/>
    <w:rsid w:val="00BB5CCD"/>
    <w:rsid w:val="00BB5CE8"/>
    <w:rsid w:val="00BB5DEC"/>
    <w:rsid w:val="00BB6017"/>
    <w:rsid w:val="00BB6A0C"/>
    <w:rsid w:val="00BB6A43"/>
    <w:rsid w:val="00BB6B12"/>
    <w:rsid w:val="00BB6CD8"/>
    <w:rsid w:val="00BB6E3C"/>
    <w:rsid w:val="00BB70D3"/>
    <w:rsid w:val="00BB71BA"/>
    <w:rsid w:val="00BB71F8"/>
    <w:rsid w:val="00BB74B3"/>
    <w:rsid w:val="00BB75BD"/>
    <w:rsid w:val="00BB7875"/>
    <w:rsid w:val="00BB79DC"/>
    <w:rsid w:val="00BB7A44"/>
    <w:rsid w:val="00BC0121"/>
    <w:rsid w:val="00BC094C"/>
    <w:rsid w:val="00BC0B86"/>
    <w:rsid w:val="00BC111E"/>
    <w:rsid w:val="00BC1613"/>
    <w:rsid w:val="00BC1A84"/>
    <w:rsid w:val="00BC1FDB"/>
    <w:rsid w:val="00BC208A"/>
    <w:rsid w:val="00BC2131"/>
    <w:rsid w:val="00BC235D"/>
    <w:rsid w:val="00BC251D"/>
    <w:rsid w:val="00BC3057"/>
    <w:rsid w:val="00BC3349"/>
    <w:rsid w:val="00BC354A"/>
    <w:rsid w:val="00BC37D9"/>
    <w:rsid w:val="00BC380A"/>
    <w:rsid w:val="00BC39A6"/>
    <w:rsid w:val="00BC3D4C"/>
    <w:rsid w:val="00BC3DE0"/>
    <w:rsid w:val="00BC3F77"/>
    <w:rsid w:val="00BC4626"/>
    <w:rsid w:val="00BC4A7A"/>
    <w:rsid w:val="00BC4CCD"/>
    <w:rsid w:val="00BC5110"/>
    <w:rsid w:val="00BC546E"/>
    <w:rsid w:val="00BC547E"/>
    <w:rsid w:val="00BC54C6"/>
    <w:rsid w:val="00BC5879"/>
    <w:rsid w:val="00BC59CF"/>
    <w:rsid w:val="00BC59F2"/>
    <w:rsid w:val="00BC5DB0"/>
    <w:rsid w:val="00BC5E27"/>
    <w:rsid w:val="00BC5E71"/>
    <w:rsid w:val="00BC5EC1"/>
    <w:rsid w:val="00BC652F"/>
    <w:rsid w:val="00BC6C18"/>
    <w:rsid w:val="00BC724D"/>
    <w:rsid w:val="00BC74A9"/>
    <w:rsid w:val="00BC7644"/>
    <w:rsid w:val="00BC788D"/>
    <w:rsid w:val="00BD019B"/>
    <w:rsid w:val="00BD0591"/>
    <w:rsid w:val="00BD079E"/>
    <w:rsid w:val="00BD09E5"/>
    <w:rsid w:val="00BD11AB"/>
    <w:rsid w:val="00BD1559"/>
    <w:rsid w:val="00BD1AD7"/>
    <w:rsid w:val="00BD1EE4"/>
    <w:rsid w:val="00BD204E"/>
    <w:rsid w:val="00BD2B2C"/>
    <w:rsid w:val="00BD2B47"/>
    <w:rsid w:val="00BD2E2E"/>
    <w:rsid w:val="00BD34DB"/>
    <w:rsid w:val="00BD354A"/>
    <w:rsid w:val="00BD35FC"/>
    <w:rsid w:val="00BD3AF1"/>
    <w:rsid w:val="00BD3B47"/>
    <w:rsid w:val="00BD3F68"/>
    <w:rsid w:val="00BD47E5"/>
    <w:rsid w:val="00BD49ED"/>
    <w:rsid w:val="00BD4BF0"/>
    <w:rsid w:val="00BD4C4E"/>
    <w:rsid w:val="00BD51CA"/>
    <w:rsid w:val="00BD550B"/>
    <w:rsid w:val="00BD5769"/>
    <w:rsid w:val="00BD57F0"/>
    <w:rsid w:val="00BD59AE"/>
    <w:rsid w:val="00BD5C2D"/>
    <w:rsid w:val="00BD5CC3"/>
    <w:rsid w:val="00BD5DF9"/>
    <w:rsid w:val="00BD6246"/>
    <w:rsid w:val="00BD6367"/>
    <w:rsid w:val="00BD636A"/>
    <w:rsid w:val="00BD6A85"/>
    <w:rsid w:val="00BD6F5E"/>
    <w:rsid w:val="00BD6F61"/>
    <w:rsid w:val="00BD6FE0"/>
    <w:rsid w:val="00BD744B"/>
    <w:rsid w:val="00BD7593"/>
    <w:rsid w:val="00BD75CE"/>
    <w:rsid w:val="00BD7A69"/>
    <w:rsid w:val="00BD7A96"/>
    <w:rsid w:val="00BD7C8F"/>
    <w:rsid w:val="00BD7FC8"/>
    <w:rsid w:val="00BD7FFA"/>
    <w:rsid w:val="00BE0248"/>
    <w:rsid w:val="00BE095C"/>
    <w:rsid w:val="00BE0C02"/>
    <w:rsid w:val="00BE0ED0"/>
    <w:rsid w:val="00BE1144"/>
    <w:rsid w:val="00BE1570"/>
    <w:rsid w:val="00BE1922"/>
    <w:rsid w:val="00BE1B0F"/>
    <w:rsid w:val="00BE1F9E"/>
    <w:rsid w:val="00BE243E"/>
    <w:rsid w:val="00BE247F"/>
    <w:rsid w:val="00BE2879"/>
    <w:rsid w:val="00BE29F9"/>
    <w:rsid w:val="00BE3098"/>
    <w:rsid w:val="00BE316C"/>
    <w:rsid w:val="00BE3A6A"/>
    <w:rsid w:val="00BE3F0B"/>
    <w:rsid w:val="00BE41E4"/>
    <w:rsid w:val="00BE4874"/>
    <w:rsid w:val="00BE4938"/>
    <w:rsid w:val="00BE4C10"/>
    <w:rsid w:val="00BE4C59"/>
    <w:rsid w:val="00BE50AA"/>
    <w:rsid w:val="00BE5122"/>
    <w:rsid w:val="00BE544C"/>
    <w:rsid w:val="00BE58DA"/>
    <w:rsid w:val="00BE5D14"/>
    <w:rsid w:val="00BE642F"/>
    <w:rsid w:val="00BE64CF"/>
    <w:rsid w:val="00BE677B"/>
    <w:rsid w:val="00BE69BF"/>
    <w:rsid w:val="00BE6DB9"/>
    <w:rsid w:val="00BE6F65"/>
    <w:rsid w:val="00BE7385"/>
    <w:rsid w:val="00BE7CB1"/>
    <w:rsid w:val="00BE7D3F"/>
    <w:rsid w:val="00BE7F08"/>
    <w:rsid w:val="00BF01BF"/>
    <w:rsid w:val="00BF0240"/>
    <w:rsid w:val="00BF042C"/>
    <w:rsid w:val="00BF05DF"/>
    <w:rsid w:val="00BF09D5"/>
    <w:rsid w:val="00BF0AA1"/>
    <w:rsid w:val="00BF0AD8"/>
    <w:rsid w:val="00BF0DC9"/>
    <w:rsid w:val="00BF0F87"/>
    <w:rsid w:val="00BF0FDE"/>
    <w:rsid w:val="00BF116C"/>
    <w:rsid w:val="00BF1403"/>
    <w:rsid w:val="00BF1CF0"/>
    <w:rsid w:val="00BF1FF6"/>
    <w:rsid w:val="00BF2126"/>
    <w:rsid w:val="00BF2398"/>
    <w:rsid w:val="00BF2599"/>
    <w:rsid w:val="00BF264B"/>
    <w:rsid w:val="00BF27DC"/>
    <w:rsid w:val="00BF28C4"/>
    <w:rsid w:val="00BF29C2"/>
    <w:rsid w:val="00BF31CB"/>
    <w:rsid w:val="00BF31E2"/>
    <w:rsid w:val="00BF3603"/>
    <w:rsid w:val="00BF360E"/>
    <w:rsid w:val="00BF3C58"/>
    <w:rsid w:val="00BF3E4D"/>
    <w:rsid w:val="00BF4B7C"/>
    <w:rsid w:val="00BF4F49"/>
    <w:rsid w:val="00BF5262"/>
    <w:rsid w:val="00BF561D"/>
    <w:rsid w:val="00BF57F8"/>
    <w:rsid w:val="00BF5877"/>
    <w:rsid w:val="00BF6298"/>
    <w:rsid w:val="00BF6367"/>
    <w:rsid w:val="00BF6422"/>
    <w:rsid w:val="00BF642B"/>
    <w:rsid w:val="00BF6526"/>
    <w:rsid w:val="00BF6615"/>
    <w:rsid w:val="00BF6A6D"/>
    <w:rsid w:val="00BF6BDA"/>
    <w:rsid w:val="00BF7367"/>
    <w:rsid w:val="00BF7652"/>
    <w:rsid w:val="00BF7676"/>
    <w:rsid w:val="00BF7AE8"/>
    <w:rsid w:val="00BF7D87"/>
    <w:rsid w:val="00BF7F46"/>
    <w:rsid w:val="00C0004C"/>
    <w:rsid w:val="00C002B2"/>
    <w:rsid w:val="00C004EC"/>
    <w:rsid w:val="00C00658"/>
    <w:rsid w:val="00C00712"/>
    <w:rsid w:val="00C009E2"/>
    <w:rsid w:val="00C01A48"/>
    <w:rsid w:val="00C01CCD"/>
    <w:rsid w:val="00C01F42"/>
    <w:rsid w:val="00C026B1"/>
    <w:rsid w:val="00C027F6"/>
    <w:rsid w:val="00C02A1D"/>
    <w:rsid w:val="00C02D7A"/>
    <w:rsid w:val="00C034A2"/>
    <w:rsid w:val="00C035DD"/>
    <w:rsid w:val="00C03A29"/>
    <w:rsid w:val="00C03DDF"/>
    <w:rsid w:val="00C04610"/>
    <w:rsid w:val="00C049A1"/>
    <w:rsid w:val="00C04C15"/>
    <w:rsid w:val="00C04C74"/>
    <w:rsid w:val="00C05089"/>
    <w:rsid w:val="00C051BF"/>
    <w:rsid w:val="00C0535C"/>
    <w:rsid w:val="00C058F6"/>
    <w:rsid w:val="00C05B9C"/>
    <w:rsid w:val="00C05C38"/>
    <w:rsid w:val="00C05D1E"/>
    <w:rsid w:val="00C05E99"/>
    <w:rsid w:val="00C0605D"/>
    <w:rsid w:val="00C06317"/>
    <w:rsid w:val="00C069FE"/>
    <w:rsid w:val="00C06D4E"/>
    <w:rsid w:val="00C06DB6"/>
    <w:rsid w:val="00C0721A"/>
    <w:rsid w:val="00C07C2F"/>
    <w:rsid w:val="00C07D00"/>
    <w:rsid w:val="00C07E6E"/>
    <w:rsid w:val="00C10263"/>
    <w:rsid w:val="00C110F8"/>
    <w:rsid w:val="00C11266"/>
    <w:rsid w:val="00C113FA"/>
    <w:rsid w:val="00C11708"/>
    <w:rsid w:val="00C11961"/>
    <w:rsid w:val="00C11B0D"/>
    <w:rsid w:val="00C11B79"/>
    <w:rsid w:val="00C11FC7"/>
    <w:rsid w:val="00C123FF"/>
    <w:rsid w:val="00C12680"/>
    <w:rsid w:val="00C12C7D"/>
    <w:rsid w:val="00C13169"/>
    <w:rsid w:val="00C132A3"/>
    <w:rsid w:val="00C133CB"/>
    <w:rsid w:val="00C136D9"/>
    <w:rsid w:val="00C13D56"/>
    <w:rsid w:val="00C14147"/>
    <w:rsid w:val="00C1439D"/>
    <w:rsid w:val="00C144CC"/>
    <w:rsid w:val="00C144DC"/>
    <w:rsid w:val="00C147E8"/>
    <w:rsid w:val="00C14882"/>
    <w:rsid w:val="00C14D3E"/>
    <w:rsid w:val="00C14E5F"/>
    <w:rsid w:val="00C14FB4"/>
    <w:rsid w:val="00C1500F"/>
    <w:rsid w:val="00C15127"/>
    <w:rsid w:val="00C1527C"/>
    <w:rsid w:val="00C1579F"/>
    <w:rsid w:val="00C15BB0"/>
    <w:rsid w:val="00C15CAE"/>
    <w:rsid w:val="00C15F72"/>
    <w:rsid w:val="00C15F98"/>
    <w:rsid w:val="00C16BDC"/>
    <w:rsid w:val="00C16BE6"/>
    <w:rsid w:val="00C16F2D"/>
    <w:rsid w:val="00C170D5"/>
    <w:rsid w:val="00C170EE"/>
    <w:rsid w:val="00C17237"/>
    <w:rsid w:val="00C17643"/>
    <w:rsid w:val="00C17EB5"/>
    <w:rsid w:val="00C17F3C"/>
    <w:rsid w:val="00C200B7"/>
    <w:rsid w:val="00C20615"/>
    <w:rsid w:val="00C20836"/>
    <w:rsid w:val="00C2088D"/>
    <w:rsid w:val="00C20FC2"/>
    <w:rsid w:val="00C214FF"/>
    <w:rsid w:val="00C220F5"/>
    <w:rsid w:val="00C2222A"/>
    <w:rsid w:val="00C224EB"/>
    <w:rsid w:val="00C22918"/>
    <w:rsid w:val="00C2293E"/>
    <w:rsid w:val="00C2298D"/>
    <w:rsid w:val="00C22A9F"/>
    <w:rsid w:val="00C22C74"/>
    <w:rsid w:val="00C230A4"/>
    <w:rsid w:val="00C23841"/>
    <w:rsid w:val="00C239A9"/>
    <w:rsid w:val="00C23AE9"/>
    <w:rsid w:val="00C23B90"/>
    <w:rsid w:val="00C23FA3"/>
    <w:rsid w:val="00C24208"/>
    <w:rsid w:val="00C24983"/>
    <w:rsid w:val="00C24B2C"/>
    <w:rsid w:val="00C25B6A"/>
    <w:rsid w:val="00C25CB3"/>
    <w:rsid w:val="00C25FFF"/>
    <w:rsid w:val="00C26773"/>
    <w:rsid w:val="00C2686A"/>
    <w:rsid w:val="00C26B11"/>
    <w:rsid w:val="00C26CA0"/>
    <w:rsid w:val="00C26FFB"/>
    <w:rsid w:val="00C27346"/>
    <w:rsid w:val="00C2770C"/>
    <w:rsid w:val="00C27C44"/>
    <w:rsid w:val="00C27FA3"/>
    <w:rsid w:val="00C301BF"/>
    <w:rsid w:val="00C30234"/>
    <w:rsid w:val="00C30AAD"/>
    <w:rsid w:val="00C30FBD"/>
    <w:rsid w:val="00C315FF"/>
    <w:rsid w:val="00C31676"/>
    <w:rsid w:val="00C31685"/>
    <w:rsid w:val="00C319DF"/>
    <w:rsid w:val="00C31BF8"/>
    <w:rsid w:val="00C3229C"/>
    <w:rsid w:val="00C325D8"/>
    <w:rsid w:val="00C3270A"/>
    <w:rsid w:val="00C32D07"/>
    <w:rsid w:val="00C32EE7"/>
    <w:rsid w:val="00C32F6D"/>
    <w:rsid w:val="00C33278"/>
    <w:rsid w:val="00C336F3"/>
    <w:rsid w:val="00C33F4D"/>
    <w:rsid w:val="00C33F7B"/>
    <w:rsid w:val="00C3402F"/>
    <w:rsid w:val="00C3405B"/>
    <w:rsid w:val="00C34250"/>
    <w:rsid w:val="00C342D5"/>
    <w:rsid w:val="00C343EE"/>
    <w:rsid w:val="00C3442B"/>
    <w:rsid w:val="00C34A93"/>
    <w:rsid w:val="00C357FE"/>
    <w:rsid w:val="00C35F3F"/>
    <w:rsid w:val="00C3655F"/>
    <w:rsid w:val="00C36583"/>
    <w:rsid w:val="00C36737"/>
    <w:rsid w:val="00C368D3"/>
    <w:rsid w:val="00C369FD"/>
    <w:rsid w:val="00C36A66"/>
    <w:rsid w:val="00C36A67"/>
    <w:rsid w:val="00C36B4A"/>
    <w:rsid w:val="00C36BCC"/>
    <w:rsid w:val="00C36EB6"/>
    <w:rsid w:val="00C36FCB"/>
    <w:rsid w:val="00C37BA8"/>
    <w:rsid w:val="00C37E30"/>
    <w:rsid w:val="00C37FAB"/>
    <w:rsid w:val="00C40170"/>
    <w:rsid w:val="00C4065F"/>
    <w:rsid w:val="00C406D1"/>
    <w:rsid w:val="00C40727"/>
    <w:rsid w:val="00C40B2D"/>
    <w:rsid w:val="00C40DCB"/>
    <w:rsid w:val="00C41484"/>
    <w:rsid w:val="00C41628"/>
    <w:rsid w:val="00C41996"/>
    <w:rsid w:val="00C41A19"/>
    <w:rsid w:val="00C41F63"/>
    <w:rsid w:val="00C42127"/>
    <w:rsid w:val="00C42260"/>
    <w:rsid w:val="00C42688"/>
    <w:rsid w:val="00C42BA6"/>
    <w:rsid w:val="00C42D10"/>
    <w:rsid w:val="00C42D22"/>
    <w:rsid w:val="00C42DBA"/>
    <w:rsid w:val="00C42EB7"/>
    <w:rsid w:val="00C43254"/>
    <w:rsid w:val="00C43339"/>
    <w:rsid w:val="00C437BC"/>
    <w:rsid w:val="00C439F9"/>
    <w:rsid w:val="00C446F9"/>
    <w:rsid w:val="00C44C66"/>
    <w:rsid w:val="00C45517"/>
    <w:rsid w:val="00C45563"/>
    <w:rsid w:val="00C458A6"/>
    <w:rsid w:val="00C458B1"/>
    <w:rsid w:val="00C45A41"/>
    <w:rsid w:val="00C45AD8"/>
    <w:rsid w:val="00C45B3D"/>
    <w:rsid w:val="00C45B47"/>
    <w:rsid w:val="00C45CB2"/>
    <w:rsid w:val="00C45CD1"/>
    <w:rsid w:val="00C462CA"/>
    <w:rsid w:val="00C465F4"/>
    <w:rsid w:val="00C466BD"/>
    <w:rsid w:val="00C46705"/>
    <w:rsid w:val="00C468A9"/>
    <w:rsid w:val="00C46A12"/>
    <w:rsid w:val="00C46D3C"/>
    <w:rsid w:val="00C47153"/>
    <w:rsid w:val="00C4745F"/>
    <w:rsid w:val="00C47D7C"/>
    <w:rsid w:val="00C5024F"/>
    <w:rsid w:val="00C50D9E"/>
    <w:rsid w:val="00C513E3"/>
    <w:rsid w:val="00C518D6"/>
    <w:rsid w:val="00C519F1"/>
    <w:rsid w:val="00C51CB6"/>
    <w:rsid w:val="00C51D69"/>
    <w:rsid w:val="00C51DBA"/>
    <w:rsid w:val="00C51E2F"/>
    <w:rsid w:val="00C51F30"/>
    <w:rsid w:val="00C524B5"/>
    <w:rsid w:val="00C52827"/>
    <w:rsid w:val="00C529C3"/>
    <w:rsid w:val="00C52D9E"/>
    <w:rsid w:val="00C52F59"/>
    <w:rsid w:val="00C53A12"/>
    <w:rsid w:val="00C53BE4"/>
    <w:rsid w:val="00C53D18"/>
    <w:rsid w:val="00C54315"/>
    <w:rsid w:val="00C543D5"/>
    <w:rsid w:val="00C5441E"/>
    <w:rsid w:val="00C546CF"/>
    <w:rsid w:val="00C5493A"/>
    <w:rsid w:val="00C54A84"/>
    <w:rsid w:val="00C54F68"/>
    <w:rsid w:val="00C55164"/>
    <w:rsid w:val="00C55359"/>
    <w:rsid w:val="00C553B9"/>
    <w:rsid w:val="00C553E4"/>
    <w:rsid w:val="00C56CCC"/>
    <w:rsid w:val="00C56DA2"/>
    <w:rsid w:val="00C5720A"/>
    <w:rsid w:val="00C57A81"/>
    <w:rsid w:val="00C57CE8"/>
    <w:rsid w:val="00C57DC6"/>
    <w:rsid w:val="00C57E61"/>
    <w:rsid w:val="00C60746"/>
    <w:rsid w:val="00C60872"/>
    <w:rsid w:val="00C60E66"/>
    <w:rsid w:val="00C612B2"/>
    <w:rsid w:val="00C614BD"/>
    <w:rsid w:val="00C614F6"/>
    <w:rsid w:val="00C61743"/>
    <w:rsid w:val="00C61B73"/>
    <w:rsid w:val="00C61D68"/>
    <w:rsid w:val="00C61F91"/>
    <w:rsid w:val="00C620CB"/>
    <w:rsid w:val="00C62222"/>
    <w:rsid w:val="00C62545"/>
    <w:rsid w:val="00C62592"/>
    <w:rsid w:val="00C62927"/>
    <w:rsid w:val="00C62D21"/>
    <w:rsid w:val="00C62F11"/>
    <w:rsid w:val="00C63300"/>
    <w:rsid w:val="00C633CB"/>
    <w:rsid w:val="00C63636"/>
    <w:rsid w:val="00C63799"/>
    <w:rsid w:val="00C63AE7"/>
    <w:rsid w:val="00C63B63"/>
    <w:rsid w:val="00C63E82"/>
    <w:rsid w:val="00C640A2"/>
    <w:rsid w:val="00C64225"/>
    <w:rsid w:val="00C64236"/>
    <w:rsid w:val="00C6484D"/>
    <w:rsid w:val="00C64858"/>
    <w:rsid w:val="00C64BFE"/>
    <w:rsid w:val="00C64D67"/>
    <w:rsid w:val="00C65138"/>
    <w:rsid w:val="00C6516B"/>
    <w:rsid w:val="00C65284"/>
    <w:rsid w:val="00C65737"/>
    <w:rsid w:val="00C657BD"/>
    <w:rsid w:val="00C65B46"/>
    <w:rsid w:val="00C65BCC"/>
    <w:rsid w:val="00C6600F"/>
    <w:rsid w:val="00C662B9"/>
    <w:rsid w:val="00C6658C"/>
    <w:rsid w:val="00C66688"/>
    <w:rsid w:val="00C6698B"/>
    <w:rsid w:val="00C66B18"/>
    <w:rsid w:val="00C66D0E"/>
    <w:rsid w:val="00C66E17"/>
    <w:rsid w:val="00C66FC8"/>
    <w:rsid w:val="00C679B3"/>
    <w:rsid w:val="00C67B8D"/>
    <w:rsid w:val="00C67D09"/>
    <w:rsid w:val="00C67D0D"/>
    <w:rsid w:val="00C67F65"/>
    <w:rsid w:val="00C70B95"/>
    <w:rsid w:val="00C71046"/>
    <w:rsid w:val="00C71192"/>
    <w:rsid w:val="00C71298"/>
    <w:rsid w:val="00C714A1"/>
    <w:rsid w:val="00C71B36"/>
    <w:rsid w:val="00C728AF"/>
    <w:rsid w:val="00C72E2C"/>
    <w:rsid w:val="00C72F3E"/>
    <w:rsid w:val="00C7300F"/>
    <w:rsid w:val="00C731F6"/>
    <w:rsid w:val="00C73292"/>
    <w:rsid w:val="00C732E8"/>
    <w:rsid w:val="00C73702"/>
    <w:rsid w:val="00C737BA"/>
    <w:rsid w:val="00C74396"/>
    <w:rsid w:val="00C74451"/>
    <w:rsid w:val="00C74525"/>
    <w:rsid w:val="00C74CE4"/>
    <w:rsid w:val="00C74D5B"/>
    <w:rsid w:val="00C74F4A"/>
    <w:rsid w:val="00C75170"/>
    <w:rsid w:val="00C75511"/>
    <w:rsid w:val="00C75614"/>
    <w:rsid w:val="00C75BE5"/>
    <w:rsid w:val="00C75E66"/>
    <w:rsid w:val="00C75F81"/>
    <w:rsid w:val="00C76125"/>
    <w:rsid w:val="00C7628E"/>
    <w:rsid w:val="00C763F8"/>
    <w:rsid w:val="00C76D5B"/>
    <w:rsid w:val="00C774AF"/>
    <w:rsid w:val="00C77684"/>
    <w:rsid w:val="00C77BA4"/>
    <w:rsid w:val="00C77C41"/>
    <w:rsid w:val="00C807A1"/>
    <w:rsid w:val="00C80A35"/>
    <w:rsid w:val="00C8133A"/>
    <w:rsid w:val="00C81751"/>
    <w:rsid w:val="00C818BA"/>
    <w:rsid w:val="00C81BED"/>
    <w:rsid w:val="00C8208D"/>
    <w:rsid w:val="00C820AA"/>
    <w:rsid w:val="00C820ED"/>
    <w:rsid w:val="00C8247E"/>
    <w:rsid w:val="00C82603"/>
    <w:rsid w:val="00C8262B"/>
    <w:rsid w:val="00C826CC"/>
    <w:rsid w:val="00C82A31"/>
    <w:rsid w:val="00C82ABB"/>
    <w:rsid w:val="00C82B56"/>
    <w:rsid w:val="00C82F22"/>
    <w:rsid w:val="00C82FC9"/>
    <w:rsid w:val="00C830C0"/>
    <w:rsid w:val="00C83478"/>
    <w:rsid w:val="00C83CB0"/>
    <w:rsid w:val="00C83F1A"/>
    <w:rsid w:val="00C8440D"/>
    <w:rsid w:val="00C84895"/>
    <w:rsid w:val="00C84D3A"/>
    <w:rsid w:val="00C8500E"/>
    <w:rsid w:val="00C8501E"/>
    <w:rsid w:val="00C851C8"/>
    <w:rsid w:val="00C853AC"/>
    <w:rsid w:val="00C85429"/>
    <w:rsid w:val="00C8580E"/>
    <w:rsid w:val="00C85C85"/>
    <w:rsid w:val="00C85FD4"/>
    <w:rsid w:val="00C864CF"/>
    <w:rsid w:val="00C86C1C"/>
    <w:rsid w:val="00C87243"/>
    <w:rsid w:val="00C872C4"/>
    <w:rsid w:val="00C87356"/>
    <w:rsid w:val="00C87747"/>
    <w:rsid w:val="00C8786F"/>
    <w:rsid w:val="00C87EA3"/>
    <w:rsid w:val="00C87F22"/>
    <w:rsid w:val="00C902BA"/>
    <w:rsid w:val="00C90387"/>
    <w:rsid w:val="00C9040E"/>
    <w:rsid w:val="00C904CB"/>
    <w:rsid w:val="00C9070C"/>
    <w:rsid w:val="00C90785"/>
    <w:rsid w:val="00C9126A"/>
    <w:rsid w:val="00C91332"/>
    <w:rsid w:val="00C914CF"/>
    <w:rsid w:val="00C91C62"/>
    <w:rsid w:val="00C91CB5"/>
    <w:rsid w:val="00C91FDD"/>
    <w:rsid w:val="00C922C0"/>
    <w:rsid w:val="00C92833"/>
    <w:rsid w:val="00C92C17"/>
    <w:rsid w:val="00C92FAD"/>
    <w:rsid w:val="00C93164"/>
    <w:rsid w:val="00C935A5"/>
    <w:rsid w:val="00C93703"/>
    <w:rsid w:val="00C9375A"/>
    <w:rsid w:val="00C93C47"/>
    <w:rsid w:val="00C93D8C"/>
    <w:rsid w:val="00C93DAB"/>
    <w:rsid w:val="00C9407B"/>
    <w:rsid w:val="00C941E5"/>
    <w:rsid w:val="00C9473F"/>
    <w:rsid w:val="00C94D18"/>
    <w:rsid w:val="00C94E7A"/>
    <w:rsid w:val="00C954E5"/>
    <w:rsid w:val="00C95A98"/>
    <w:rsid w:val="00C9604D"/>
    <w:rsid w:val="00C96199"/>
    <w:rsid w:val="00C965C3"/>
    <w:rsid w:val="00C96645"/>
    <w:rsid w:val="00C966B3"/>
    <w:rsid w:val="00C96C16"/>
    <w:rsid w:val="00C96EE5"/>
    <w:rsid w:val="00C96F1C"/>
    <w:rsid w:val="00C97629"/>
    <w:rsid w:val="00C97682"/>
    <w:rsid w:val="00C97C5C"/>
    <w:rsid w:val="00CA03F2"/>
    <w:rsid w:val="00CA04E8"/>
    <w:rsid w:val="00CA0529"/>
    <w:rsid w:val="00CA0FEF"/>
    <w:rsid w:val="00CA1054"/>
    <w:rsid w:val="00CA105F"/>
    <w:rsid w:val="00CA142D"/>
    <w:rsid w:val="00CA1514"/>
    <w:rsid w:val="00CA17F0"/>
    <w:rsid w:val="00CA1891"/>
    <w:rsid w:val="00CA1906"/>
    <w:rsid w:val="00CA1A46"/>
    <w:rsid w:val="00CA1A95"/>
    <w:rsid w:val="00CA1BB8"/>
    <w:rsid w:val="00CA1D45"/>
    <w:rsid w:val="00CA1D79"/>
    <w:rsid w:val="00CA1E14"/>
    <w:rsid w:val="00CA1E5E"/>
    <w:rsid w:val="00CA1FC8"/>
    <w:rsid w:val="00CA2717"/>
    <w:rsid w:val="00CA2A39"/>
    <w:rsid w:val="00CA2A7B"/>
    <w:rsid w:val="00CA2D7B"/>
    <w:rsid w:val="00CA3631"/>
    <w:rsid w:val="00CA365E"/>
    <w:rsid w:val="00CA372B"/>
    <w:rsid w:val="00CA3946"/>
    <w:rsid w:val="00CA4604"/>
    <w:rsid w:val="00CA4C24"/>
    <w:rsid w:val="00CA4D42"/>
    <w:rsid w:val="00CA5610"/>
    <w:rsid w:val="00CA565D"/>
    <w:rsid w:val="00CA57E3"/>
    <w:rsid w:val="00CA5A25"/>
    <w:rsid w:val="00CA5C04"/>
    <w:rsid w:val="00CA5CD6"/>
    <w:rsid w:val="00CA62B7"/>
    <w:rsid w:val="00CA648E"/>
    <w:rsid w:val="00CA650A"/>
    <w:rsid w:val="00CA6859"/>
    <w:rsid w:val="00CA6ACF"/>
    <w:rsid w:val="00CA6BDF"/>
    <w:rsid w:val="00CA6DD5"/>
    <w:rsid w:val="00CA6EF3"/>
    <w:rsid w:val="00CA6EFD"/>
    <w:rsid w:val="00CA72DC"/>
    <w:rsid w:val="00CA77F4"/>
    <w:rsid w:val="00CA7DAD"/>
    <w:rsid w:val="00CA7E75"/>
    <w:rsid w:val="00CB0A73"/>
    <w:rsid w:val="00CB0A9D"/>
    <w:rsid w:val="00CB0C5C"/>
    <w:rsid w:val="00CB12AD"/>
    <w:rsid w:val="00CB18A6"/>
    <w:rsid w:val="00CB1AFE"/>
    <w:rsid w:val="00CB1B75"/>
    <w:rsid w:val="00CB1C71"/>
    <w:rsid w:val="00CB1D1C"/>
    <w:rsid w:val="00CB2733"/>
    <w:rsid w:val="00CB2810"/>
    <w:rsid w:val="00CB2826"/>
    <w:rsid w:val="00CB28A6"/>
    <w:rsid w:val="00CB28C4"/>
    <w:rsid w:val="00CB293F"/>
    <w:rsid w:val="00CB2DB4"/>
    <w:rsid w:val="00CB2EA7"/>
    <w:rsid w:val="00CB2ED0"/>
    <w:rsid w:val="00CB3509"/>
    <w:rsid w:val="00CB3D5F"/>
    <w:rsid w:val="00CB4258"/>
    <w:rsid w:val="00CB42C8"/>
    <w:rsid w:val="00CB42D1"/>
    <w:rsid w:val="00CB4764"/>
    <w:rsid w:val="00CB4929"/>
    <w:rsid w:val="00CB51CD"/>
    <w:rsid w:val="00CB528F"/>
    <w:rsid w:val="00CB529D"/>
    <w:rsid w:val="00CB5826"/>
    <w:rsid w:val="00CB599F"/>
    <w:rsid w:val="00CB5CD7"/>
    <w:rsid w:val="00CB5D1D"/>
    <w:rsid w:val="00CB6174"/>
    <w:rsid w:val="00CB64B8"/>
    <w:rsid w:val="00CB6617"/>
    <w:rsid w:val="00CB6620"/>
    <w:rsid w:val="00CB6654"/>
    <w:rsid w:val="00CB66D1"/>
    <w:rsid w:val="00CB6778"/>
    <w:rsid w:val="00CB6E0A"/>
    <w:rsid w:val="00CB7451"/>
    <w:rsid w:val="00CB78BE"/>
    <w:rsid w:val="00CB78C0"/>
    <w:rsid w:val="00CB7A32"/>
    <w:rsid w:val="00CB7AF9"/>
    <w:rsid w:val="00CB7F8B"/>
    <w:rsid w:val="00CB7FDC"/>
    <w:rsid w:val="00CC017B"/>
    <w:rsid w:val="00CC01E4"/>
    <w:rsid w:val="00CC0596"/>
    <w:rsid w:val="00CC0708"/>
    <w:rsid w:val="00CC085E"/>
    <w:rsid w:val="00CC0C67"/>
    <w:rsid w:val="00CC0C6A"/>
    <w:rsid w:val="00CC0E1F"/>
    <w:rsid w:val="00CC141C"/>
    <w:rsid w:val="00CC18CC"/>
    <w:rsid w:val="00CC1C05"/>
    <w:rsid w:val="00CC1EA2"/>
    <w:rsid w:val="00CC21DD"/>
    <w:rsid w:val="00CC2497"/>
    <w:rsid w:val="00CC24AE"/>
    <w:rsid w:val="00CC2A28"/>
    <w:rsid w:val="00CC2EF2"/>
    <w:rsid w:val="00CC2F81"/>
    <w:rsid w:val="00CC3A44"/>
    <w:rsid w:val="00CC3BCD"/>
    <w:rsid w:val="00CC3FDB"/>
    <w:rsid w:val="00CC4093"/>
    <w:rsid w:val="00CC4103"/>
    <w:rsid w:val="00CC43B0"/>
    <w:rsid w:val="00CC44DE"/>
    <w:rsid w:val="00CC4639"/>
    <w:rsid w:val="00CC4953"/>
    <w:rsid w:val="00CC49A3"/>
    <w:rsid w:val="00CC4BC8"/>
    <w:rsid w:val="00CC52A1"/>
    <w:rsid w:val="00CC53A4"/>
    <w:rsid w:val="00CC55ED"/>
    <w:rsid w:val="00CC5704"/>
    <w:rsid w:val="00CC5A5C"/>
    <w:rsid w:val="00CC5BA3"/>
    <w:rsid w:val="00CC5FEE"/>
    <w:rsid w:val="00CC6391"/>
    <w:rsid w:val="00CC64E4"/>
    <w:rsid w:val="00CC6896"/>
    <w:rsid w:val="00CC6B01"/>
    <w:rsid w:val="00CC7DAD"/>
    <w:rsid w:val="00CD02A5"/>
    <w:rsid w:val="00CD02D9"/>
    <w:rsid w:val="00CD0375"/>
    <w:rsid w:val="00CD06E7"/>
    <w:rsid w:val="00CD077C"/>
    <w:rsid w:val="00CD0A59"/>
    <w:rsid w:val="00CD0FA3"/>
    <w:rsid w:val="00CD1C30"/>
    <w:rsid w:val="00CD1E3E"/>
    <w:rsid w:val="00CD2211"/>
    <w:rsid w:val="00CD2680"/>
    <w:rsid w:val="00CD2B5C"/>
    <w:rsid w:val="00CD3151"/>
    <w:rsid w:val="00CD32A1"/>
    <w:rsid w:val="00CD368F"/>
    <w:rsid w:val="00CD3A1F"/>
    <w:rsid w:val="00CD3B88"/>
    <w:rsid w:val="00CD3CF4"/>
    <w:rsid w:val="00CD49A1"/>
    <w:rsid w:val="00CD49EF"/>
    <w:rsid w:val="00CD4A51"/>
    <w:rsid w:val="00CD4C65"/>
    <w:rsid w:val="00CD5069"/>
    <w:rsid w:val="00CD5298"/>
    <w:rsid w:val="00CD56E1"/>
    <w:rsid w:val="00CD58CC"/>
    <w:rsid w:val="00CD5BA7"/>
    <w:rsid w:val="00CD5FEA"/>
    <w:rsid w:val="00CD6067"/>
    <w:rsid w:val="00CD6199"/>
    <w:rsid w:val="00CD646A"/>
    <w:rsid w:val="00CD6605"/>
    <w:rsid w:val="00CD6675"/>
    <w:rsid w:val="00CD66A1"/>
    <w:rsid w:val="00CD6E1B"/>
    <w:rsid w:val="00CD7279"/>
    <w:rsid w:val="00CD7598"/>
    <w:rsid w:val="00CD76DA"/>
    <w:rsid w:val="00CD76F3"/>
    <w:rsid w:val="00CD7705"/>
    <w:rsid w:val="00CD7B40"/>
    <w:rsid w:val="00CD7D68"/>
    <w:rsid w:val="00CD7D89"/>
    <w:rsid w:val="00CD7E65"/>
    <w:rsid w:val="00CE03CE"/>
    <w:rsid w:val="00CE08EE"/>
    <w:rsid w:val="00CE0E07"/>
    <w:rsid w:val="00CE1243"/>
    <w:rsid w:val="00CE1382"/>
    <w:rsid w:val="00CE1790"/>
    <w:rsid w:val="00CE17C9"/>
    <w:rsid w:val="00CE17EC"/>
    <w:rsid w:val="00CE1CAE"/>
    <w:rsid w:val="00CE1E5C"/>
    <w:rsid w:val="00CE1F72"/>
    <w:rsid w:val="00CE2047"/>
    <w:rsid w:val="00CE2480"/>
    <w:rsid w:val="00CE2C50"/>
    <w:rsid w:val="00CE2D79"/>
    <w:rsid w:val="00CE2EC8"/>
    <w:rsid w:val="00CE2EEE"/>
    <w:rsid w:val="00CE348D"/>
    <w:rsid w:val="00CE34E6"/>
    <w:rsid w:val="00CE42EC"/>
    <w:rsid w:val="00CE42F3"/>
    <w:rsid w:val="00CE4300"/>
    <w:rsid w:val="00CE46F9"/>
    <w:rsid w:val="00CE48F2"/>
    <w:rsid w:val="00CE4924"/>
    <w:rsid w:val="00CE49A2"/>
    <w:rsid w:val="00CE4EF9"/>
    <w:rsid w:val="00CE5006"/>
    <w:rsid w:val="00CE5046"/>
    <w:rsid w:val="00CE58DC"/>
    <w:rsid w:val="00CE5AF9"/>
    <w:rsid w:val="00CE5C45"/>
    <w:rsid w:val="00CE5D4B"/>
    <w:rsid w:val="00CE5D84"/>
    <w:rsid w:val="00CE5D9C"/>
    <w:rsid w:val="00CE5DCA"/>
    <w:rsid w:val="00CE62A1"/>
    <w:rsid w:val="00CE6B52"/>
    <w:rsid w:val="00CE6C88"/>
    <w:rsid w:val="00CE73D1"/>
    <w:rsid w:val="00CE79D3"/>
    <w:rsid w:val="00CE7C67"/>
    <w:rsid w:val="00CE7D9C"/>
    <w:rsid w:val="00CF086B"/>
    <w:rsid w:val="00CF08AD"/>
    <w:rsid w:val="00CF0B60"/>
    <w:rsid w:val="00CF0DAC"/>
    <w:rsid w:val="00CF1797"/>
    <w:rsid w:val="00CF18A3"/>
    <w:rsid w:val="00CF1B00"/>
    <w:rsid w:val="00CF1B54"/>
    <w:rsid w:val="00CF1C49"/>
    <w:rsid w:val="00CF1E5E"/>
    <w:rsid w:val="00CF21BF"/>
    <w:rsid w:val="00CF2516"/>
    <w:rsid w:val="00CF28C3"/>
    <w:rsid w:val="00CF298E"/>
    <w:rsid w:val="00CF2A10"/>
    <w:rsid w:val="00CF2B4E"/>
    <w:rsid w:val="00CF2BD7"/>
    <w:rsid w:val="00CF2BFE"/>
    <w:rsid w:val="00CF306A"/>
    <w:rsid w:val="00CF342D"/>
    <w:rsid w:val="00CF376D"/>
    <w:rsid w:val="00CF38A5"/>
    <w:rsid w:val="00CF390F"/>
    <w:rsid w:val="00CF3992"/>
    <w:rsid w:val="00CF3BDE"/>
    <w:rsid w:val="00CF3F41"/>
    <w:rsid w:val="00CF40EB"/>
    <w:rsid w:val="00CF4238"/>
    <w:rsid w:val="00CF42C3"/>
    <w:rsid w:val="00CF44D0"/>
    <w:rsid w:val="00CF4BD0"/>
    <w:rsid w:val="00CF4FFC"/>
    <w:rsid w:val="00CF561D"/>
    <w:rsid w:val="00CF598F"/>
    <w:rsid w:val="00CF59CC"/>
    <w:rsid w:val="00CF5CB1"/>
    <w:rsid w:val="00CF6444"/>
    <w:rsid w:val="00CF6686"/>
    <w:rsid w:val="00CF6D40"/>
    <w:rsid w:val="00CF6F5E"/>
    <w:rsid w:val="00CF7258"/>
    <w:rsid w:val="00CF7284"/>
    <w:rsid w:val="00CF7338"/>
    <w:rsid w:val="00CF75BC"/>
    <w:rsid w:val="00CF7AF6"/>
    <w:rsid w:val="00CF7E8D"/>
    <w:rsid w:val="00CF7F4D"/>
    <w:rsid w:val="00D00245"/>
    <w:rsid w:val="00D0070F"/>
    <w:rsid w:val="00D008A0"/>
    <w:rsid w:val="00D00A28"/>
    <w:rsid w:val="00D00ED2"/>
    <w:rsid w:val="00D01330"/>
    <w:rsid w:val="00D014E9"/>
    <w:rsid w:val="00D0166D"/>
    <w:rsid w:val="00D01798"/>
    <w:rsid w:val="00D01799"/>
    <w:rsid w:val="00D0180B"/>
    <w:rsid w:val="00D01B35"/>
    <w:rsid w:val="00D01CFF"/>
    <w:rsid w:val="00D01F4D"/>
    <w:rsid w:val="00D02004"/>
    <w:rsid w:val="00D025EC"/>
    <w:rsid w:val="00D02C76"/>
    <w:rsid w:val="00D02F9C"/>
    <w:rsid w:val="00D0333A"/>
    <w:rsid w:val="00D03404"/>
    <w:rsid w:val="00D03A2F"/>
    <w:rsid w:val="00D03D11"/>
    <w:rsid w:val="00D042BE"/>
    <w:rsid w:val="00D049BC"/>
    <w:rsid w:val="00D04B6E"/>
    <w:rsid w:val="00D04DEE"/>
    <w:rsid w:val="00D05424"/>
    <w:rsid w:val="00D054D8"/>
    <w:rsid w:val="00D05507"/>
    <w:rsid w:val="00D05A17"/>
    <w:rsid w:val="00D05F26"/>
    <w:rsid w:val="00D06119"/>
    <w:rsid w:val="00D061F7"/>
    <w:rsid w:val="00D0627A"/>
    <w:rsid w:val="00D062C5"/>
    <w:rsid w:val="00D06930"/>
    <w:rsid w:val="00D074F7"/>
    <w:rsid w:val="00D07514"/>
    <w:rsid w:val="00D07C71"/>
    <w:rsid w:val="00D07ED8"/>
    <w:rsid w:val="00D1024F"/>
    <w:rsid w:val="00D103E3"/>
    <w:rsid w:val="00D10B93"/>
    <w:rsid w:val="00D10E19"/>
    <w:rsid w:val="00D113A0"/>
    <w:rsid w:val="00D116D9"/>
    <w:rsid w:val="00D11976"/>
    <w:rsid w:val="00D11B6E"/>
    <w:rsid w:val="00D11D7C"/>
    <w:rsid w:val="00D1243F"/>
    <w:rsid w:val="00D128C5"/>
    <w:rsid w:val="00D12A28"/>
    <w:rsid w:val="00D12E14"/>
    <w:rsid w:val="00D12E55"/>
    <w:rsid w:val="00D1304C"/>
    <w:rsid w:val="00D131EF"/>
    <w:rsid w:val="00D131F3"/>
    <w:rsid w:val="00D135B3"/>
    <w:rsid w:val="00D135C3"/>
    <w:rsid w:val="00D13688"/>
    <w:rsid w:val="00D13ABB"/>
    <w:rsid w:val="00D13FA0"/>
    <w:rsid w:val="00D14225"/>
    <w:rsid w:val="00D14389"/>
    <w:rsid w:val="00D14544"/>
    <w:rsid w:val="00D1466F"/>
    <w:rsid w:val="00D14B1A"/>
    <w:rsid w:val="00D14C12"/>
    <w:rsid w:val="00D14C2F"/>
    <w:rsid w:val="00D14CE0"/>
    <w:rsid w:val="00D14E58"/>
    <w:rsid w:val="00D150C7"/>
    <w:rsid w:val="00D15363"/>
    <w:rsid w:val="00D15860"/>
    <w:rsid w:val="00D15BA4"/>
    <w:rsid w:val="00D15D99"/>
    <w:rsid w:val="00D15DFE"/>
    <w:rsid w:val="00D16339"/>
    <w:rsid w:val="00D16CF9"/>
    <w:rsid w:val="00D1709A"/>
    <w:rsid w:val="00D17128"/>
    <w:rsid w:val="00D1761E"/>
    <w:rsid w:val="00D17ADA"/>
    <w:rsid w:val="00D17BA6"/>
    <w:rsid w:val="00D17D38"/>
    <w:rsid w:val="00D20068"/>
    <w:rsid w:val="00D202E7"/>
    <w:rsid w:val="00D2032C"/>
    <w:rsid w:val="00D20729"/>
    <w:rsid w:val="00D2094C"/>
    <w:rsid w:val="00D211BD"/>
    <w:rsid w:val="00D21280"/>
    <w:rsid w:val="00D2177E"/>
    <w:rsid w:val="00D2181D"/>
    <w:rsid w:val="00D22361"/>
    <w:rsid w:val="00D223A8"/>
    <w:rsid w:val="00D2246F"/>
    <w:rsid w:val="00D226CD"/>
    <w:rsid w:val="00D22732"/>
    <w:rsid w:val="00D2276D"/>
    <w:rsid w:val="00D22DB1"/>
    <w:rsid w:val="00D2333E"/>
    <w:rsid w:val="00D234DD"/>
    <w:rsid w:val="00D2359D"/>
    <w:rsid w:val="00D2379C"/>
    <w:rsid w:val="00D238FD"/>
    <w:rsid w:val="00D239C9"/>
    <w:rsid w:val="00D23FA7"/>
    <w:rsid w:val="00D24065"/>
    <w:rsid w:val="00D240D7"/>
    <w:rsid w:val="00D241D3"/>
    <w:rsid w:val="00D248EC"/>
    <w:rsid w:val="00D24AE7"/>
    <w:rsid w:val="00D24B0B"/>
    <w:rsid w:val="00D24EB3"/>
    <w:rsid w:val="00D2630A"/>
    <w:rsid w:val="00D2637A"/>
    <w:rsid w:val="00D2665A"/>
    <w:rsid w:val="00D26875"/>
    <w:rsid w:val="00D268DE"/>
    <w:rsid w:val="00D26C79"/>
    <w:rsid w:val="00D271B4"/>
    <w:rsid w:val="00D27411"/>
    <w:rsid w:val="00D27A08"/>
    <w:rsid w:val="00D27B86"/>
    <w:rsid w:val="00D27B8B"/>
    <w:rsid w:val="00D27FC8"/>
    <w:rsid w:val="00D30058"/>
    <w:rsid w:val="00D30360"/>
    <w:rsid w:val="00D30795"/>
    <w:rsid w:val="00D30B1F"/>
    <w:rsid w:val="00D30E99"/>
    <w:rsid w:val="00D314CC"/>
    <w:rsid w:val="00D316FE"/>
    <w:rsid w:val="00D31720"/>
    <w:rsid w:val="00D317A0"/>
    <w:rsid w:val="00D320C0"/>
    <w:rsid w:val="00D32622"/>
    <w:rsid w:val="00D328CD"/>
    <w:rsid w:val="00D32ACB"/>
    <w:rsid w:val="00D32B10"/>
    <w:rsid w:val="00D32C65"/>
    <w:rsid w:val="00D32D01"/>
    <w:rsid w:val="00D330BA"/>
    <w:rsid w:val="00D337BD"/>
    <w:rsid w:val="00D339B7"/>
    <w:rsid w:val="00D33D7E"/>
    <w:rsid w:val="00D34074"/>
    <w:rsid w:val="00D345C7"/>
    <w:rsid w:val="00D34954"/>
    <w:rsid w:val="00D349F2"/>
    <w:rsid w:val="00D34F87"/>
    <w:rsid w:val="00D355A6"/>
    <w:rsid w:val="00D3575A"/>
    <w:rsid w:val="00D3585B"/>
    <w:rsid w:val="00D35BB7"/>
    <w:rsid w:val="00D35D7F"/>
    <w:rsid w:val="00D35F7D"/>
    <w:rsid w:val="00D36234"/>
    <w:rsid w:val="00D3631C"/>
    <w:rsid w:val="00D3691B"/>
    <w:rsid w:val="00D369F6"/>
    <w:rsid w:val="00D36BE1"/>
    <w:rsid w:val="00D36DE6"/>
    <w:rsid w:val="00D37024"/>
    <w:rsid w:val="00D3782F"/>
    <w:rsid w:val="00D37D88"/>
    <w:rsid w:val="00D400AD"/>
    <w:rsid w:val="00D401CD"/>
    <w:rsid w:val="00D402CF"/>
    <w:rsid w:val="00D403CF"/>
    <w:rsid w:val="00D4043B"/>
    <w:rsid w:val="00D40605"/>
    <w:rsid w:val="00D406A3"/>
    <w:rsid w:val="00D40D54"/>
    <w:rsid w:val="00D40E0C"/>
    <w:rsid w:val="00D413D4"/>
    <w:rsid w:val="00D415B7"/>
    <w:rsid w:val="00D41BF5"/>
    <w:rsid w:val="00D425FE"/>
    <w:rsid w:val="00D42655"/>
    <w:rsid w:val="00D4273C"/>
    <w:rsid w:val="00D4283F"/>
    <w:rsid w:val="00D42A79"/>
    <w:rsid w:val="00D42AFE"/>
    <w:rsid w:val="00D42C14"/>
    <w:rsid w:val="00D430A7"/>
    <w:rsid w:val="00D430C1"/>
    <w:rsid w:val="00D432C7"/>
    <w:rsid w:val="00D438DE"/>
    <w:rsid w:val="00D43A47"/>
    <w:rsid w:val="00D43D60"/>
    <w:rsid w:val="00D44204"/>
    <w:rsid w:val="00D442A4"/>
    <w:rsid w:val="00D44628"/>
    <w:rsid w:val="00D44866"/>
    <w:rsid w:val="00D44CFA"/>
    <w:rsid w:val="00D450B1"/>
    <w:rsid w:val="00D4577E"/>
    <w:rsid w:val="00D457C9"/>
    <w:rsid w:val="00D45B99"/>
    <w:rsid w:val="00D45C89"/>
    <w:rsid w:val="00D45D2C"/>
    <w:rsid w:val="00D45E37"/>
    <w:rsid w:val="00D45EF4"/>
    <w:rsid w:val="00D466C6"/>
    <w:rsid w:val="00D468F0"/>
    <w:rsid w:val="00D46F6B"/>
    <w:rsid w:val="00D47433"/>
    <w:rsid w:val="00D47565"/>
    <w:rsid w:val="00D47A1B"/>
    <w:rsid w:val="00D47C37"/>
    <w:rsid w:val="00D5024A"/>
    <w:rsid w:val="00D50268"/>
    <w:rsid w:val="00D50484"/>
    <w:rsid w:val="00D508B4"/>
    <w:rsid w:val="00D50F47"/>
    <w:rsid w:val="00D510F5"/>
    <w:rsid w:val="00D515A7"/>
    <w:rsid w:val="00D51AB3"/>
    <w:rsid w:val="00D5207C"/>
    <w:rsid w:val="00D52369"/>
    <w:rsid w:val="00D5260E"/>
    <w:rsid w:val="00D5265F"/>
    <w:rsid w:val="00D527D9"/>
    <w:rsid w:val="00D5344C"/>
    <w:rsid w:val="00D53AB7"/>
    <w:rsid w:val="00D53EAA"/>
    <w:rsid w:val="00D5446D"/>
    <w:rsid w:val="00D54BF4"/>
    <w:rsid w:val="00D54C59"/>
    <w:rsid w:val="00D5504E"/>
    <w:rsid w:val="00D55286"/>
    <w:rsid w:val="00D55743"/>
    <w:rsid w:val="00D557F2"/>
    <w:rsid w:val="00D55CC7"/>
    <w:rsid w:val="00D561BF"/>
    <w:rsid w:val="00D562F7"/>
    <w:rsid w:val="00D565AA"/>
    <w:rsid w:val="00D56815"/>
    <w:rsid w:val="00D56EFB"/>
    <w:rsid w:val="00D570DC"/>
    <w:rsid w:val="00D572D6"/>
    <w:rsid w:val="00D57352"/>
    <w:rsid w:val="00D5735F"/>
    <w:rsid w:val="00D573AA"/>
    <w:rsid w:val="00D57416"/>
    <w:rsid w:val="00D576C7"/>
    <w:rsid w:val="00D577ED"/>
    <w:rsid w:val="00D57913"/>
    <w:rsid w:val="00D579D1"/>
    <w:rsid w:val="00D57B04"/>
    <w:rsid w:val="00D57C3A"/>
    <w:rsid w:val="00D57DE3"/>
    <w:rsid w:val="00D57E70"/>
    <w:rsid w:val="00D600C9"/>
    <w:rsid w:val="00D605D7"/>
    <w:rsid w:val="00D606FB"/>
    <w:rsid w:val="00D609E8"/>
    <w:rsid w:val="00D60B84"/>
    <w:rsid w:val="00D611C2"/>
    <w:rsid w:val="00D612CF"/>
    <w:rsid w:val="00D61300"/>
    <w:rsid w:val="00D613CF"/>
    <w:rsid w:val="00D613FC"/>
    <w:rsid w:val="00D61472"/>
    <w:rsid w:val="00D6198D"/>
    <w:rsid w:val="00D61F59"/>
    <w:rsid w:val="00D61FC5"/>
    <w:rsid w:val="00D624FF"/>
    <w:rsid w:val="00D62953"/>
    <w:rsid w:val="00D629BE"/>
    <w:rsid w:val="00D62B92"/>
    <w:rsid w:val="00D634B0"/>
    <w:rsid w:val="00D63578"/>
    <w:rsid w:val="00D637FE"/>
    <w:rsid w:val="00D63894"/>
    <w:rsid w:val="00D638DE"/>
    <w:rsid w:val="00D639B5"/>
    <w:rsid w:val="00D63E8A"/>
    <w:rsid w:val="00D6421D"/>
    <w:rsid w:val="00D64C23"/>
    <w:rsid w:val="00D64C8D"/>
    <w:rsid w:val="00D65289"/>
    <w:rsid w:val="00D656EF"/>
    <w:rsid w:val="00D65711"/>
    <w:rsid w:val="00D65763"/>
    <w:rsid w:val="00D65BB8"/>
    <w:rsid w:val="00D65D94"/>
    <w:rsid w:val="00D65E70"/>
    <w:rsid w:val="00D65F3F"/>
    <w:rsid w:val="00D65F95"/>
    <w:rsid w:val="00D660CB"/>
    <w:rsid w:val="00D66567"/>
    <w:rsid w:val="00D66A68"/>
    <w:rsid w:val="00D66CA4"/>
    <w:rsid w:val="00D67715"/>
    <w:rsid w:val="00D678F9"/>
    <w:rsid w:val="00D67952"/>
    <w:rsid w:val="00D7009C"/>
    <w:rsid w:val="00D7052B"/>
    <w:rsid w:val="00D70944"/>
    <w:rsid w:val="00D70FBA"/>
    <w:rsid w:val="00D7161E"/>
    <w:rsid w:val="00D71B1A"/>
    <w:rsid w:val="00D71F39"/>
    <w:rsid w:val="00D721CF"/>
    <w:rsid w:val="00D722EE"/>
    <w:rsid w:val="00D725CF"/>
    <w:rsid w:val="00D726CA"/>
    <w:rsid w:val="00D72799"/>
    <w:rsid w:val="00D72838"/>
    <w:rsid w:val="00D731C3"/>
    <w:rsid w:val="00D732B2"/>
    <w:rsid w:val="00D73477"/>
    <w:rsid w:val="00D735D4"/>
    <w:rsid w:val="00D73D85"/>
    <w:rsid w:val="00D73D8F"/>
    <w:rsid w:val="00D73F44"/>
    <w:rsid w:val="00D740A3"/>
    <w:rsid w:val="00D74419"/>
    <w:rsid w:val="00D744B5"/>
    <w:rsid w:val="00D746AD"/>
    <w:rsid w:val="00D748C9"/>
    <w:rsid w:val="00D74ABE"/>
    <w:rsid w:val="00D74B9C"/>
    <w:rsid w:val="00D74DF8"/>
    <w:rsid w:val="00D752E5"/>
    <w:rsid w:val="00D7539E"/>
    <w:rsid w:val="00D757F3"/>
    <w:rsid w:val="00D75995"/>
    <w:rsid w:val="00D75D7D"/>
    <w:rsid w:val="00D75EE8"/>
    <w:rsid w:val="00D7614A"/>
    <w:rsid w:val="00D765A6"/>
    <w:rsid w:val="00D76AAC"/>
    <w:rsid w:val="00D76B11"/>
    <w:rsid w:val="00D76CF3"/>
    <w:rsid w:val="00D7738D"/>
    <w:rsid w:val="00D77490"/>
    <w:rsid w:val="00D77815"/>
    <w:rsid w:val="00D778FF"/>
    <w:rsid w:val="00D802F0"/>
    <w:rsid w:val="00D8067D"/>
    <w:rsid w:val="00D80CC4"/>
    <w:rsid w:val="00D80D1A"/>
    <w:rsid w:val="00D80DAC"/>
    <w:rsid w:val="00D8155A"/>
    <w:rsid w:val="00D81933"/>
    <w:rsid w:val="00D81A0D"/>
    <w:rsid w:val="00D81ABD"/>
    <w:rsid w:val="00D81E06"/>
    <w:rsid w:val="00D820F6"/>
    <w:rsid w:val="00D82156"/>
    <w:rsid w:val="00D822DB"/>
    <w:rsid w:val="00D82481"/>
    <w:rsid w:val="00D8266B"/>
    <w:rsid w:val="00D82D3D"/>
    <w:rsid w:val="00D8314E"/>
    <w:rsid w:val="00D835C0"/>
    <w:rsid w:val="00D83884"/>
    <w:rsid w:val="00D83984"/>
    <w:rsid w:val="00D84122"/>
    <w:rsid w:val="00D84124"/>
    <w:rsid w:val="00D84158"/>
    <w:rsid w:val="00D8448B"/>
    <w:rsid w:val="00D8483C"/>
    <w:rsid w:val="00D84866"/>
    <w:rsid w:val="00D84A97"/>
    <w:rsid w:val="00D84C9A"/>
    <w:rsid w:val="00D84E2A"/>
    <w:rsid w:val="00D85123"/>
    <w:rsid w:val="00D85511"/>
    <w:rsid w:val="00D86142"/>
    <w:rsid w:val="00D8640C"/>
    <w:rsid w:val="00D86BF7"/>
    <w:rsid w:val="00D86C0D"/>
    <w:rsid w:val="00D870AF"/>
    <w:rsid w:val="00D870E8"/>
    <w:rsid w:val="00D872AD"/>
    <w:rsid w:val="00D876D1"/>
    <w:rsid w:val="00D87AFC"/>
    <w:rsid w:val="00D87E7F"/>
    <w:rsid w:val="00D87F62"/>
    <w:rsid w:val="00D87F7F"/>
    <w:rsid w:val="00D900E5"/>
    <w:rsid w:val="00D901AE"/>
    <w:rsid w:val="00D9037C"/>
    <w:rsid w:val="00D90513"/>
    <w:rsid w:val="00D90698"/>
    <w:rsid w:val="00D906D1"/>
    <w:rsid w:val="00D9093C"/>
    <w:rsid w:val="00D90AAD"/>
    <w:rsid w:val="00D910F2"/>
    <w:rsid w:val="00D911EE"/>
    <w:rsid w:val="00D91298"/>
    <w:rsid w:val="00D912F6"/>
    <w:rsid w:val="00D913AC"/>
    <w:rsid w:val="00D918C8"/>
    <w:rsid w:val="00D919E5"/>
    <w:rsid w:val="00D91AFC"/>
    <w:rsid w:val="00D91B84"/>
    <w:rsid w:val="00D91D4F"/>
    <w:rsid w:val="00D91F72"/>
    <w:rsid w:val="00D92159"/>
    <w:rsid w:val="00D92271"/>
    <w:rsid w:val="00D9290D"/>
    <w:rsid w:val="00D92D11"/>
    <w:rsid w:val="00D92DC8"/>
    <w:rsid w:val="00D92E88"/>
    <w:rsid w:val="00D932E1"/>
    <w:rsid w:val="00D93380"/>
    <w:rsid w:val="00D93545"/>
    <w:rsid w:val="00D937B3"/>
    <w:rsid w:val="00D93814"/>
    <w:rsid w:val="00D938AF"/>
    <w:rsid w:val="00D938C3"/>
    <w:rsid w:val="00D938DF"/>
    <w:rsid w:val="00D939E1"/>
    <w:rsid w:val="00D93BAF"/>
    <w:rsid w:val="00D93C9A"/>
    <w:rsid w:val="00D9434D"/>
    <w:rsid w:val="00D9435E"/>
    <w:rsid w:val="00D94484"/>
    <w:rsid w:val="00D9480E"/>
    <w:rsid w:val="00D949FB"/>
    <w:rsid w:val="00D94CF4"/>
    <w:rsid w:val="00D94F91"/>
    <w:rsid w:val="00D95C7C"/>
    <w:rsid w:val="00D95EA2"/>
    <w:rsid w:val="00D95F6D"/>
    <w:rsid w:val="00D9611F"/>
    <w:rsid w:val="00D964D9"/>
    <w:rsid w:val="00D965AF"/>
    <w:rsid w:val="00D96C1D"/>
    <w:rsid w:val="00D96C72"/>
    <w:rsid w:val="00D97348"/>
    <w:rsid w:val="00D97DC3"/>
    <w:rsid w:val="00DA0673"/>
    <w:rsid w:val="00DA0981"/>
    <w:rsid w:val="00DA0D70"/>
    <w:rsid w:val="00DA0FD8"/>
    <w:rsid w:val="00DA1251"/>
    <w:rsid w:val="00DA19CF"/>
    <w:rsid w:val="00DA1C5F"/>
    <w:rsid w:val="00DA1D4C"/>
    <w:rsid w:val="00DA1E35"/>
    <w:rsid w:val="00DA21A6"/>
    <w:rsid w:val="00DA21C7"/>
    <w:rsid w:val="00DA26C1"/>
    <w:rsid w:val="00DA2957"/>
    <w:rsid w:val="00DA2ACA"/>
    <w:rsid w:val="00DA2C7C"/>
    <w:rsid w:val="00DA2CB9"/>
    <w:rsid w:val="00DA33FD"/>
    <w:rsid w:val="00DA3604"/>
    <w:rsid w:val="00DA361A"/>
    <w:rsid w:val="00DA3E37"/>
    <w:rsid w:val="00DA4500"/>
    <w:rsid w:val="00DA487C"/>
    <w:rsid w:val="00DA4B0F"/>
    <w:rsid w:val="00DA4B62"/>
    <w:rsid w:val="00DA4B8A"/>
    <w:rsid w:val="00DA4D95"/>
    <w:rsid w:val="00DA4DF7"/>
    <w:rsid w:val="00DA4F4F"/>
    <w:rsid w:val="00DA5782"/>
    <w:rsid w:val="00DA5D10"/>
    <w:rsid w:val="00DA6A44"/>
    <w:rsid w:val="00DA6B1A"/>
    <w:rsid w:val="00DA6CAE"/>
    <w:rsid w:val="00DA70D5"/>
    <w:rsid w:val="00DA7577"/>
    <w:rsid w:val="00DA78DE"/>
    <w:rsid w:val="00DA7E2E"/>
    <w:rsid w:val="00DA7E99"/>
    <w:rsid w:val="00DA7F08"/>
    <w:rsid w:val="00DB04F8"/>
    <w:rsid w:val="00DB0761"/>
    <w:rsid w:val="00DB090C"/>
    <w:rsid w:val="00DB0D8C"/>
    <w:rsid w:val="00DB1189"/>
    <w:rsid w:val="00DB143A"/>
    <w:rsid w:val="00DB17BC"/>
    <w:rsid w:val="00DB208C"/>
    <w:rsid w:val="00DB254C"/>
    <w:rsid w:val="00DB2A6F"/>
    <w:rsid w:val="00DB2B49"/>
    <w:rsid w:val="00DB2D87"/>
    <w:rsid w:val="00DB30DD"/>
    <w:rsid w:val="00DB3309"/>
    <w:rsid w:val="00DB33EF"/>
    <w:rsid w:val="00DB3646"/>
    <w:rsid w:val="00DB368E"/>
    <w:rsid w:val="00DB36C8"/>
    <w:rsid w:val="00DB377B"/>
    <w:rsid w:val="00DB379A"/>
    <w:rsid w:val="00DB3BAD"/>
    <w:rsid w:val="00DB3CB3"/>
    <w:rsid w:val="00DB4039"/>
    <w:rsid w:val="00DB4B93"/>
    <w:rsid w:val="00DB4E81"/>
    <w:rsid w:val="00DB5616"/>
    <w:rsid w:val="00DB5AD7"/>
    <w:rsid w:val="00DB5CCA"/>
    <w:rsid w:val="00DB5F9C"/>
    <w:rsid w:val="00DB6304"/>
    <w:rsid w:val="00DB6424"/>
    <w:rsid w:val="00DB67BA"/>
    <w:rsid w:val="00DB68B1"/>
    <w:rsid w:val="00DB6921"/>
    <w:rsid w:val="00DB719F"/>
    <w:rsid w:val="00DB723D"/>
    <w:rsid w:val="00DB7360"/>
    <w:rsid w:val="00DB75AC"/>
    <w:rsid w:val="00DB7BDC"/>
    <w:rsid w:val="00DB7D38"/>
    <w:rsid w:val="00DC0078"/>
    <w:rsid w:val="00DC01B4"/>
    <w:rsid w:val="00DC0351"/>
    <w:rsid w:val="00DC07C5"/>
    <w:rsid w:val="00DC0923"/>
    <w:rsid w:val="00DC09C1"/>
    <w:rsid w:val="00DC0A5F"/>
    <w:rsid w:val="00DC0B96"/>
    <w:rsid w:val="00DC0EA2"/>
    <w:rsid w:val="00DC0F7F"/>
    <w:rsid w:val="00DC171C"/>
    <w:rsid w:val="00DC18AC"/>
    <w:rsid w:val="00DC1A17"/>
    <w:rsid w:val="00DC1AE1"/>
    <w:rsid w:val="00DC1BB3"/>
    <w:rsid w:val="00DC233D"/>
    <w:rsid w:val="00DC2458"/>
    <w:rsid w:val="00DC2641"/>
    <w:rsid w:val="00DC2A00"/>
    <w:rsid w:val="00DC2BC8"/>
    <w:rsid w:val="00DC2BFE"/>
    <w:rsid w:val="00DC3A0E"/>
    <w:rsid w:val="00DC3A9F"/>
    <w:rsid w:val="00DC3B06"/>
    <w:rsid w:val="00DC40D7"/>
    <w:rsid w:val="00DC4229"/>
    <w:rsid w:val="00DC441A"/>
    <w:rsid w:val="00DC4A5A"/>
    <w:rsid w:val="00DC4C58"/>
    <w:rsid w:val="00DC5050"/>
    <w:rsid w:val="00DC535A"/>
    <w:rsid w:val="00DC5446"/>
    <w:rsid w:val="00DC5BF9"/>
    <w:rsid w:val="00DC5DE6"/>
    <w:rsid w:val="00DC647C"/>
    <w:rsid w:val="00DC6839"/>
    <w:rsid w:val="00DC6923"/>
    <w:rsid w:val="00DC6A1B"/>
    <w:rsid w:val="00DC6BA6"/>
    <w:rsid w:val="00DC6FAE"/>
    <w:rsid w:val="00DC737B"/>
    <w:rsid w:val="00DC75F0"/>
    <w:rsid w:val="00DC7638"/>
    <w:rsid w:val="00DC7C1E"/>
    <w:rsid w:val="00DC7E6E"/>
    <w:rsid w:val="00DC7FF8"/>
    <w:rsid w:val="00DD057F"/>
    <w:rsid w:val="00DD06B2"/>
    <w:rsid w:val="00DD0ED7"/>
    <w:rsid w:val="00DD158D"/>
    <w:rsid w:val="00DD1CDA"/>
    <w:rsid w:val="00DD2507"/>
    <w:rsid w:val="00DD27AB"/>
    <w:rsid w:val="00DD2D65"/>
    <w:rsid w:val="00DD2F03"/>
    <w:rsid w:val="00DD2F21"/>
    <w:rsid w:val="00DD3346"/>
    <w:rsid w:val="00DD33E9"/>
    <w:rsid w:val="00DD349E"/>
    <w:rsid w:val="00DD37F0"/>
    <w:rsid w:val="00DD3CEA"/>
    <w:rsid w:val="00DD3D43"/>
    <w:rsid w:val="00DD3D89"/>
    <w:rsid w:val="00DD3D8E"/>
    <w:rsid w:val="00DD3E2D"/>
    <w:rsid w:val="00DD401A"/>
    <w:rsid w:val="00DD40E4"/>
    <w:rsid w:val="00DD451D"/>
    <w:rsid w:val="00DD4550"/>
    <w:rsid w:val="00DD45CE"/>
    <w:rsid w:val="00DD4874"/>
    <w:rsid w:val="00DD4F4C"/>
    <w:rsid w:val="00DD50C6"/>
    <w:rsid w:val="00DD56EE"/>
    <w:rsid w:val="00DD57F8"/>
    <w:rsid w:val="00DD592E"/>
    <w:rsid w:val="00DD5CB1"/>
    <w:rsid w:val="00DD5FB8"/>
    <w:rsid w:val="00DD640B"/>
    <w:rsid w:val="00DD65A4"/>
    <w:rsid w:val="00DD66E6"/>
    <w:rsid w:val="00DD6AE3"/>
    <w:rsid w:val="00DD6EB7"/>
    <w:rsid w:val="00DD73B1"/>
    <w:rsid w:val="00DD78BB"/>
    <w:rsid w:val="00DD7A65"/>
    <w:rsid w:val="00DD7F0C"/>
    <w:rsid w:val="00DE05D1"/>
    <w:rsid w:val="00DE0607"/>
    <w:rsid w:val="00DE0AF3"/>
    <w:rsid w:val="00DE0DFD"/>
    <w:rsid w:val="00DE10E6"/>
    <w:rsid w:val="00DE1479"/>
    <w:rsid w:val="00DE172F"/>
    <w:rsid w:val="00DE1779"/>
    <w:rsid w:val="00DE17C3"/>
    <w:rsid w:val="00DE1B3D"/>
    <w:rsid w:val="00DE1F5D"/>
    <w:rsid w:val="00DE23F0"/>
    <w:rsid w:val="00DE28D2"/>
    <w:rsid w:val="00DE28F0"/>
    <w:rsid w:val="00DE2C21"/>
    <w:rsid w:val="00DE2CBB"/>
    <w:rsid w:val="00DE327D"/>
    <w:rsid w:val="00DE3297"/>
    <w:rsid w:val="00DE35D4"/>
    <w:rsid w:val="00DE36ED"/>
    <w:rsid w:val="00DE3746"/>
    <w:rsid w:val="00DE3B74"/>
    <w:rsid w:val="00DE3C87"/>
    <w:rsid w:val="00DE4423"/>
    <w:rsid w:val="00DE4773"/>
    <w:rsid w:val="00DE4824"/>
    <w:rsid w:val="00DE4B2D"/>
    <w:rsid w:val="00DE4C21"/>
    <w:rsid w:val="00DE5308"/>
    <w:rsid w:val="00DE5433"/>
    <w:rsid w:val="00DE551D"/>
    <w:rsid w:val="00DE5583"/>
    <w:rsid w:val="00DE58B7"/>
    <w:rsid w:val="00DE5A4A"/>
    <w:rsid w:val="00DE5D13"/>
    <w:rsid w:val="00DE6371"/>
    <w:rsid w:val="00DE64B7"/>
    <w:rsid w:val="00DE6B62"/>
    <w:rsid w:val="00DE6C7F"/>
    <w:rsid w:val="00DE717E"/>
    <w:rsid w:val="00DE7AE9"/>
    <w:rsid w:val="00DF01E2"/>
    <w:rsid w:val="00DF027B"/>
    <w:rsid w:val="00DF0959"/>
    <w:rsid w:val="00DF0C58"/>
    <w:rsid w:val="00DF0CC0"/>
    <w:rsid w:val="00DF0E98"/>
    <w:rsid w:val="00DF11A8"/>
    <w:rsid w:val="00DF1C6D"/>
    <w:rsid w:val="00DF1CA8"/>
    <w:rsid w:val="00DF1E5B"/>
    <w:rsid w:val="00DF1F36"/>
    <w:rsid w:val="00DF2044"/>
    <w:rsid w:val="00DF21DE"/>
    <w:rsid w:val="00DF2582"/>
    <w:rsid w:val="00DF3067"/>
    <w:rsid w:val="00DF32A2"/>
    <w:rsid w:val="00DF403D"/>
    <w:rsid w:val="00DF430C"/>
    <w:rsid w:val="00DF4431"/>
    <w:rsid w:val="00DF4513"/>
    <w:rsid w:val="00DF4AC5"/>
    <w:rsid w:val="00DF4F3B"/>
    <w:rsid w:val="00DF5392"/>
    <w:rsid w:val="00DF5488"/>
    <w:rsid w:val="00DF54DB"/>
    <w:rsid w:val="00DF5AAB"/>
    <w:rsid w:val="00DF5BA3"/>
    <w:rsid w:val="00DF6177"/>
    <w:rsid w:val="00DF63B4"/>
    <w:rsid w:val="00DF6521"/>
    <w:rsid w:val="00DF6BBB"/>
    <w:rsid w:val="00DF6DA7"/>
    <w:rsid w:val="00DF6F1D"/>
    <w:rsid w:val="00DF75EE"/>
    <w:rsid w:val="00DF784D"/>
    <w:rsid w:val="00DF79D8"/>
    <w:rsid w:val="00DF7D0B"/>
    <w:rsid w:val="00DF7EA9"/>
    <w:rsid w:val="00DF7F29"/>
    <w:rsid w:val="00E00AEA"/>
    <w:rsid w:val="00E00B7E"/>
    <w:rsid w:val="00E0110B"/>
    <w:rsid w:val="00E0123C"/>
    <w:rsid w:val="00E01510"/>
    <w:rsid w:val="00E01887"/>
    <w:rsid w:val="00E01DB2"/>
    <w:rsid w:val="00E0210F"/>
    <w:rsid w:val="00E02641"/>
    <w:rsid w:val="00E02672"/>
    <w:rsid w:val="00E027E3"/>
    <w:rsid w:val="00E02F66"/>
    <w:rsid w:val="00E034C4"/>
    <w:rsid w:val="00E0390A"/>
    <w:rsid w:val="00E03D94"/>
    <w:rsid w:val="00E04049"/>
    <w:rsid w:val="00E04182"/>
    <w:rsid w:val="00E043A9"/>
    <w:rsid w:val="00E0442F"/>
    <w:rsid w:val="00E04A15"/>
    <w:rsid w:val="00E04A78"/>
    <w:rsid w:val="00E04B36"/>
    <w:rsid w:val="00E04B7D"/>
    <w:rsid w:val="00E05051"/>
    <w:rsid w:val="00E0505D"/>
    <w:rsid w:val="00E0506F"/>
    <w:rsid w:val="00E052CB"/>
    <w:rsid w:val="00E053C3"/>
    <w:rsid w:val="00E05400"/>
    <w:rsid w:val="00E0578E"/>
    <w:rsid w:val="00E05885"/>
    <w:rsid w:val="00E058CB"/>
    <w:rsid w:val="00E05BF8"/>
    <w:rsid w:val="00E05D33"/>
    <w:rsid w:val="00E05D3C"/>
    <w:rsid w:val="00E05F16"/>
    <w:rsid w:val="00E06315"/>
    <w:rsid w:val="00E0661C"/>
    <w:rsid w:val="00E073D3"/>
    <w:rsid w:val="00E076FC"/>
    <w:rsid w:val="00E078F1"/>
    <w:rsid w:val="00E07BDC"/>
    <w:rsid w:val="00E07CC0"/>
    <w:rsid w:val="00E07EA6"/>
    <w:rsid w:val="00E10045"/>
    <w:rsid w:val="00E10125"/>
    <w:rsid w:val="00E10344"/>
    <w:rsid w:val="00E10ADB"/>
    <w:rsid w:val="00E11069"/>
    <w:rsid w:val="00E1123A"/>
    <w:rsid w:val="00E11260"/>
    <w:rsid w:val="00E115A2"/>
    <w:rsid w:val="00E119F7"/>
    <w:rsid w:val="00E12424"/>
    <w:rsid w:val="00E124C7"/>
    <w:rsid w:val="00E1297B"/>
    <w:rsid w:val="00E12C1C"/>
    <w:rsid w:val="00E12CA9"/>
    <w:rsid w:val="00E13700"/>
    <w:rsid w:val="00E13A3C"/>
    <w:rsid w:val="00E13DB0"/>
    <w:rsid w:val="00E13E49"/>
    <w:rsid w:val="00E1442F"/>
    <w:rsid w:val="00E146A1"/>
    <w:rsid w:val="00E14745"/>
    <w:rsid w:val="00E14C54"/>
    <w:rsid w:val="00E14CEA"/>
    <w:rsid w:val="00E14DAC"/>
    <w:rsid w:val="00E15683"/>
    <w:rsid w:val="00E15779"/>
    <w:rsid w:val="00E15883"/>
    <w:rsid w:val="00E15CC6"/>
    <w:rsid w:val="00E15CDB"/>
    <w:rsid w:val="00E16107"/>
    <w:rsid w:val="00E1620D"/>
    <w:rsid w:val="00E16727"/>
    <w:rsid w:val="00E1691B"/>
    <w:rsid w:val="00E16BBD"/>
    <w:rsid w:val="00E16E49"/>
    <w:rsid w:val="00E1707C"/>
    <w:rsid w:val="00E173A0"/>
    <w:rsid w:val="00E1740F"/>
    <w:rsid w:val="00E17770"/>
    <w:rsid w:val="00E17822"/>
    <w:rsid w:val="00E17AF9"/>
    <w:rsid w:val="00E20126"/>
    <w:rsid w:val="00E20305"/>
    <w:rsid w:val="00E20509"/>
    <w:rsid w:val="00E206F3"/>
    <w:rsid w:val="00E20729"/>
    <w:rsid w:val="00E20790"/>
    <w:rsid w:val="00E20BD3"/>
    <w:rsid w:val="00E20C28"/>
    <w:rsid w:val="00E20E22"/>
    <w:rsid w:val="00E213D4"/>
    <w:rsid w:val="00E21471"/>
    <w:rsid w:val="00E21D94"/>
    <w:rsid w:val="00E21F25"/>
    <w:rsid w:val="00E227EE"/>
    <w:rsid w:val="00E22DCE"/>
    <w:rsid w:val="00E22DE2"/>
    <w:rsid w:val="00E22F70"/>
    <w:rsid w:val="00E23026"/>
    <w:rsid w:val="00E2328B"/>
    <w:rsid w:val="00E23325"/>
    <w:rsid w:val="00E2345A"/>
    <w:rsid w:val="00E236AD"/>
    <w:rsid w:val="00E23B91"/>
    <w:rsid w:val="00E2448A"/>
    <w:rsid w:val="00E244C3"/>
    <w:rsid w:val="00E24891"/>
    <w:rsid w:val="00E24B95"/>
    <w:rsid w:val="00E24E22"/>
    <w:rsid w:val="00E2586D"/>
    <w:rsid w:val="00E258AD"/>
    <w:rsid w:val="00E258BE"/>
    <w:rsid w:val="00E25D06"/>
    <w:rsid w:val="00E25E93"/>
    <w:rsid w:val="00E267B5"/>
    <w:rsid w:val="00E26B09"/>
    <w:rsid w:val="00E26B31"/>
    <w:rsid w:val="00E26C91"/>
    <w:rsid w:val="00E272E6"/>
    <w:rsid w:val="00E27683"/>
    <w:rsid w:val="00E27ABD"/>
    <w:rsid w:val="00E27C49"/>
    <w:rsid w:val="00E27D02"/>
    <w:rsid w:val="00E3071A"/>
    <w:rsid w:val="00E30ADA"/>
    <w:rsid w:val="00E30BC9"/>
    <w:rsid w:val="00E30EF2"/>
    <w:rsid w:val="00E30F5B"/>
    <w:rsid w:val="00E31214"/>
    <w:rsid w:val="00E31232"/>
    <w:rsid w:val="00E312C3"/>
    <w:rsid w:val="00E31386"/>
    <w:rsid w:val="00E313EA"/>
    <w:rsid w:val="00E314BC"/>
    <w:rsid w:val="00E31762"/>
    <w:rsid w:val="00E31946"/>
    <w:rsid w:val="00E31F0B"/>
    <w:rsid w:val="00E320C1"/>
    <w:rsid w:val="00E321BD"/>
    <w:rsid w:val="00E32904"/>
    <w:rsid w:val="00E32A74"/>
    <w:rsid w:val="00E336A3"/>
    <w:rsid w:val="00E338B0"/>
    <w:rsid w:val="00E3390E"/>
    <w:rsid w:val="00E33A12"/>
    <w:rsid w:val="00E33E7E"/>
    <w:rsid w:val="00E33E88"/>
    <w:rsid w:val="00E33F83"/>
    <w:rsid w:val="00E33FBA"/>
    <w:rsid w:val="00E341BD"/>
    <w:rsid w:val="00E342E8"/>
    <w:rsid w:val="00E34597"/>
    <w:rsid w:val="00E34814"/>
    <w:rsid w:val="00E34C99"/>
    <w:rsid w:val="00E34D71"/>
    <w:rsid w:val="00E34E43"/>
    <w:rsid w:val="00E34F5D"/>
    <w:rsid w:val="00E35011"/>
    <w:rsid w:val="00E353F0"/>
    <w:rsid w:val="00E3557C"/>
    <w:rsid w:val="00E35780"/>
    <w:rsid w:val="00E35811"/>
    <w:rsid w:val="00E358EA"/>
    <w:rsid w:val="00E359D4"/>
    <w:rsid w:val="00E36148"/>
    <w:rsid w:val="00E36404"/>
    <w:rsid w:val="00E36643"/>
    <w:rsid w:val="00E36C86"/>
    <w:rsid w:val="00E37B69"/>
    <w:rsid w:val="00E37C6E"/>
    <w:rsid w:val="00E404A6"/>
    <w:rsid w:val="00E4084D"/>
    <w:rsid w:val="00E408CB"/>
    <w:rsid w:val="00E40A2B"/>
    <w:rsid w:val="00E40AC7"/>
    <w:rsid w:val="00E40B15"/>
    <w:rsid w:val="00E40E8A"/>
    <w:rsid w:val="00E4121D"/>
    <w:rsid w:val="00E41349"/>
    <w:rsid w:val="00E4168D"/>
    <w:rsid w:val="00E41711"/>
    <w:rsid w:val="00E41B25"/>
    <w:rsid w:val="00E41C1A"/>
    <w:rsid w:val="00E420A1"/>
    <w:rsid w:val="00E426DE"/>
    <w:rsid w:val="00E42804"/>
    <w:rsid w:val="00E4288E"/>
    <w:rsid w:val="00E42D84"/>
    <w:rsid w:val="00E42E23"/>
    <w:rsid w:val="00E42EFE"/>
    <w:rsid w:val="00E42FA3"/>
    <w:rsid w:val="00E432B8"/>
    <w:rsid w:val="00E4401A"/>
    <w:rsid w:val="00E442E9"/>
    <w:rsid w:val="00E44EE4"/>
    <w:rsid w:val="00E45303"/>
    <w:rsid w:val="00E4570C"/>
    <w:rsid w:val="00E45CCE"/>
    <w:rsid w:val="00E45D8E"/>
    <w:rsid w:val="00E45E8B"/>
    <w:rsid w:val="00E46190"/>
    <w:rsid w:val="00E462C0"/>
    <w:rsid w:val="00E464FD"/>
    <w:rsid w:val="00E465E9"/>
    <w:rsid w:val="00E46720"/>
    <w:rsid w:val="00E46721"/>
    <w:rsid w:val="00E46B6E"/>
    <w:rsid w:val="00E46BD7"/>
    <w:rsid w:val="00E470ED"/>
    <w:rsid w:val="00E476B8"/>
    <w:rsid w:val="00E47D97"/>
    <w:rsid w:val="00E47E9E"/>
    <w:rsid w:val="00E501A0"/>
    <w:rsid w:val="00E50404"/>
    <w:rsid w:val="00E505E0"/>
    <w:rsid w:val="00E505F7"/>
    <w:rsid w:val="00E508BB"/>
    <w:rsid w:val="00E508DF"/>
    <w:rsid w:val="00E513B1"/>
    <w:rsid w:val="00E521ED"/>
    <w:rsid w:val="00E52788"/>
    <w:rsid w:val="00E52838"/>
    <w:rsid w:val="00E52BE7"/>
    <w:rsid w:val="00E52D76"/>
    <w:rsid w:val="00E52E3E"/>
    <w:rsid w:val="00E52ED6"/>
    <w:rsid w:val="00E53431"/>
    <w:rsid w:val="00E534BF"/>
    <w:rsid w:val="00E535F9"/>
    <w:rsid w:val="00E5366B"/>
    <w:rsid w:val="00E537E3"/>
    <w:rsid w:val="00E53914"/>
    <w:rsid w:val="00E53ED8"/>
    <w:rsid w:val="00E53FCC"/>
    <w:rsid w:val="00E5439D"/>
    <w:rsid w:val="00E543BE"/>
    <w:rsid w:val="00E54708"/>
    <w:rsid w:val="00E5473A"/>
    <w:rsid w:val="00E547CB"/>
    <w:rsid w:val="00E54CDC"/>
    <w:rsid w:val="00E54D14"/>
    <w:rsid w:val="00E54E4D"/>
    <w:rsid w:val="00E5522A"/>
    <w:rsid w:val="00E55463"/>
    <w:rsid w:val="00E55AAF"/>
    <w:rsid w:val="00E55CE7"/>
    <w:rsid w:val="00E55FAD"/>
    <w:rsid w:val="00E561B5"/>
    <w:rsid w:val="00E56648"/>
    <w:rsid w:val="00E56FC6"/>
    <w:rsid w:val="00E57812"/>
    <w:rsid w:val="00E600ED"/>
    <w:rsid w:val="00E606F9"/>
    <w:rsid w:val="00E60C36"/>
    <w:rsid w:val="00E611AD"/>
    <w:rsid w:val="00E611C4"/>
    <w:rsid w:val="00E61208"/>
    <w:rsid w:val="00E61253"/>
    <w:rsid w:val="00E61292"/>
    <w:rsid w:val="00E616E4"/>
    <w:rsid w:val="00E6178F"/>
    <w:rsid w:val="00E619B4"/>
    <w:rsid w:val="00E61F6E"/>
    <w:rsid w:val="00E62056"/>
    <w:rsid w:val="00E626BB"/>
    <w:rsid w:val="00E62750"/>
    <w:rsid w:val="00E62856"/>
    <w:rsid w:val="00E629A7"/>
    <w:rsid w:val="00E62B58"/>
    <w:rsid w:val="00E62F3C"/>
    <w:rsid w:val="00E634AE"/>
    <w:rsid w:val="00E63761"/>
    <w:rsid w:val="00E638C4"/>
    <w:rsid w:val="00E63A9E"/>
    <w:rsid w:val="00E63CA6"/>
    <w:rsid w:val="00E63D7A"/>
    <w:rsid w:val="00E63FFE"/>
    <w:rsid w:val="00E64031"/>
    <w:rsid w:val="00E6413E"/>
    <w:rsid w:val="00E64169"/>
    <w:rsid w:val="00E641F2"/>
    <w:rsid w:val="00E6433A"/>
    <w:rsid w:val="00E644DA"/>
    <w:rsid w:val="00E644E8"/>
    <w:rsid w:val="00E6467D"/>
    <w:rsid w:val="00E6470D"/>
    <w:rsid w:val="00E649BF"/>
    <w:rsid w:val="00E64D13"/>
    <w:rsid w:val="00E65031"/>
    <w:rsid w:val="00E65604"/>
    <w:rsid w:val="00E65679"/>
    <w:rsid w:val="00E65918"/>
    <w:rsid w:val="00E659B4"/>
    <w:rsid w:val="00E65A24"/>
    <w:rsid w:val="00E66009"/>
    <w:rsid w:val="00E661E2"/>
    <w:rsid w:val="00E66492"/>
    <w:rsid w:val="00E66729"/>
    <w:rsid w:val="00E6686F"/>
    <w:rsid w:val="00E66BFD"/>
    <w:rsid w:val="00E675DB"/>
    <w:rsid w:val="00E676A2"/>
    <w:rsid w:val="00E67819"/>
    <w:rsid w:val="00E67AEB"/>
    <w:rsid w:val="00E67BDE"/>
    <w:rsid w:val="00E67C42"/>
    <w:rsid w:val="00E67CBC"/>
    <w:rsid w:val="00E67EBA"/>
    <w:rsid w:val="00E7007F"/>
    <w:rsid w:val="00E702BA"/>
    <w:rsid w:val="00E706E3"/>
    <w:rsid w:val="00E709E8"/>
    <w:rsid w:val="00E70AC9"/>
    <w:rsid w:val="00E70C13"/>
    <w:rsid w:val="00E70DD3"/>
    <w:rsid w:val="00E71317"/>
    <w:rsid w:val="00E71792"/>
    <w:rsid w:val="00E71B91"/>
    <w:rsid w:val="00E71C4F"/>
    <w:rsid w:val="00E72067"/>
    <w:rsid w:val="00E723C1"/>
    <w:rsid w:val="00E725EF"/>
    <w:rsid w:val="00E72BBD"/>
    <w:rsid w:val="00E72CB1"/>
    <w:rsid w:val="00E72DFB"/>
    <w:rsid w:val="00E736C7"/>
    <w:rsid w:val="00E73A79"/>
    <w:rsid w:val="00E74223"/>
    <w:rsid w:val="00E7444A"/>
    <w:rsid w:val="00E7473C"/>
    <w:rsid w:val="00E74E6B"/>
    <w:rsid w:val="00E7520C"/>
    <w:rsid w:val="00E757A4"/>
    <w:rsid w:val="00E7599D"/>
    <w:rsid w:val="00E75EAF"/>
    <w:rsid w:val="00E75EF5"/>
    <w:rsid w:val="00E76027"/>
    <w:rsid w:val="00E761DE"/>
    <w:rsid w:val="00E76474"/>
    <w:rsid w:val="00E764D5"/>
    <w:rsid w:val="00E765F9"/>
    <w:rsid w:val="00E7677B"/>
    <w:rsid w:val="00E7679F"/>
    <w:rsid w:val="00E767F9"/>
    <w:rsid w:val="00E76D51"/>
    <w:rsid w:val="00E76F99"/>
    <w:rsid w:val="00E770F3"/>
    <w:rsid w:val="00E77109"/>
    <w:rsid w:val="00E77184"/>
    <w:rsid w:val="00E77446"/>
    <w:rsid w:val="00E7758E"/>
    <w:rsid w:val="00E775F3"/>
    <w:rsid w:val="00E7761D"/>
    <w:rsid w:val="00E77657"/>
    <w:rsid w:val="00E77AC4"/>
    <w:rsid w:val="00E77EA5"/>
    <w:rsid w:val="00E77FD2"/>
    <w:rsid w:val="00E803BB"/>
    <w:rsid w:val="00E80682"/>
    <w:rsid w:val="00E80848"/>
    <w:rsid w:val="00E80AAE"/>
    <w:rsid w:val="00E812BF"/>
    <w:rsid w:val="00E818B3"/>
    <w:rsid w:val="00E81CBB"/>
    <w:rsid w:val="00E81DBC"/>
    <w:rsid w:val="00E81E49"/>
    <w:rsid w:val="00E82355"/>
    <w:rsid w:val="00E825AB"/>
    <w:rsid w:val="00E8277D"/>
    <w:rsid w:val="00E829AB"/>
    <w:rsid w:val="00E82ECE"/>
    <w:rsid w:val="00E82FD9"/>
    <w:rsid w:val="00E83033"/>
    <w:rsid w:val="00E8387E"/>
    <w:rsid w:val="00E83BC1"/>
    <w:rsid w:val="00E83E4E"/>
    <w:rsid w:val="00E83E56"/>
    <w:rsid w:val="00E840BA"/>
    <w:rsid w:val="00E8446B"/>
    <w:rsid w:val="00E8461F"/>
    <w:rsid w:val="00E84791"/>
    <w:rsid w:val="00E848BC"/>
    <w:rsid w:val="00E84CDF"/>
    <w:rsid w:val="00E84D78"/>
    <w:rsid w:val="00E84DAB"/>
    <w:rsid w:val="00E84F3E"/>
    <w:rsid w:val="00E854F3"/>
    <w:rsid w:val="00E858F4"/>
    <w:rsid w:val="00E85B1D"/>
    <w:rsid w:val="00E85C3C"/>
    <w:rsid w:val="00E85C94"/>
    <w:rsid w:val="00E85C99"/>
    <w:rsid w:val="00E85CAD"/>
    <w:rsid w:val="00E85CF4"/>
    <w:rsid w:val="00E8603F"/>
    <w:rsid w:val="00E865F8"/>
    <w:rsid w:val="00E866FA"/>
    <w:rsid w:val="00E86AF3"/>
    <w:rsid w:val="00E86DAA"/>
    <w:rsid w:val="00E87135"/>
    <w:rsid w:val="00E87748"/>
    <w:rsid w:val="00E87BC4"/>
    <w:rsid w:val="00E905C5"/>
    <w:rsid w:val="00E90979"/>
    <w:rsid w:val="00E909C0"/>
    <w:rsid w:val="00E90CAD"/>
    <w:rsid w:val="00E90CE6"/>
    <w:rsid w:val="00E90DF5"/>
    <w:rsid w:val="00E91243"/>
    <w:rsid w:val="00E916E3"/>
    <w:rsid w:val="00E91740"/>
    <w:rsid w:val="00E91D18"/>
    <w:rsid w:val="00E92145"/>
    <w:rsid w:val="00E92804"/>
    <w:rsid w:val="00E930A9"/>
    <w:rsid w:val="00E93248"/>
    <w:rsid w:val="00E93449"/>
    <w:rsid w:val="00E934E8"/>
    <w:rsid w:val="00E93A23"/>
    <w:rsid w:val="00E93D9C"/>
    <w:rsid w:val="00E943F9"/>
    <w:rsid w:val="00E94611"/>
    <w:rsid w:val="00E947E5"/>
    <w:rsid w:val="00E94A5C"/>
    <w:rsid w:val="00E955C6"/>
    <w:rsid w:val="00E95658"/>
    <w:rsid w:val="00E95B07"/>
    <w:rsid w:val="00E95B94"/>
    <w:rsid w:val="00E95C17"/>
    <w:rsid w:val="00E95DD5"/>
    <w:rsid w:val="00E96642"/>
    <w:rsid w:val="00E967FD"/>
    <w:rsid w:val="00E96A43"/>
    <w:rsid w:val="00E96AFF"/>
    <w:rsid w:val="00E96BBC"/>
    <w:rsid w:val="00E9705F"/>
    <w:rsid w:val="00E970B6"/>
    <w:rsid w:val="00E9718C"/>
    <w:rsid w:val="00E97252"/>
    <w:rsid w:val="00E97511"/>
    <w:rsid w:val="00E97648"/>
    <w:rsid w:val="00E97BD5"/>
    <w:rsid w:val="00E97D49"/>
    <w:rsid w:val="00E97DA5"/>
    <w:rsid w:val="00E97ED0"/>
    <w:rsid w:val="00EA03EB"/>
    <w:rsid w:val="00EA0577"/>
    <w:rsid w:val="00EA0802"/>
    <w:rsid w:val="00EA0842"/>
    <w:rsid w:val="00EA0BCD"/>
    <w:rsid w:val="00EA0CE6"/>
    <w:rsid w:val="00EA0DB2"/>
    <w:rsid w:val="00EA0EFE"/>
    <w:rsid w:val="00EA1016"/>
    <w:rsid w:val="00EA1D21"/>
    <w:rsid w:val="00EA2370"/>
    <w:rsid w:val="00EA248B"/>
    <w:rsid w:val="00EA24C4"/>
    <w:rsid w:val="00EA254D"/>
    <w:rsid w:val="00EA26E6"/>
    <w:rsid w:val="00EA326C"/>
    <w:rsid w:val="00EA366C"/>
    <w:rsid w:val="00EA3902"/>
    <w:rsid w:val="00EA4085"/>
    <w:rsid w:val="00EA41CF"/>
    <w:rsid w:val="00EA4389"/>
    <w:rsid w:val="00EA43DF"/>
    <w:rsid w:val="00EA49DF"/>
    <w:rsid w:val="00EA4DAE"/>
    <w:rsid w:val="00EA58A0"/>
    <w:rsid w:val="00EA5B81"/>
    <w:rsid w:val="00EA608E"/>
    <w:rsid w:val="00EA6246"/>
    <w:rsid w:val="00EA69FA"/>
    <w:rsid w:val="00EA6BDF"/>
    <w:rsid w:val="00EA6D4C"/>
    <w:rsid w:val="00EA708F"/>
    <w:rsid w:val="00EA70EE"/>
    <w:rsid w:val="00EA71BA"/>
    <w:rsid w:val="00EA7312"/>
    <w:rsid w:val="00EA74F0"/>
    <w:rsid w:val="00EA7677"/>
    <w:rsid w:val="00EA7768"/>
    <w:rsid w:val="00EA7872"/>
    <w:rsid w:val="00EA7F39"/>
    <w:rsid w:val="00EB02FB"/>
    <w:rsid w:val="00EB039C"/>
    <w:rsid w:val="00EB0495"/>
    <w:rsid w:val="00EB0518"/>
    <w:rsid w:val="00EB0C02"/>
    <w:rsid w:val="00EB106B"/>
    <w:rsid w:val="00EB13F8"/>
    <w:rsid w:val="00EB16CA"/>
    <w:rsid w:val="00EB1DCB"/>
    <w:rsid w:val="00EB230F"/>
    <w:rsid w:val="00EB27BB"/>
    <w:rsid w:val="00EB294A"/>
    <w:rsid w:val="00EB2A29"/>
    <w:rsid w:val="00EB2BFA"/>
    <w:rsid w:val="00EB2C62"/>
    <w:rsid w:val="00EB35CA"/>
    <w:rsid w:val="00EB412A"/>
    <w:rsid w:val="00EB42D3"/>
    <w:rsid w:val="00EB4634"/>
    <w:rsid w:val="00EB48FB"/>
    <w:rsid w:val="00EB52C7"/>
    <w:rsid w:val="00EB5A6F"/>
    <w:rsid w:val="00EB5B9D"/>
    <w:rsid w:val="00EB5DE2"/>
    <w:rsid w:val="00EB5EDA"/>
    <w:rsid w:val="00EB6512"/>
    <w:rsid w:val="00EB6523"/>
    <w:rsid w:val="00EB6703"/>
    <w:rsid w:val="00EB69C5"/>
    <w:rsid w:val="00EB6B61"/>
    <w:rsid w:val="00EB6B6C"/>
    <w:rsid w:val="00EB6E79"/>
    <w:rsid w:val="00EB7377"/>
    <w:rsid w:val="00EB74B3"/>
    <w:rsid w:val="00EB7917"/>
    <w:rsid w:val="00EB7BA8"/>
    <w:rsid w:val="00EB7C6B"/>
    <w:rsid w:val="00EB7DB0"/>
    <w:rsid w:val="00EC04BD"/>
    <w:rsid w:val="00EC0E97"/>
    <w:rsid w:val="00EC0FEA"/>
    <w:rsid w:val="00EC0FF3"/>
    <w:rsid w:val="00EC1196"/>
    <w:rsid w:val="00EC156D"/>
    <w:rsid w:val="00EC1E93"/>
    <w:rsid w:val="00EC232E"/>
    <w:rsid w:val="00EC2646"/>
    <w:rsid w:val="00EC2731"/>
    <w:rsid w:val="00EC2B9B"/>
    <w:rsid w:val="00EC3058"/>
    <w:rsid w:val="00EC327A"/>
    <w:rsid w:val="00EC3886"/>
    <w:rsid w:val="00EC38EC"/>
    <w:rsid w:val="00EC3AE4"/>
    <w:rsid w:val="00EC413D"/>
    <w:rsid w:val="00EC42BE"/>
    <w:rsid w:val="00EC434A"/>
    <w:rsid w:val="00EC4CCF"/>
    <w:rsid w:val="00EC4DCB"/>
    <w:rsid w:val="00EC4FE9"/>
    <w:rsid w:val="00EC5194"/>
    <w:rsid w:val="00EC57F3"/>
    <w:rsid w:val="00EC5C2F"/>
    <w:rsid w:val="00EC5C73"/>
    <w:rsid w:val="00EC5F4C"/>
    <w:rsid w:val="00EC61AC"/>
    <w:rsid w:val="00EC63E7"/>
    <w:rsid w:val="00EC652E"/>
    <w:rsid w:val="00EC6541"/>
    <w:rsid w:val="00EC66D2"/>
    <w:rsid w:val="00EC6861"/>
    <w:rsid w:val="00EC68A1"/>
    <w:rsid w:val="00EC6AAE"/>
    <w:rsid w:val="00EC6DA8"/>
    <w:rsid w:val="00EC6DE2"/>
    <w:rsid w:val="00EC6DEC"/>
    <w:rsid w:val="00EC7107"/>
    <w:rsid w:val="00EC7618"/>
    <w:rsid w:val="00EC77B0"/>
    <w:rsid w:val="00EC7847"/>
    <w:rsid w:val="00EC7C16"/>
    <w:rsid w:val="00EC7FEA"/>
    <w:rsid w:val="00ED0112"/>
    <w:rsid w:val="00ED017A"/>
    <w:rsid w:val="00ED0381"/>
    <w:rsid w:val="00ED06C7"/>
    <w:rsid w:val="00ED0CB3"/>
    <w:rsid w:val="00ED1558"/>
    <w:rsid w:val="00ED1B6F"/>
    <w:rsid w:val="00ED1E6A"/>
    <w:rsid w:val="00ED22B7"/>
    <w:rsid w:val="00ED22F7"/>
    <w:rsid w:val="00ED267E"/>
    <w:rsid w:val="00ED2ABD"/>
    <w:rsid w:val="00ED2AE3"/>
    <w:rsid w:val="00ED2CA4"/>
    <w:rsid w:val="00ED2CC8"/>
    <w:rsid w:val="00ED2FD4"/>
    <w:rsid w:val="00ED3009"/>
    <w:rsid w:val="00ED301E"/>
    <w:rsid w:val="00ED3035"/>
    <w:rsid w:val="00ED3891"/>
    <w:rsid w:val="00ED3C98"/>
    <w:rsid w:val="00ED3D4A"/>
    <w:rsid w:val="00ED3DAC"/>
    <w:rsid w:val="00ED3E33"/>
    <w:rsid w:val="00ED4296"/>
    <w:rsid w:val="00ED43A5"/>
    <w:rsid w:val="00ED43FC"/>
    <w:rsid w:val="00ED442B"/>
    <w:rsid w:val="00ED44BA"/>
    <w:rsid w:val="00ED4749"/>
    <w:rsid w:val="00ED5393"/>
    <w:rsid w:val="00ED5476"/>
    <w:rsid w:val="00ED54E7"/>
    <w:rsid w:val="00ED564D"/>
    <w:rsid w:val="00ED56D8"/>
    <w:rsid w:val="00ED5B49"/>
    <w:rsid w:val="00ED5F2C"/>
    <w:rsid w:val="00ED601A"/>
    <w:rsid w:val="00ED615B"/>
    <w:rsid w:val="00ED616D"/>
    <w:rsid w:val="00ED6265"/>
    <w:rsid w:val="00ED6414"/>
    <w:rsid w:val="00ED6E22"/>
    <w:rsid w:val="00ED6FA2"/>
    <w:rsid w:val="00ED7165"/>
    <w:rsid w:val="00ED729B"/>
    <w:rsid w:val="00ED76E4"/>
    <w:rsid w:val="00ED78E2"/>
    <w:rsid w:val="00ED7B16"/>
    <w:rsid w:val="00ED7E18"/>
    <w:rsid w:val="00ED7F56"/>
    <w:rsid w:val="00EE0757"/>
    <w:rsid w:val="00EE1185"/>
    <w:rsid w:val="00EE180B"/>
    <w:rsid w:val="00EE189B"/>
    <w:rsid w:val="00EE1C9A"/>
    <w:rsid w:val="00EE22C8"/>
    <w:rsid w:val="00EE2C89"/>
    <w:rsid w:val="00EE2E61"/>
    <w:rsid w:val="00EE2F6F"/>
    <w:rsid w:val="00EE30C3"/>
    <w:rsid w:val="00EE3372"/>
    <w:rsid w:val="00EE39E3"/>
    <w:rsid w:val="00EE3ABB"/>
    <w:rsid w:val="00EE3CD2"/>
    <w:rsid w:val="00EE3E21"/>
    <w:rsid w:val="00EE3E85"/>
    <w:rsid w:val="00EE3F9B"/>
    <w:rsid w:val="00EE471A"/>
    <w:rsid w:val="00EE4BDE"/>
    <w:rsid w:val="00EE4F4D"/>
    <w:rsid w:val="00EE4FC5"/>
    <w:rsid w:val="00EE4FEF"/>
    <w:rsid w:val="00EE5001"/>
    <w:rsid w:val="00EE540E"/>
    <w:rsid w:val="00EE5D50"/>
    <w:rsid w:val="00EE5F20"/>
    <w:rsid w:val="00EE5F92"/>
    <w:rsid w:val="00EE5FF9"/>
    <w:rsid w:val="00EE60A9"/>
    <w:rsid w:val="00EE65DC"/>
    <w:rsid w:val="00EE6680"/>
    <w:rsid w:val="00EE6942"/>
    <w:rsid w:val="00EE6DF8"/>
    <w:rsid w:val="00EE6EE8"/>
    <w:rsid w:val="00EE6F41"/>
    <w:rsid w:val="00EE708C"/>
    <w:rsid w:val="00EE7414"/>
    <w:rsid w:val="00EE7EDB"/>
    <w:rsid w:val="00EE7EEC"/>
    <w:rsid w:val="00EE7F06"/>
    <w:rsid w:val="00EF0005"/>
    <w:rsid w:val="00EF053C"/>
    <w:rsid w:val="00EF068C"/>
    <w:rsid w:val="00EF1037"/>
    <w:rsid w:val="00EF1099"/>
    <w:rsid w:val="00EF13A1"/>
    <w:rsid w:val="00EF15B8"/>
    <w:rsid w:val="00EF1741"/>
    <w:rsid w:val="00EF199B"/>
    <w:rsid w:val="00EF1D28"/>
    <w:rsid w:val="00EF1D6E"/>
    <w:rsid w:val="00EF1D9F"/>
    <w:rsid w:val="00EF1F8F"/>
    <w:rsid w:val="00EF2142"/>
    <w:rsid w:val="00EF2460"/>
    <w:rsid w:val="00EF2A40"/>
    <w:rsid w:val="00EF2A9D"/>
    <w:rsid w:val="00EF2D35"/>
    <w:rsid w:val="00EF2F13"/>
    <w:rsid w:val="00EF2F14"/>
    <w:rsid w:val="00EF2FC6"/>
    <w:rsid w:val="00EF316B"/>
    <w:rsid w:val="00EF3449"/>
    <w:rsid w:val="00EF3481"/>
    <w:rsid w:val="00EF3B8B"/>
    <w:rsid w:val="00EF3C98"/>
    <w:rsid w:val="00EF409D"/>
    <w:rsid w:val="00EF416E"/>
    <w:rsid w:val="00EF41ED"/>
    <w:rsid w:val="00EF42C1"/>
    <w:rsid w:val="00EF42FD"/>
    <w:rsid w:val="00EF4441"/>
    <w:rsid w:val="00EF44AF"/>
    <w:rsid w:val="00EF4526"/>
    <w:rsid w:val="00EF46C4"/>
    <w:rsid w:val="00EF48A4"/>
    <w:rsid w:val="00EF49CE"/>
    <w:rsid w:val="00EF4AC4"/>
    <w:rsid w:val="00EF4E55"/>
    <w:rsid w:val="00EF4E79"/>
    <w:rsid w:val="00EF4EAF"/>
    <w:rsid w:val="00EF4F8C"/>
    <w:rsid w:val="00EF515A"/>
    <w:rsid w:val="00EF51B5"/>
    <w:rsid w:val="00EF5574"/>
    <w:rsid w:val="00EF600F"/>
    <w:rsid w:val="00EF6041"/>
    <w:rsid w:val="00EF6085"/>
    <w:rsid w:val="00EF679E"/>
    <w:rsid w:val="00EF6A39"/>
    <w:rsid w:val="00EF6A94"/>
    <w:rsid w:val="00EF6B9B"/>
    <w:rsid w:val="00EF6C6F"/>
    <w:rsid w:val="00EF6CB5"/>
    <w:rsid w:val="00EF7120"/>
    <w:rsid w:val="00EF7688"/>
    <w:rsid w:val="00EF76B2"/>
    <w:rsid w:val="00EF7897"/>
    <w:rsid w:val="00EF7B7C"/>
    <w:rsid w:val="00EF7CC1"/>
    <w:rsid w:val="00F00603"/>
    <w:rsid w:val="00F0074B"/>
    <w:rsid w:val="00F0109A"/>
    <w:rsid w:val="00F0119C"/>
    <w:rsid w:val="00F01335"/>
    <w:rsid w:val="00F01600"/>
    <w:rsid w:val="00F01604"/>
    <w:rsid w:val="00F01730"/>
    <w:rsid w:val="00F01A1C"/>
    <w:rsid w:val="00F01A88"/>
    <w:rsid w:val="00F01DB7"/>
    <w:rsid w:val="00F01E9D"/>
    <w:rsid w:val="00F02033"/>
    <w:rsid w:val="00F02113"/>
    <w:rsid w:val="00F02223"/>
    <w:rsid w:val="00F02378"/>
    <w:rsid w:val="00F02962"/>
    <w:rsid w:val="00F02982"/>
    <w:rsid w:val="00F0328E"/>
    <w:rsid w:val="00F035C9"/>
    <w:rsid w:val="00F03935"/>
    <w:rsid w:val="00F03A2E"/>
    <w:rsid w:val="00F03C78"/>
    <w:rsid w:val="00F042BC"/>
    <w:rsid w:val="00F04377"/>
    <w:rsid w:val="00F0464B"/>
    <w:rsid w:val="00F0484E"/>
    <w:rsid w:val="00F04949"/>
    <w:rsid w:val="00F04D45"/>
    <w:rsid w:val="00F04DE2"/>
    <w:rsid w:val="00F04EE9"/>
    <w:rsid w:val="00F05177"/>
    <w:rsid w:val="00F051C1"/>
    <w:rsid w:val="00F054AF"/>
    <w:rsid w:val="00F05947"/>
    <w:rsid w:val="00F05BAF"/>
    <w:rsid w:val="00F05EC3"/>
    <w:rsid w:val="00F06385"/>
    <w:rsid w:val="00F063A4"/>
    <w:rsid w:val="00F066F8"/>
    <w:rsid w:val="00F06796"/>
    <w:rsid w:val="00F06EDF"/>
    <w:rsid w:val="00F07046"/>
    <w:rsid w:val="00F073DB"/>
    <w:rsid w:val="00F075E8"/>
    <w:rsid w:val="00F10011"/>
    <w:rsid w:val="00F1013A"/>
    <w:rsid w:val="00F10145"/>
    <w:rsid w:val="00F102FE"/>
    <w:rsid w:val="00F10330"/>
    <w:rsid w:val="00F11832"/>
    <w:rsid w:val="00F11D58"/>
    <w:rsid w:val="00F11FB9"/>
    <w:rsid w:val="00F12350"/>
    <w:rsid w:val="00F126AF"/>
    <w:rsid w:val="00F1275D"/>
    <w:rsid w:val="00F12CD7"/>
    <w:rsid w:val="00F12DF1"/>
    <w:rsid w:val="00F13097"/>
    <w:rsid w:val="00F13222"/>
    <w:rsid w:val="00F1333C"/>
    <w:rsid w:val="00F13A17"/>
    <w:rsid w:val="00F14842"/>
    <w:rsid w:val="00F149BE"/>
    <w:rsid w:val="00F14D50"/>
    <w:rsid w:val="00F14E7F"/>
    <w:rsid w:val="00F15789"/>
    <w:rsid w:val="00F1582A"/>
    <w:rsid w:val="00F15A3F"/>
    <w:rsid w:val="00F15F53"/>
    <w:rsid w:val="00F15FD2"/>
    <w:rsid w:val="00F1624D"/>
    <w:rsid w:val="00F1635C"/>
    <w:rsid w:val="00F169A1"/>
    <w:rsid w:val="00F169C6"/>
    <w:rsid w:val="00F16BB7"/>
    <w:rsid w:val="00F17609"/>
    <w:rsid w:val="00F17C9D"/>
    <w:rsid w:val="00F17CEE"/>
    <w:rsid w:val="00F17F8A"/>
    <w:rsid w:val="00F20172"/>
    <w:rsid w:val="00F2028D"/>
    <w:rsid w:val="00F20365"/>
    <w:rsid w:val="00F20BA3"/>
    <w:rsid w:val="00F20DD9"/>
    <w:rsid w:val="00F20FA0"/>
    <w:rsid w:val="00F21130"/>
    <w:rsid w:val="00F2133D"/>
    <w:rsid w:val="00F2156F"/>
    <w:rsid w:val="00F215B5"/>
    <w:rsid w:val="00F215C0"/>
    <w:rsid w:val="00F21D73"/>
    <w:rsid w:val="00F22341"/>
    <w:rsid w:val="00F22440"/>
    <w:rsid w:val="00F22625"/>
    <w:rsid w:val="00F227BD"/>
    <w:rsid w:val="00F229C6"/>
    <w:rsid w:val="00F2330B"/>
    <w:rsid w:val="00F237B8"/>
    <w:rsid w:val="00F23BF5"/>
    <w:rsid w:val="00F23C38"/>
    <w:rsid w:val="00F23EFD"/>
    <w:rsid w:val="00F24278"/>
    <w:rsid w:val="00F244C2"/>
    <w:rsid w:val="00F2464D"/>
    <w:rsid w:val="00F24948"/>
    <w:rsid w:val="00F24D9E"/>
    <w:rsid w:val="00F251E8"/>
    <w:rsid w:val="00F25431"/>
    <w:rsid w:val="00F259C3"/>
    <w:rsid w:val="00F25C95"/>
    <w:rsid w:val="00F25EC5"/>
    <w:rsid w:val="00F25F68"/>
    <w:rsid w:val="00F26099"/>
    <w:rsid w:val="00F2626B"/>
    <w:rsid w:val="00F263CF"/>
    <w:rsid w:val="00F26F72"/>
    <w:rsid w:val="00F26FB8"/>
    <w:rsid w:val="00F271E7"/>
    <w:rsid w:val="00F2740F"/>
    <w:rsid w:val="00F27577"/>
    <w:rsid w:val="00F2770F"/>
    <w:rsid w:val="00F27B9E"/>
    <w:rsid w:val="00F30712"/>
    <w:rsid w:val="00F30847"/>
    <w:rsid w:val="00F30CA8"/>
    <w:rsid w:val="00F31161"/>
    <w:rsid w:val="00F31306"/>
    <w:rsid w:val="00F31543"/>
    <w:rsid w:val="00F3178D"/>
    <w:rsid w:val="00F31835"/>
    <w:rsid w:val="00F31B77"/>
    <w:rsid w:val="00F31B84"/>
    <w:rsid w:val="00F31BFD"/>
    <w:rsid w:val="00F32171"/>
    <w:rsid w:val="00F327F6"/>
    <w:rsid w:val="00F32B57"/>
    <w:rsid w:val="00F32D6E"/>
    <w:rsid w:val="00F33339"/>
    <w:rsid w:val="00F33878"/>
    <w:rsid w:val="00F33DB7"/>
    <w:rsid w:val="00F341AC"/>
    <w:rsid w:val="00F342CB"/>
    <w:rsid w:val="00F347E4"/>
    <w:rsid w:val="00F34C8D"/>
    <w:rsid w:val="00F34F00"/>
    <w:rsid w:val="00F351AA"/>
    <w:rsid w:val="00F355C2"/>
    <w:rsid w:val="00F35F67"/>
    <w:rsid w:val="00F36015"/>
    <w:rsid w:val="00F361F4"/>
    <w:rsid w:val="00F36227"/>
    <w:rsid w:val="00F36255"/>
    <w:rsid w:val="00F3626F"/>
    <w:rsid w:val="00F364CB"/>
    <w:rsid w:val="00F36B64"/>
    <w:rsid w:val="00F36BEF"/>
    <w:rsid w:val="00F36E80"/>
    <w:rsid w:val="00F370DF"/>
    <w:rsid w:val="00F40A55"/>
    <w:rsid w:val="00F40CED"/>
    <w:rsid w:val="00F40D7E"/>
    <w:rsid w:val="00F40E34"/>
    <w:rsid w:val="00F411EB"/>
    <w:rsid w:val="00F41257"/>
    <w:rsid w:val="00F4155B"/>
    <w:rsid w:val="00F41576"/>
    <w:rsid w:val="00F41809"/>
    <w:rsid w:val="00F41B67"/>
    <w:rsid w:val="00F41C03"/>
    <w:rsid w:val="00F420C8"/>
    <w:rsid w:val="00F4246C"/>
    <w:rsid w:val="00F42998"/>
    <w:rsid w:val="00F42AE6"/>
    <w:rsid w:val="00F42CB9"/>
    <w:rsid w:val="00F42F53"/>
    <w:rsid w:val="00F43160"/>
    <w:rsid w:val="00F4366B"/>
    <w:rsid w:val="00F43D73"/>
    <w:rsid w:val="00F44033"/>
    <w:rsid w:val="00F44306"/>
    <w:rsid w:val="00F44D20"/>
    <w:rsid w:val="00F45126"/>
    <w:rsid w:val="00F4520B"/>
    <w:rsid w:val="00F457B1"/>
    <w:rsid w:val="00F45806"/>
    <w:rsid w:val="00F459F0"/>
    <w:rsid w:val="00F45DAF"/>
    <w:rsid w:val="00F45F06"/>
    <w:rsid w:val="00F46042"/>
    <w:rsid w:val="00F46103"/>
    <w:rsid w:val="00F4689C"/>
    <w:rsid w:val="00F468A0"/>
    <w:rsid w:val="00F46D0A"/>
    <w:rsid w:val="00F46E13"/>
    <w:rsid w:val="00F47408"/>
    <w:rsid w:val="00F47959"/>
    <w:rsid w:val="00F47E50"/>
    <w:rsid w:val="00F500AC"/>
    <w:rsid w:val="00F50257"/>
    <w:rsid w:val="00F502A7"/>
    <w:rsid w:val="00F5096E"/>
    <w:rsid w:val="00F50E38"/>
    <w:rsid w:val="00F50FC3"/>
    <w:rsid w:val="00F51421"/>
    <w:rsid w:val="00F51662"/>
    <w:rsid w:val="00F51709"/>
    <w:rsid w:val="00F51871"/>
    <w:rsid w:val="00F51948"/>
    <w:rsid w:val="00F5194B"/>
    <w:rsid w:val="00F51EC2"/>
    <w:rsid w:val="00F52100"/>
    <w:rsid w:val="00F529DB"/>
    <w:rsid w:val="00F5311A"/>
    <w:rsid w:val="00F53324"/>
    <w:rsid w:val="00F5342A"/>
    <w:rsid w:val="00F536B1"/>
    <w:rsid w:val="00F53A9F"/>
    <w:rsid w:val="00F53B3B"/>
    <w:rsid w:val="00F53F06"/>
    <w:rsid w:val="00F542AC"/>
    <w:rsid w:val="00F54355"/>
    <w:rsid w:val="00F54553"/>
    <w:rsid w:val="00F546FD"/>
    <w:rsid w:val="00F549B7"/>
    <w:rsid w:val="00F54D75"/>
    <w:rsid w:val="00F558DF"/>
    <w:rsid w:val="00F55AB8"/>
    <w:rsid w:val="00F55DDC"/>
    <w:rsid w:val="00F55E9E"/>
    <w:rsid w:val="00F5605B"/>
    <w:rsid w:val="00F56061"/>
    <w:rsid w:val="00F5606B"/>
    <w:rsid w:val="00F5627F"/>
    <w:rsid w:val="00F56310"/>
    <w:rsid w:val="00F56438"/>
    <w:rsid w:val="00F5679F"/>
    <w:rsid w:val="00F568EB"/>
    <w:rsid w:val="00F5693F"/>
    <w:rsid w:val="00F56BBE"/>
    <w:rsid w:val="00F57536"/>
    <w:rsid w:val="00F5779A"/>
    <w:rsid w:val="00F57C99"/>
    <w:rsid w:val="00F57D1D"/>
    <w:rsid w:val="00F57FCA"/>
    <w:rsid w:val="00F60450"/>
    <w:rsid w:val="00F60632"/>
    <w:rsid w:val="00F60895"/>
    <w:rsid w:val="00F6092C"/>
    <w:rsid w:val="00F60972"/>
    <w:rsid w:val="00F609B2"/>
    <w:rsid w:val="00F61137"/>
    <w:rsid w:val="00F61434"/>
    <w:rsid w:val="00F6302F"/>
    <w:rsid w:val="00F63080"/>
    <w:rsid w:val="00F630E5"/>
    <w:rsid w:val="00F63BBD"/>
    <w:rsid w:val="00F63C16"/>
    <w:rsid w:val="00F63D00"/>
    <w:rsid w:val="00F63DEE"/>
    <w:rsid w:val="00F63EE8"/>
    <w:rsid w:val="00F641A3"/>
    <w:rsid w:val="00F64405"/>
    <w:rsid w:val="00F64410"/>
    <w:rsid w:val="00F6446E"/>
    <w:rsid w:val="00F6450D"/>
    <w:rsid w:val="00F6496A"/>
    <w:rsid w:val="00F64A7D"/>
    <w:rsid w:val="00F64AC7"/>
    <w:rsid w:val="00F64AD8"/>
    <w:rsid w:val="00F64F42"/>
    <w:rsid w:val="00F65157"/>
    <w:rsid w:val="00F65454"/>
    <w:rsid w:val="00F6587F"/>
    <w:rsid w:val="00F65A05"/>
    <w:rsid w:val="00F65A26"/>
    <w:rsid w:val="00F65B7C"/>
    <w:rsid w:val="00F65CC9"/>
    <w:rsid w:val="00F66661"/>
    <w:rsid w:val="00F6666D"/>
    <w:rsid w:val="00F6669A"/>
    <w:rsid w:val="00F666C3"/>
    <w:rsid w:val="00F6677F"/>
    <w:rsid w:val="00F66783"/>
    <w:rsid w:val="00F6680F"/>
    <w:rsid w:val="00F66B1D"/>
    <w:rsid w:val="00F67114"/>
    <w:rsid w:val="00F6724C"/>
    <w:rsid w:val="00F672B7"/>
    <w:rsid w:val="00F6764A"/>
    <w:rsid w:val="00F6775C"/>
    <w:rsid w:val="00F67F5E"/>
    <w:rsid w:val="00F7043E"/>
    <w:rsid w:val="00F70547"/>
    <w:rsid w:val="00F705A2"/>
    <w:rsid w:val="00F70D81"/>
    <w:rsid w:val="00F70EE4"/>
    <w:rsid w:val="00F7107C"/>
    <w:rsid w:val="00F7110E"/>
    <w:rsid w:val="00F712DC"/>
    <w:rsid w:val="00F71F1A"/>
    <w:rsid w:val="00F71F25"/>
    <w:rsid w:val="00F7223A"/>
    <w:rsid w:val="00F72CF7"/>
    <w:rsid w:val="00F72CFA"/>
    <w:rsid w:val="00F736E0"/>
    <w:rsid w:val="00F73767"/>
    <w:rsid w:val="00F739E1"/>
    <w:rsid w:val="00F73AD1"/>
    <w:rsid w:val="00F73DCC"/>
    <w:rsid w:val="00F740BB"/>
    <w:rsid w:val="00F7420A"/>
    <w:rsid w:val="00F74279"/>
    <w:rsid w:val="00F743D5"/>
    <w:rsid w:val="00F74506"/>
    <w:rsid w:val="00F7484E"/>
    <w:rsid w:val="00F7489A"/>
    <w:rsid w:val="00F749A4"/>
    <w:rsid w:val="00F74E2F"/>
    <w:rsid w:val="00F75028"/>
    <w:rsid w:val="00F7502F"/>
    <w:rsid w:val="00F754BB"/>
    <w:rsid w:val="00F75899"/>
    <w:rsid w:val="00F75BFA"/>
    <w:rsid w:val="00F75C89"/>
    <w:rsid w:val="00F75F47"/>
    <w:rsid w:val="00F75FAE"/>
    <w:rsid w:val="00F7601C"/>
    <w:rsid w:val="00F7667F"/>
    <w:rsid w:val="00F7672B"/>
    <w:rsid w:val="00F76F24"/>
    <w:rsid w:val="00F77118"/>
    <w:rsid w:val="00F771B2"/>
    <w:rsid w:val="00F77249"/>
    <w:rsid w:val="00F77823"/>
    <w:rsid w:val="00F77A94"/>
    <w:rsid w:val="00F77DB0"/>
    <w:rsid w:val="00F800B8"/>
    <w:rsid w:val="00F80C24"/>
    <w:rsid w:val="00F80D2C"/>
    <w:rsid w:val="00F80E33"/>
    <w:rsid w:val="00F80F3F"/>
    <w:rsid w:val="00F80FDC"/>
    <w:rsid w:val="00F81092"/>
    <w:rsid w:val="00F81175"/>
    <w:rsid w:val="00F813D9"/>
    <w:rsid w:val="00F8147C"/>
    <w:rsid w:val="00F81768"/>
    <w:rsid w:val="00F81864"/>
    <w:rsid w:val="00F81C38"/>
    <w:rsid w:val="00F81E2F"/>
    <w:rsid w:val="00F820AE"/>
    <w:rsid w:val="00F8229B"/>
    <w:rsid w:val="00F826AA"/>
    <w:rsid w:val="00F826D8"/>
    <w:rsid w:val="00F829E8"/>
    <w:rsid w:val="00F82D3B"/>
    <w:rsid w:val="00F82DD9"/>
    <w:rsid w:val="00F82F02"/>
    <w:rsid w:val="00F83118"/>
    <w:rsid w:val="00F831B2"/>
    <w:rsid w:val="00F838DB"/>
    <w:rsid w:val="00F83BCF"/>
    <w:rsid w:val="00F83C08"/>
    <w:rsid w:val="00F83DD7"/>
    <w:rsid w:val="00F840D8"/>
    <w:rsid w:val="00F84588"/>
    <w:rsid w:val="00F846B3"/>
    <w:rsid w:val="00F8505E"/>
    <w:rsid w:val="00F8511F"/>
    <w:rsid w:val="00F8527C"/>
    <w:rsid w:val="00F85558"/>
    <w:rsid w:val="00F85603"/>
    <w:rsid w:val="00F85B1E"/>
    <w:rsid w:val="00F85D04"/>
    <w:rsid w:val="00F86188"/>
    <w:rsid w:val="00F86343"/>
    <w:rsid w:val="00F865DE"/>
    <w:rsid w:val="00F8669B"/>
    <w:rsid w:val="00F867D4"/>
    <w:rsid w:val="00F86C81"/>
    <w:rsid w:val="00F86F64"/>
    <w:rsid w:val="00F874E2"/>
    <w:rsid w:val="00F87703"/>
    <w:rsid w:val="00F87928"/>
    <w:rsid w:val="00F87955"/>
    <w:rsid w:val="00F879AE"/>
    <w:rsid w:val="00F87E89"/>
    <w:rsid w:val="00F87FCA"/>
    <w:rsid w:val="00F900D3"/>
    <w:rsid w:val="00F900E8"/>
    <w:rsid w:val="00F9020F"/>
    <w:rsid w:val="00F9060E"/>
    <w:rsid w:val="00F90E40"/>
    <w:rsid w:val="00F91628"/>
    <w:rsid w:val="00F91B57"/>
    <w:rsid w:val="00F92096"/>
    <w:rsid w:val="00F920A3"/>
    <w:rsid w:val="00F922A5"/>
    <w:rsid w:val="00F92390"/>
    <w:rsid w:val="00F926BE"/>
    <w:rsid w:val="00F927CE"/>
    <w:rsid w:val="00F9319A"/>
    <w:rsid w:val="00F931C2"/>
    <w:rsid w:val="00F9328C"/>
    <w:rsid w:val="00F9358D"/>
    <w:rsid w:val="00F93593"/>
    <w:rsid w:val="00F936A4"/>
    <w:rsid w:val="00F93B4F"/>
    <w:rsid w:val="00F93BEF"/>
    <w:rsid w:val="00F941C3"/>
    <w:rsid w:val="00F945A1"/>
    <w:rsid w:val="00F94A2E"/>
    <w:rsid w:val="00F94A6D"/>
    <w:rsid w:val="00F94C8B"/>
    <w:rsid w:val="00F95366"/>
    <w:rsid w:val="00F95495"/>
    <w:rsid w:val="00F957B2"/>
    <w:rsid w:val="00F9589D"/>
    <w:rsid w:val="00F95AB5"/>
    <w:rsid w:val="00F95C5C"/>
    <w:rsid w:val="00F960C1"/>
    <w:rsid w:val="00F9627F"/>
    <w:rsid w:val="00F96430"/>
    <w:rsid w:val="00F96722"/>
    <w:rsid w:val="00F968EA"/>
    <w:rsid w:val="00F973A5"/>
    <w:rsid w:val="00F9759C"/>
    <w:rsid w:val="00F976EF"/>
    <w:rsid w:val="00F97BC2"/>
    <w:rsid w:val="00F97D03"/>
    <w:rsid w:val="00FA015D"/>
    <w:rsid w:val="00FA0210"/>
    <w:rsid w:val="00FA02BA"/>
    <w:rsid w:val="00FA044C"/>
    <w:rsid w:val="00FA0631"/>
    <w:rsid w:val="00FA0EBB"/>
    <w:rsid w:val="00FA0EF5"/>
    <w:rsid w:val="00FA0F80"/>
    <w:rsid w:val="00FA1077"/>
    <w:rsid w:val="00FA1081"/>
    <w:rsid w:val="00FA10AB"/>
    <w:rsid w:val="00FA14B7"/>
    <w:rsid w:val="00FA16CE"/>
    <w:rsid w:val="00FA1BC1"/>
    <w:rsid w:val="00FA1E53"/>
    <w:rsid w:val="00FA2494"/>
    <w:rsid w:val="00FA26F3"/>
    <w:rsid w:val="00FA2AF4"/>
    <w:rsid w:val="00FA2D8C"/>
    <w:rsid w:val="00FA305B"/>
    <w:rsid w:val="00FA3705"/>
    <w:rsid w:val="00FA390B"/>
    <w:rsid w:val="00FA3CE1"/>
    <w:rsid w:val="00FA42E9"/>
    <w:rsid w:val="00FA49AC"/>
    <w:rsid w:val="00FA4A08"/>
    <w:rsid w:val="00FA4B0E"/>
    <w:rsid w:val="00FA4C85"/>
    <w:rsid w:val="00FA5098"/>
    <w:rsid w:val="00FA5837"/>
    <w:rsid w:val="00FA5C20"/>
    <w:rsid w:val="00FA5D32"/>
    <w:rsid w:val="00FA61CE"/>
    <w:rsid w:val="00FA655F"/>
    <w:rsid w:val="00FA65E8"/>
    <w:rsid w:val="00FA685B"/>
    <w:rsid w:val="00FA6AF3"/>
    <w:rsid w:val="00FA6CCC"/>
    <w:rsid w:val="00FA6F04"/>
    <w:rsid w:val="00FA6F64"/>
    <w:rsid w:val="00FA7608"/>
    <w:rsid w:val="00FA78EB"/>
    <w:rsid w:val="00FB01F1"/>
    <w:rsid w:val="00FB0BD6"/>
    <w:rsid w:val="00FB0C26"/>
    <w:rsid w:val="00FB0F37"/>
    <w:rsid w:val="00FB0FD6"/>
    <w:rsid w:val="00FB158A"/>
    <w:rsid w:val="00FB1CFE"/>
    <w:rsid w:val="00FB1F12"/>
    <w:rsid w:val="00FB1F57"/>
    <w:rsid w:val="00FB1FE3"/>
    <w:rsid w:val="00FB220B"/>
    <w:rsid w:val="00FB224D"/>
    <w:rsid w:val="00FB23AA"/>
    <w:rsid w:val="00FB246B"/>
    <w:rsid w:val="00FB27BA"/>
    <w:rsid w:val="00FB2D22"/>
    <w:rsid w:val="00FB2EAA"/>
    <w:rsid w:val="00FB2F4B"/>
    <w:rsid w:val="00FB3322"/>
    <w:rsid w:val="00FB3450"/>
    <w:rsid w:val="00FB3B7C"/>
    <w:rsid w:val="00FB409C"/>
    <w:rsid w:val="00FB4895"/>
    <w:rsid w:val="00FB4924"/>
    <w:rsid w:val="00FB49DA"/>
    <w:rsid w:val="00FB4DED"/>
    <w:rsid w:val="00FB540E"/>
    <w:rsid w:val="00FB5ACF"/>
    <w:rsid w:val="00FB5AED"/>
    <w:rsid w:val="00FB5CFB"/>
    <w:rsid w:val="00FB5F1D"/>
    <w:rsid w:val="00FB616C"/>
    <w:rsid w:val="00FB6235"/>
    <w:rsid w:val="00FB660F"/>
    <w:rsid w:val="00FB677A"/>
    <w:rsid w:val="00FB6B94"/>
    <w:rsid w:val="00FB6D64"/>
    <w:rsid w:val="00FB70D3"/>
    <w:rsid w:val="00FB73A3"/>
    <w:rsid w:val="00FB74A8"/>
    <w:rsid w:val="00FB762F"/>
    <w:rsid w:val="00FB79BB"/>
    <w:rsid w:val="00FB7B40"/>
    <w:rsid w:val="00FB7BCE"/>
    <w:rsid w:val="00FC0018"/>
    <w:rsid w:val="00FC025D"/>
    <w:rsid w:val="00FC03BD"/>
    <w:rsid w:val="00FC0905"/>
    <w:rsid w:val="00FC0A8B"/>
    <w:rsid w:val="00FC0BC5"/>
    <w:rsid w:val="00FC0FEF"/>
    <w:rsid w:val="00FC120B"/>
    <w:rsid w:val="00FC13B0"/>
    <w:rsid w:val="00FC1A23"/>
    <w:rsid w:val="00FC1BBE"/>
    <w:rsid w:val="00FC1D32"/>
    <w:rsid w:val="00FC2082"/>
    <w:rsid w:val="00FC2218"/>
    <w:rsid w:val="00FC2818"/>
    <w:rsid w:val="00FC292D"/>
    <w:rsid w:val="00FC2BF6"/>
    <w:rsid w:val="00FC2D27"/>
    <w:rsid w:val="00FC2D9A"/>
    <w:rsid w:val="00FC34BC"/>
    <w:rsid w:val="00FC3805"/>
    <w:rsid w:val="00FC396F"/>
    <w:rsid w:val="00FC3C02"/>
    <w:rsid w:val="00FC3D89"/>
    <w:rsid w:val="00FC4201"/>
    <w:rsid w:val="00FC437C"/>
    <w:rsid w:val="00FC46CF"/>
    <w:rsid w:val="00FC48C6"/>
    <w:rsid w:val="00FC4A36"/>
    <w:rsid w:val="00FC50F1"/>
    <w:rsid w:val="00FC5BB1"/>
    <w:rsid w:val="00FC5DA2"/>
    <w:rsid w:val="00FC6074"/>
    <w:rsid w:val="00FC6101"/>
    <w:rsid w:val="00FC61F3"/>
    <w:rsid w:val="00FC6663"/>
    <w:rsid w:val="00FC676D"/>
    <w:rsid w:val="00FC67DF"/>
    <w:rsid w:val="00FC68BB"/>
    <w:rsid w:val="00FC6C6E"/>
    <w:rsid w:val="00FC6E36"/>
    <w:rsid w:val="00FC6F52"/>
    <w:rsid w:val="00FC7123"/>
    <w:rsid w:val="00FC76C1"/>
    <w:rsid w:val="00FC7957"/>
    <w:rsid w:val="00FC79BD"/>
    <w:rsid w:val="00FC7BFF"/>
    <w:rsid w:val="00FC7DFB"/>
    <w:rsid w:val="00FC7F19"/>
    <w:rsid w:val="00FD0320"/>
    <w:rsid w:val="00FD05C5"/>
    <w:rsid w:val="00FD0647"/>
    <w:rsid w:val="00FD0A95"/>
    <w:rsid w:val="00FD0B6D"/>
    <w:rsid w:val="00FD0BFE"/>
    <w:rsid w:val="00FD0D44"/>
    <w:rsid w:val="00FD0FE3"/>
    <w:rsid w:val="00FD1148"/>
    <w:rsid w:val="00FD142E"/>
    <w:rsid w:val="00FD1A24"/>
    <w:rsid w:val="00FD1B51"/>
    <w:rsid w:val="00FD1BE9"/>
    <w:rsid w:val="00FD1E5C"/>
    <w:rsid w:val="00FD2489"/>
    <w:rsid w:val="00FD2C26"/>
    <w:rsid w:val="00FD32D0"/>
    <w:rsid w:val="00FD39E1"/>
    <w:rsid w:val="00FD3AA5"/>
    <w:rsid w:val="00FD4261"/>
    <w:rsid w:val="00FD48BB"/>
    <w:rsid w:val="00FD491D"/>
    <w:rsid w:val="00FD496C"/>
    <w:rsid w:val="00FD4E69"/>
    <w:rsid w:val="00FD5673"/>
    <w:rsid w:val="00FD5950"/>
    <w:rsid w:val="00FD5E82"/>
    <w:rsid w:val="00FD6009"/>
    <w:rsid w:val="00FD6CB1"/>
    <w:rsid w:val="00FD6E09"/>
    <w:rsid w:val="00FD6EE6"/>
    <w:rsid w:val="00FD705F"/>
    <w:rsid w:val="00FD760A"/>
    <w:rsid w:val="00FD774B"/>
    <w:rsid w:val="00FD794C"/>
    <w:rsid w:val="00FE004A"/>
    <w:rsid w:val="00FE07FB"/>
    <w:rsid w:val="00FE0A4C"/>
    <w:rsid w:val="00FE0C2D"/>
    <w:rsid w:val="00FE146C"/>
    <w:rsid w:val="00FE1894"/>
    <w:rsid w:val="00FE24D6"/>
    <w:rsid w:val="00FE287E"/>
    <w:rsid w:val="00FE3045"/>
    <w:rsid w:val="00FE3BE3"/>
    <w:rsid w:val="00FE42FE"/>
    <w:rsid w:val="00FE441F"/>
    <w:rsid w:val="00FE491D"/>
    <w:rsid w:val="00FE49EB"/>
    <w:rsid w:val="00FE4AA9"/>
    <w:rsid w:val="00FE4C49"/>
    <w:rsid w:val="00FE531A"/>
    <w:rsid w:val="00FE555E"/>
    <w:rsid w:val="00FE556C"/>
    <w:rsid w:val="00FE566F"/>
    <w:rsid w:val="00FE5673"/>
    <w:rsid w:val="00FE5F23"/>
    <w:rsid w:val="00FE69DD"/>
    <w:rsid w:val="00FE6C00"/>
    <w:rsid w:val="00FE7026"/>
    <w:rsid w:val="00FE7CB3"/>
    <w:rsid w:val="00FE7E73"/>
    <w:rsid w:val="00FF02A2"/>
    <w:rsid w:val="00FF036B"/>
    <w:rsid w:val="00FF0A9A"/>
    <w:rsid w:val="00FF0F2A"/>
    <w:rsid w:val="00FF19FC"/>
    <w:rsid w:val="00FF1A45"/>
    <w:rsid w:val="00FF20E6"/>
    <w:rsid w:val="00FF24FE"/>
    <w:rsid w:val="00FF2561"/>
    <w:rsid w:val="00FF26A9"/>
    <w:rsid w:val="00FF2774"/>
    <w:rsid w:val="00FF2901"/>
    <w:rsid w:val="00FF2D0C"/>
    <w:rsid w:val="00FF2D9F"/>
    <w:rsid w:val="00FF2DC2"/>
    <w:rsid w:val="00FF2FEF"/>
    <w:rsid w:val="00FF3326"/>
    <w:rsid w:val="00FF33C1"/>
    <w:rsid w:val="00FF346D"/>
    <w:rsid w:val="00FF3518"/>
    <w:rsid w:val="00FF3579"/>
    <w:rsid w:val="00FF367D"/>
    <w:rsid w:val="00FF3E8C"/>
    <w:rsid w:val="00FF407B"/>
    <w:rsid w:val="00FF44C5"/>
    <w:rsid w:val="00FF47D4"/>
    <w:rsid w:val="00FF4927"/>
    <w:rsid w:val="00FF4F58"/>
    <w:rsid w:val="00FF5231"/>
    <w:rsid w:val="00FF533E"/>
    <w:rsid w:val="00FF53FE"/>
    <w:rsid w:val="00FF54C3"/>
    <w:rsid w:val="00FF5B9E"/>
    <w:rsid w:val="00FF60C6"/>
    <w:rsid w:val="00FF627C"/>
    <w:rsid w:val="00FF6343"/>
    <w:rsid w:val="00FF655D"/>
    <w:rsid w:val="00FF69B7"/>
    <w:rsid w:val="00FF6F12"/>
    <w:rsid w:val="00FF6F71"/>
    <w:rsid w:val="00FF73C1"/>
    <w:rsid w:val="00FF758C"/>
    <w:rsid w:val="00FF7757"/>
    <w:rsid w:val="00FF7871"/>
    <w:rsid w:val="00FF7998"/>
    <w:rsid w:val="00FF7A4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91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qFormat="1"/>
    <w:lsdException w:name="caption" w:uiPriority="0" w:qFormat="1"/>
    <w:lsdException w:name="footnote reference" w:qFormat="1"/>
    <w:lsdException w:name="annotation reference" w:uiPriority="0"/>
    <w:lsdException w:name="page number" w:uiPriority="0"/>
    <w:lsdException w:name="endnote text" w:uiPriority="0"/>
    <w:lsdException w:name="macro" w:uiPriority="0"/>
    <w:lsdException w:name="List"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9"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34"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23"/>
    <w:pPr>
      <w:spacing w:after="0" w:line="240" w:lineRule="auto"/>
    </w:pPr>
    <w:rPr>
      <w:rFonts w:ascii="Times New Roman" w:hAnsi="Times New Roman" w:cs="Times New Roman"/>
      <w:sz w:val="24"/>
      <w:szCs w:val="24"/>
      <w:lang w:eastAsia="fr-FR"/>
    </w:rPr>
  </w:style>
  <w:style w:type="paragraph" w:styleId="Cabealho1">
    <w:name w:val="heading 1"/>
    <w:aliases w:val=" Main Heading,Main Heading,TCI 1.  Heading,Main Heading 1,Heading 11,Heading 11 Car,Titre 11,An_Über 1,TITRE 1 + Droite :  8,5 cm,Avant : 25 pt,Après : 12 pt,Haut: (Simp...,Chapitre,Chapitre1,Chapitre2,Chapitre3,Chapitre4,Chapitre5,Chapitre6"/>
    <w:basedOn w:val="Normal"/>
    <w:next w:val="Normal"/>
    <w:link w:val="Cabealho1Carcter"/>
    <w:uiPriority w:val="9"/>
    <w:qFormat/>
    <w:rsid w:val="00A45EEC"/>
    <w:pPr>
      <w:keepNext/>
      <w:numPr>
        <w:numId w:val="23"/>
      </w:numPr>
      <w:spacing w:before="240" w:after="60"/>
      <w:outlineLvl w:val="0"/>
    </w:pPr>
    <w:rPr>
      <w:rFonts w:ascii="Cambria" w:hAnsi="Cambria"/>
      <w:b/>
      <w:bCs/>
      <w:kern w:val="32"/>
      <w:sz w:val="32"/>
      <w:szCs w:val="32"/>
    </w:rPr>
  </w:style>
  <w:style w:type="paragraph" w:styleId="Cabealho2">
    <w:name w:val="heading 2"/>
    <w:aliases w:val="Paranum,Chpt,Titolo 2,alec2,STitre 2,an_Über 2,Titre secondaire (2),sous-chapitre,Tend_Überschrift 2,Titre 2 tamarins,Titre Article,Titre 22,Kiyombo T2,Reset numbering,Major,Heading 2 Char,Chapitre 2,an,(1.1)"/>
    <w:basedOn w:val="Normal"/>
    <w:next w:val="Normal"/>
    <w:link w:val="Cabealho2Carcter"/>
    <w:qFormat/>
    <w:rsid w:val="00A45EEC"/>
    <w:pPr>
      <w:keepNext/>
      <w:numPr>
        <w:ilvl w:val="1"/>
        <w:numId w:val="23"/>
      </w:numPr>
      <w:spacing w:before="240" w:after="60"/>
      <w:outlineLvl w:val="1"/>
    </w:pPr>
    <w:rPr>
      <w:rFonts w:ascii="Cambria" w:hAnsi="Cambria"/>
      <w:b/>
      <w:bCs/>
      <w:i/>
      <w:iCs/>
      <w:sz w:val="28"/>
      <w:szCs w:val="28"/>
    </w:rPr>
  </w:style>
  <w:style w:type="paragraph" w:styleId="Cabealho3">
    <w:name w:val="heading 3"/>
    <w:aliases w:val="Centered, Centered,Titolo 3,Heading 3 (BM revised),centered"/>
    <w:basedOn w:val="Normal"/>
    <w:next w:val="Normal"/>
    <w:link w:val="Cabealho3Carcter"/>
    <w:qFormat/>
    <w:rsid w:val="00A45EEC"/>
    <w:pPr>
      <w:keepNext/>
      <w:numPr>
        <w:ilvl w:val="2"/>
        <w:numId w:val="23"/>
      </w:numPr>
      <w:spacing w:before="240" w:after="60"/>
      <w:outlineLvl w:val="2"/>
    </w:pPr>
    <w:rPr>
      <w:rFonts w:ascii="Cambria" w:hAnsi="Cambria"/>
      <w:b/>
      <w:bCs/>
      <w:sz w:val="26"/>
      <w:szCs w:val="26"/>
    </w:rPr>
  </w:style>
  <w:style w:type="paragraph" w:styleId="Cabealho4">
    <w:name w:val="heading 4"/>
    <w:aliases w:val="Sub-Clause Sub-paragraph, Sub-Clause Sub-paragraph"/>
    <w:basedOn w:val="Normal"/>
    <w:next w:val="Normal"/>
    <w:link w:val="Cabealho4Carcter"/>
    <w:qFormat/>
    <w:rsid w:val="00A45EEC"/>
    <w:pPr>
      <w:keepNext/>
      <w:numPr>
        <w:ilvl w:val="3"/>
        <w:numId w:val="23"/>
      </w:numPr>
      <w:spacing w:before="240" w:after="60"/>
      <w:outlineLvl w:val="3"/>
    </w:pPr>
    <w:rPr>
      <w:rFonts w:ascii="Calibri" w:hAnsi="Calibri"/>
      <w:b/>
      <w:bCs/>
      <w:sz w:val="28"/>
      <w:szCs w:val="28"/>
    </w:rPr>
  </w:style>
  <w:style w:type="paragraph" w:styleId="Cabealho5">
    <w:name w:val="heading 5"/>
    <w:aliases w:val="Side"/>
    <w:basedOn w:val="Normal"/>
    <w:next w:val="Normal"/>
    <w:link w:val="Cabealho5Carcter"/>
    <w:qFormat/>
    <w:rsid w:val="00A45EEC"/>
    <w:pPr>
      <w:keepNext/>
      <w:keepLines/>
      <w:numPr>
        <w:ilvl w:val="4"/>
        <w:numId w:val="23"/>
      </w:numPr>
      <w:spacing w:before="200" w:line="276" w:lineRule="auto"/>
      <w:outlineLvl w:val="4"/>
    </w:pPr>
    <w:rPr>
      <w:rFonts w:ascii="Cambria" w:hAnsi="Cambria"/>
      <w:color w:val="243F60"/>
      <w:sz w:val="20"/>
      <w:szCs w:val="20"/>
    </w:rPr>
  </w:style>
  <w:style w:type="paragraph" w:styleId="Cabealho6">
    <w:name w:val="heading 6"/>
    <w:basedOn w:val="Normal"/>
    <w:next w:val="Normal"/>
    <w:link w:val="Cabealho6Carcter"/>
    <w:qFormat/>
    <w:rsid w:val="00A45EEC"/>
    <w:pPr>
      <w:keepNext/>
      <w:keepLines/>
      <w:numPr>
        <w:ilvl w:val="5"/>
        <w:numId w:val="23"/>
      </w:numPr>
      <w:spacing w:before="200" w:line="276" w:lineRule="auto"/>
      <w:outlineLvl w:val="5"/>
    </w:pPr>
    <w:rPr>
      <w:rFonts w:ascii="Cambria" w:eastAsia="MS Gothic" w:hAnsi="Cambria"/>
      <w:i/>
      <w:iCs/>
      <w:color w:val="243F60"/>
      <w:sz w:val="20"/>
      <w:szCs w:val="20"/>
    </w:rPr>
  </w:style>
  <w:style w:type="paragraph" w:styleId="Cabealho7">
    <w:name w:val="heading 7"/>
    <w:basedOn w:val="Normal"/>
    <w:next w:val="Normal"/>
    <w:link w:val="Cabealho7Carcter"/>
    <w:qFormat/>
    <w:rsid w:val="00A45EEC"/>
    <w:pPr>
      <w:keepNext/>
      <w:numPr>
        <w:ilvl w:val="6"/>
        <w:numId w:val="23"/>
      </w:numPr>
      <w:jc w:val="both"/>
      <w:outlineLvl w:val="6"/>
    </w:pPr>
    <w:rPr>
      <w:b/>
      <w:bCs/>
      <w:sz w:val="20"/>
      <w:lang w:val="en-US" w:eastAsia="en-US"/>
    </w:rPr>
  </w:style>
  <w:style w:type="paragraph" w:styleId="Cabealho8">
    <w:name w:val="heading 8"/>
    <w:basedOn w:val="Normal"/>
    <w:next w:val="Normal"/>
    <w:link w:val="Cabealho8Carcter"/>
    <w:qFormat/>
    <w:rsid w:val="00A45EEC"/>
    <w:pPr>
      <w:keepNext/>
      <w:numPr>
        <w:ilvl w:val="7"/>
        <w:numId w:val="23"/>
      </w:numPr>
      <w:jc w:val="both"/>
      <w:outlineLvl w:val="7"/>
    </w:pPr>
    <w:rPr>
      <w:b/>
      <w:bCs/>
      <w:sz w:val="20"/>
      <w:lang w:val="en-US" w:eastAsia="en-US"/>
    </w:rPr>
  </w:style>
  <w:style w:type="paragraph" w:styleId="Cabealho9">
    <w:name w:val="heading 9"/>
    <w:aliases w:val="Listes"/>
    <w:basedOn w:val="Normal"/>
    <w:next w:val="Normal"/>
    <w:link w:val="Cabealho9Carcter"/>
    <w:qFormat/>
    <w:rsid w:val="00A45EEC"/>
    <w:pPr>
      <w:keepNext/>
      <w:numPr>
        <w:ilvl w:val="8"/>
        <w:numId w:val="23"/>
      </w:numPr>
      <w:spacing w:before="240" w:after="240"/>
      <w:jc w:val="center"/>
      <w:outlineLvl w:val="8"/>
    </w:pPr>
    <w:rPr>
      <w:b/>
      <w:sz w:val="28"/>
      <w:lang w:val="en-GB" w:eastAsia="it-I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Guidelines,En-tête CV,En-tête client,Kopfzeile Char Char, Char Char Char,heading 3 after h2,h,ContentsHeader,KPMG,Kopfzeile Angebot,alize,STYLE NORMAL,Heade,En-tête1,h3+,hd,he,*Header,Section Header,E.e,Cover Page,normal3,En-tête11,E.e1"/>
    <w:basedOn w:val="Normal"/>
    <w:link w:val="CabealhoCarcter"/>
    <w:unhideWhenUsed/>
    <w:qFormat/>
    <w:rsid w:val="00A45EEC"/>
    <w:pPr>
      <w:tabs>
        <w:tab w:val="center" w:pos="4536"/>
        <w:tab w:val="right" w:pos="9072"/>
      </w:tabs>
      <w:spacing w:after="200" w:line="276" w:lineRule="auto"/>
    </w:pPr>
    <w:rPr>
      <w:rFonts w:ascii="Calibri" w:eastAsia="Calibri" w:hAnsi="Calibri"/>
      <w:sz w:val="20"/>
      <w:szCs w:val="20"/>
    </w:rPr>
  </w:style>
  <w:style w:type="character" w:customStyle="1" w:styleId="CabealhoCarcter">
    <w:name w:val="Cabeçalho Carácter"/>
    <w:aliases w:val="Guidelines Carácter,En-tête CV Carácter,En-tête client Carácter,Kopfzeile Char Char Carácter, Char Char Char Carácter,heading 3 after h2 Carácter,h Carácter,ContentsHeader Carácter,KPMG Carácter,Kopfzeile Angebot Carácter,h3+ Carácter"/>
    <w:basedOn w:val="Tipodeletrapredefinidodopargrafo"/>
    <w:link w:val="Cabealho"/>
    <w:rsid w:val="00A45EEC"/>
    <w:rPr>
      <w:rFonts w:ascii="Calibri" w:eastAsia="Calibri" w:hAnsi="Calibri" w:cs="Times New Roman"/>
      <w:sz w:val="20"/>
      <w:szCs w:val="20"/>
      <w:lang w:eastAsia="fr-FR"/>
    </w:rPr>
  </w:style>
  <w:style w:type="paragraph" w:styleId="Textodebalo">
    <w:name w:val="Balloon Text"/>
    <w:basedOn w:val="Normal"/>
    <w:link w:val="TextodebaloCarcter"/>
    <w:uiPriority w:val="99"/>
    <w:semiHidden/>
    <w:unhideWhenUsed/>
    <w:rsid w:val="00A45EEC"/>
    <w:rPr>
      <w:rFonts w:ascii="Lucida Grande" w:hAnsi="Lucida Grande"/>
      <w:sz w:val="18"/>
      <w:szCs w:val="18"/>
    </w:rPr>
  </w:style>
  <w:style w:type="character" w:customStyle="1" w:styleId="TextodebaloCarcter">
    <w:name w:val="Texto de balão Carácter"/>
    <w:basedOn w:val="Tipodeletrapredefinidodopargrafo"/>
    <w:link w:val="Textodebalo"/>
    <w:uiPriority w:val="99"/>
    <w:semiHidden/>
    <w:rsid w:val="00A45EEC"/>
    <w:rPr>
      <w:rFonts w:ascii="Lucida Grande" w:eastAsia="Times New Roman" w:hAnsi="Lucida Grande" w:cs="Times New Roman"/>
      <w:sz w:val="18"/>
      <w:szCs w:val="18"/>
      <w:lang w:eastAsia="fr-FR"/>
    </w:rPr>
  </w:style>
  <w:style w:type="paragraph" w:styleId="Rodap">
    <w:name w:val="footer"/>
    <w:aliases w:val="puces points"/>
    <w:basedOn w:val="Normal"/>
    <w:link w:val="RodapCarcter"/>
    <w:uiPriority w:val="99"/>
    <w:unhideWhenUsed/>
    <w:rsid w:val="00A45EEC"/>
    <w:pPr>
      <w:tabs>
        <w:tab w:val="center" w:pos="4536"/>
        <w:tab w:val="right" w:pos="9072"/>
      </w:tabs>
    </w:pPr>
  </w:style>
  <w:style w:type="character" w:customStyle="1" w:styleId="RodapCarcter">
    <w:name w:val="Rodapé Carácter"/>
    <w:aliases w:val="puces points Carácter"/>
    <w:basedOn w:val="Tipodeletrapredefinidodopargrafo"/>
    <w:link w:val="Rodap"/>
    <w:uiPriority w:val="99"/>
    <w:rsid w:val="00A45EEC"/>
    <w:rPr>
      <w:rFonts w:ascii="Times New Roman" w:eastAsia="Times New Roman" w:hAnsi="Times New Roman" w:cs="Times New Roman"/>
      <w:sz w:val="24"/>
      <w:szCs w:val="24"/>
      <w:lang w:eastAsia="fr-FR"/>
    </w:rPr>
  </w:style>
  <w:style w:type="paragraph" w:customStyle="1" w:styleId="NormalWeb1">
    <w:name w:val="Normal (Web)1"/>
    <w:basedOn w:val="Normal"/>
    <w:next w:val="NormalWeb"/>
    <w:uiPriority w:val="99"/>
    <w:unhideWhenUsed/>
    <w:rsid w:val="00A45EEC"/>
    <w:pPr>
      <w:spacing w:before="100" w:beforeAutospacing="1" w:after="100" w:afterAutospacing="1"/>
    </w:pPr>
  </w:style>
  <w:style w:type="paragraph" w:styleId="NormalWeb">
    <w:name w:val="Normal (Web)"/>
    <w:basedOn w:val="Normal"/>
    <w:link w:val="NormalWebCarcter"/>
    <w:uiPriority w:val="99"/>
    <w:unhideWhenUsed/>
    <w:rsid w:val="00A45EEC"/>
  </w:style>
  <w:style w:type="character" w:customStyle="1" w:styleId="Cabealho1Carcter">
    <w:name w:val="Cabeçalho 1 Carácter"/>
    <w:aliases w:val=" Main Heading Carácter,Main Heading Carácter,TCI 1.  Heading Carácter,Main Heading 1 Carácter,Heading 11 Carácter,Heading 11 Car Carácter,Titre 11 Carácter,An_Über 1 Carácter,TITRE 1 + Droite :  8 Carácter,5 cm Carácter"/>
    <w:basedOn w:val="Tipodeletrapredefinidodopargrafo"/>
    <w:link w:val="Cabealho1"/>
    <w:uiPriority w:val="9"/>
    <w:rsid w:val="00A45EEC"/>
    <w:rPr>
      <w:rFonts w:ascii="Cambria" w:hAnsi="Cambria" w:cs="Times New Roman"/>
      <w:b/>
      <w:bCs/>
      <w:kern w:val="32"/>
      <w:sz w:val="32"/>
      <w:szCs w:val="32"/>
      <w:lang w:eastAsia="fr-FR"/>
    </w:rPr>
  </w:style>
  <w:style w:type="character" w:customStyle="1" w:styleId="Cabealho2Carcter">
    <w:name w:val="Cabeçalho 2 Carácter"/>
    <w:aliases w:val="Paranum Carácter,Chpt Carácter,Titolo 2 Carácter,alec2 Carácter,STitre 2 Carácter,an_Über 2 Carácter,Titre secondaire (2) Carácter,sous-chapitre Carácter,Tend_Überschrift 2 Carácter,Titre 2 tamarins Carácter,Titre Article Carácter"/>
    <w:basedOn w:val="Tipodeletrapredefinidodopargrafo"/>
    <w:link w:val="Cabealho2"/>
    <w:rsid w:val="00A45EEC"/>
    <w:rPr>
      <w:rFonts w:ascii="Cambria" w:hAnsi="Cambria" w:cs="Times New Roman"/>
      <w:b/>
      <w:bCs/>
      <w:i/>
      <w:iCs/>
      <w:sz w:val="28"/>
      <w:szCs w:val="28"/>
      <w:lang w:eastAsia="fr-FR"/>
    </w:rPr>
  </w:style>
  <w:style w:type="character" w:customStyle="1" w:styleId="Cabealho3Carcter">
    <w:name w:val="Cabeçalho 3 Carácter"/>
    <w:aliases w:val="Centered Carácter, Centered Carácter,Titolo 3 Carácter,Heading 3 (BM revised) Carácter,centered Carácter"/>
    <w:basedOn w:val="Tipodeletrapredefinidodopargrafo"/>
    <w:link w:val="Cabealho3"/>
    <w:rsid w:val="00A45EEC"/>
    <w:rPr>
      <w:rFonts w:ascii="Cambria" w:hAnsi="Cambria" w:cs="Times New Roman"/>
      <w:b/>
      <w:bCs/>
      <w:sz w:val="26"/>
      <w:szCs w:val="26"/>
      <w:lang w:eastAsia="fr-FR"/>
    </w:rPr>
  </w:style>
  <w:style w:type="character" w:customStyle="1" w:styleId="Cabealho4Carcter">
    <w:name w:val="Cabeçalho 4 Carácter"/>
    <w:aliases w:val="Sub-Clause Sub-paragraph Carácter, Sub-Clause Sub-paragraph Carácter"/>
    <w:basedOn w:val="Tipodeletrapredefinidodopargrafo"/>
    <w:link w:val="Cabealho4"/>
    <w:rsid w:val="00A45EEC"/>
    <w:rPr>
      <w:rFonts w:ascii="Calibri" w:hAnsi="Calibri" w:cs="Times New Roman"/>
      <w:b/>
      <w:bCs/>
      <w:sz w:val="28"/>
      <w:szCs w:val="28"/>
      <w:lang w:eastAsia="fr-FR"/>
    </w:rPr>
  </w:style>
  <w:style w:type="character" w:customStyle="1" w:styleId="Cabealho5Carcter">
    <w:name w:val="Cabeçalho 5 Carácter"/>
    <w:aliases w:val="Side Carácter"/>
    <w:basedOn w:val="Tipodeletrapredefinidodopargrafo"/>
    <w:link w:val="Cabealho5"/>
    <w:rsid w:val="00A45EEC"/>
    <w:rPr>
      <w:rFonts w:ascii="Cambria" w:hAnsi="Cambria" w:cs="Times New Roman"/>
      <w:color w:val="243F60"/>
      <w:sz w:val="20"/>
      <w:szCs w:val="20"/>
      <w:lang w:eastAsia="fr-FR"/>
    </w:rPr>
  </w:style>
  <w:style w:type="character" w:customStyle="1" w:styleId="Cabealho6Carcter">
    <w:name w:val="Cabeçalho 6 Carácter"/>
    <w:basedOn w:val="Tipodeletrapredefinidodopargrafo"/>
    <w:link w:val="Cabealho6"/>
    <w:rsid w:val="00A45EEC"/>
    <w:rPr>
      <w:rFonts w:ascii="Cambria" w:eastAsia="MS Gothic" w:hAnsi="Cambria" w:cs="Times New Roman"/>
      <w:i/>
      <w:iCs/>
      <w:color w:val="243F60"/>
      <w:sz w:val="20"/>
      <w:szCs w:val="20"/>
      <w:lang w:eastAsia="fr-FR"/>
    </w:rPr>
  </w:style>
  <w:style w:type="character" w:customStyle="1" w:styleId="Cabealho7Carcter">
    <w:name w:val="Cabeçalho 7 Carácter"/>
    <w:basedOn w:val="Tipodeletrapredefinidodopargrafo"/>
    <w:link w:val="Cabealho7"/>
    <w:rsid w:val="00A45EEC"/>
    <w:rPr>
      <w:rFonts w:ascii="Times New Roman" w:hAnsi="Times New Roman" w:cs="Times New Roman"/>
      <w:b/>
      <w:bCs/>
      <w:sz w:val="20"/>
      <w:szCs w:val="24"/>
      <w:lang w:val="en-US"/>
    </w:rPr>
  </w:style>
  <w:style w:type="character" w:customStyle="1" w:styleId="Cabealho8Carcter">
    <w:name w:val="Cabeçalho 8 Carácter"/>
    <w:basedOn w:val="Tipodeletrapredefinidodopargrafo"/>
    <w:link w:val="Cabealho8"/>
    <w:rsid w:val="00A45EEC"/>
    <w:rPr>
      <w:rFonts w:ascii="Times New Roman" w:hAnsi="Times New Roman" w:cs="Times New Roman"/>
      <w:b/>
      <w:bCs/>
      <w:sz w:val="20"/>
      <w:szCs w:val="24"/>
      <w:lang w:val="en-US"/>
    </w:rPr>
  </w:style>
  <w:style w:type="character" w:customStyle="1" w:styleId="Cabealho9Carcter">
    <w:name w:val="Cabeçalho 9 Carácter"/>
    <w:aliases w:val="Listes Carácter"/>
    <w:basedOn w:val="Tipodeletrapredefinidodopargrafo"/>
    <w:link w:val="Cabealho9"/>
    <w:rsid w:val="00A45EEC"/>
    <w:rPr>
      <w:rFonts w:ascii="Times New Roman" w:hAnsi="Times New Roman" w:cs="Times New Roman"/>
      <w:b/>
      <w:sz w:val="28"/>
      <w:szCs w:val="24"/>
      <w:lang w:val="en-GB" w:eastAsia="it-IT"/>
    </w:rPr>
  </w:style>
  <w:style w:type="character" w:styleId="Refdenotaderodap">
    <w:name w:val="footnote reference"/>
    <w:aliases w:val="ftref,(NECG) Footnote Reference,16 Point,Superscript 6 Point,Ref,de nota al pie,referencia nota al pie,Error-Fußnotenzeichen5,Error-Fußnotenzeichen6,Error-Fußnotenzeichen3,BVI fnr,Footnote Reference Number,Footnote Reference_LVL6"/>
    <w:link w:val="BVIfnrCarattereCharCharCharCarattereCharCharCharCharCharChar1CharCharChar"/>
    <w:uiPriority w:val="99"/>
    <w:qFormat/>
    <w:rsid w:val="00A45EEC"/>
    <w:rPr>
      <w:sz w:val="24"/>
      <w:vertAlign w:val="superscript"/>
    </w:rPr>
  </w:style>
  <w:style w:type="paragraph" w:styleId="Textodenotaderodap">
    <w:name w:val="footnote text"/>
    <w:aliases w:val=" Car1,Footnote Text Char1 Char,Footnote Text Char Char Char1,Footnote Text Char1 Char Char Char1,Footnote Text Char1 Char1 Char,Footnote Text Char Char Char Char,Footnote Text Char1 Char Char Char Char,ALTS FOOTNOT,ALTS FOOTNOTE"/>
    <w:basedOn w:val="Normal"/>
    <w:link w:val="TextodenotaderodapCarcter"/>
    <w:uiPriority w:val="99"/>
    <w:qFormat/>
    <w:rsid w:val="00A45EEC"/>
    <w:pPr>
      <w:keepNext/>
      <w:keepLines/>
      <w:spacing w:after="120"/>
      <w:ind w:left="432" w:hanging="432"/>
    </w:pPr>
    <w:rPr>
      <w:sz w:val="20"/>
      <w:szCs w:val="20"/>
    </w:rPr>
  </w:style>
  <w:style w:type="character" w:customStyle="1" w:styleId="TextodenotaderodapCarcter">
    <w:name w:val="Texto de nota de rodapé Carácter"/>
    <w:aliases w:val=" Car1 Carácter,Footnote Text Char1 Char Carácter,Footnote Text Char Char Char1 Carácter,Footnote Text Char1 Char Char Char1 Carácter,Footnote Text Char1 Char1 Char Carácter,Footnote Text Char Char Char Char Carácter"/>
    <w:basedOn w:val="Tipodeletrapredefinidodopargrafo"/>
    <w:link w:val="Textodenotaderodap"/>
    <w:uiPriority w:val="99"/>
    <w:qFormat/>
    <w:rsid w:val="00A45EEC"/>
    <w:rPr>
      <w:rFonts w:ascii="Times New Roman" w:eastAsia="Times New Roman" w:hAnsi="Times New Roman" w:cs="Times New Roman"/>
      <w:sz w:val="20"/>
      <w:szCs w:val="20"/>
      <w:lang w:eastAsia="fr-FR"/>
    </w:rPr>
  </w:style>
  <w:style w:type="character" w:customStyle="1" w:styleId="Tramecouleur-Accent3Car">
    <w:name w:val="Trame couleur - Accent 3 Car"/>
    <w:link w:val="SombreadoColorido-Cor3"/>
    <w:uiPriority w:val="34"/>
    <w:rsid w:val="00A45EEC"/>
    <w:rPr>
      <w:rFonts w:ascii="Times New Roman" w:eastAsia="Times New Roman" w:hAnsi="Times New Roman"/>
      <w:sz w:val="24"/>
      <w:szCs w:val="24"/>
    </w:rPr>
  </w:style>
  <w:style w:type="table" w:styleId="SombreadoColorido-Cor3">
    <w:name w:val="Colorful Shading Accent 3"/>
    <w:basedOn w:val="Tabelanormal"/>
    <w:link w:val="Tramecouleur-Accent3Car"/>
    <w:uiPriority w:val="34"/>
    <w:rsid w:val="00A45EEC"/>
    <w:pPr>
      <w:spacing w:after="0" w:line="240" w:lineRule="auto"/>
    </w:pPr>
    <w:rPr>
      <w:rFonts w:ascii="Times New Roman" w:eastAsia="Times New Roman" w:hAnsi="Times New Roman"/>
      <w:sz w:val="24"/>
      <w:szCs w:val="24"/>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customStyle="1" w:styleId="Default">
    <w:name w:val="Default"/>
    <w:link w:val="DefaultCar"/>
    <w:rsid w:val="00A45EEC"/>
    <w:pPr>
      <w:autoSpaceDE w:val="0"/>
      <w:autoSpaceDN w:val="0"/>
      <w:adjustRightInd w:val="0"/>
      <w:spacing w:after="0" w:line="240" w:lineRule="auto"/>
    </w:pPr>
    <w:rPr>
      <w:rFonts w:ascii="Arial" w:eastAsia="Calibri" w:hAnsi="Arial" w:cs="Arial"/>
      <w:color w:val="000000"/>
      <w:sz w:val="24"/>
      <w:szCs w:val="24"/>
      <w:lang w:eastAsia="fr-FR"/>
    </w:rPr>
  </w:style>
  <w:style w:type="paragraph" w:styleId="Corpodetexto">
    <w:name w:val="Body Text"/>
    <w:aliases w:val="Corps de texte Car Car Car,Corps de texte Car Car Car Car Car"/>
    <w:basedOn w:val="Normal"/>
    <w:link w:val="CorpodetextoCarcter"/>
    <w:unhideWhenUsed/>
    <w:rsid w:val="00A45EEC"/>
    <w:pPr>
      <w:spacing w:before="120" w:after="120"/>
      <w:ind w:left="720"/>
    </w:pPr>
    <w:rPr>
      <w:rFonts w:ascii="Gill Sans MT" w:hAnsi="Gill Sans MT"/>
      <w:spacing w:val="-5"/>
    </w:rPr>
  </w:style>
  <w:style w:type="character" w:customStyle="1" w:styleId="CorpodetextoCarcter">
    <w:name w:val="Corpo de texto Carácter"/>
    <w:aliases w:val="Corps de texte Car Car Car Carácter,Corps de texte Car Car Car Car Car Carácter"/>
    <w:basedOn w:val="Tipodeletrapredefinidodopargrafo"/>
    <w:link w:val="Corpodetexto"/>
    <w:rsid w:val="00A45EEC"/>
    <w:rPr>
      <w:rFonts w:ascii="Gill Sans MT" w:eastAsia="Times New Roman" w:hAnsi="Gill Sans MT" w:cs="Times New Roman"/>
      <w:spacing w:val="-5"/>
      <w:sz w:val="24"/>
      <w:szCs w:val="24"/>
      <w:lang w:eastAsia="fr-FR"/>
    </w:rPr>
  </w:style>
  <w:style w:type="table" w:styleId="Tabelacomgrelha">
    <w:name w:val="Table Grid"/>
    <w:basedOn w:val="Tabelanormal"/>
    <w:uiPriority w:val="59"/>
    <w:rsid w:val="00A45EEC"/>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Style5Noir">
    <w:name w:val="Style Style5 + Noir"/>
    <w:basedOn w:val="Normal"/>
    <w:autoRedefine/>
    <w:rsid w:val="00A45EEC"/>
    <w:pPr>
      <w:ind w:left="1080" w:hanging="720"/>
    </w:pPr>
    <w:rPr>
      <w:b/>
      <w:bCs/>
      <w:kern w:val="32"/>
      <w:lang w:eastAsia="wo-SN"/>
    </w:rPr>
  </w:style>
  <w:style w:type="paragraph" w:customStyle="1" w:styleId="Sansinterligne1">
    <w:name w:val="Sans interligne1"/>
    <w:uiPriority w:val="1"/>
    <w:qFormat/>
    <w:rsid w:val="00A45EEC"/>
    <w:pPr>
      <w:spacing w:after="0" w:line="240" w:lineRule="auto"/>
    </w:pPr>
    <w:rPr>
      <w:rFonts w:ascii="Calibri" w:eastAsia="Calibri" w:hAnsi="Calibri" w:cs="Times New Roman"/>
    </w:rPr>
  </w:style>
  <w:style w:type="paragraph" w:styleId="Lista">
    <w:name w:val="List"/>
    <w:basedOn w:val="Normal"/>
    <w:rsid w:val="00A45EEC"/>
    <w:pPr>
      <w:ind w:left="283" w:hanging="283"/>
    </w:pPr>
  </w:style>
  <w:style w:type="paragraph" w:styleId="Primeiroavanodecorpodetexto">
    <w:name w:val="Body Text First Indent"/>
    <w:basedOn w:val="Corpodetexto"/>
    <w:link w:val="PrimeiroavanodecorpodetextoCarcter"/>
    <w:uiPriority w:val="99"/>
    <w:semiHidden/>
    <w:unhideWhenUsed/>
    <w:rsid w:val="00A45EEC"/>
    <w:pPr>
      <w:spacing w:before="0" w:after="0"/>
      <w:ind w:left="0" w:firstLine="360"/>
    </w:pPr>
    <w:rPr>
      <w:rFonts w:ascii="Times New Roman" w:hAnsi="Times New Roman"/>
    </w:rPr>
  </w:style>
  <w:style w:type="character" w:customStyle="1" w:styleId="PrimeiroavanodecorpodetextoCarcter">
    <w:name w:val="Primeiro avanço de corpo de texto Carácter"/>
    <w:basedOn w:val="CorpodetextoCarcter"/>
    <w:link w:val="Primeiroavanodecorpodetexto"/>
    <w:uiPriority w:val="99"/>
    <w:semiHidden/>
    <w:rsid w:val="00A45EEC"/>
    <w:rPr>
      <w:rFonts w:ascii="Times New Roman" w:eastAsia="Times New Roman" w:hAnsi="Times New Roman" w:cs="Times New Roman"/>
      <w:spacing w:val="-5"/>
      <w:sz w:val="24"/>
      <w:szCs w:val="24"/>
      <w:lang w:eastAsia="fr-FR"/>
    </w:rPr>
  </w:style>
  <w:style w:type="character" w:styleId="Forte">
    <w:name w:val="Strong"/>
    <w:uiPriority w:val="22"/>
    <w:qFormat/>
    <w:rsid w:val="00A45EEC"/>
    <w:rPr>
      <w:b/>
      <w:bCs/>
    </w:rPr>
  </w:style>
  <w:style w:type="character" w:styleId="nfase">
    <w:name w:val="Emphasis"/>
    <w:uiPriority w:val="20"/>
    <w:qFormat/>
    <w:rsid w:val="00A45EEC"/>
    <w:rPr>
      <w:i/>
      <w:iCs/>
    </w:rPr>
  </w:style>
  <w:style w:type="paragraph" w:customStyle="1" w:styleId="xl33">
    <w:name w:val="xl33"/>
    <w:basedOn w:val="Normal"/>
    <w:rsid w:val="00A45EEC"/>
    <w:pPr>
      <w:spacing w:before="100" w:beforeAutospacing="1" w:after="100" w:afterAutospacing="1"/>
    </w:pPr>
  </w:style>
  <w:style w:type="paragraph" w:styleId="Listacommarcas2">
    <w:name w:val="List Bullet 2"/>
    <w:basedOn w:val="Normal"/>
    <w:link w:val="Listacommarcas2Carcter"/>
    <w:rsid w:val="00A45EEC"/>
    <w:pPr>
      <w:widowControl w:val="0"/>
      <w:numPr>
        <w:numId w:val="1"/>
      </w:numPr>
      <w:adjustRightInd w:val="0"/>
      <w:spacing w:line="360" w:lineRule="auto"/>
      <w:jc w:val="both"/>
      <w:textAlignment w:val="baseline"/>
    </w:pPr>
    <w:rPr>
      <w:rFonts w:ascii="Arial" w:hAnsi="Arial"/>
      <w:sz w:val="20"/>
      <w:lang w:val="en-US" w:bidi="en-US"/>
    </w:rPr>
  </w:style>
  <w:style w:type="character" w:customStyle="1" w:styleId="Listacommarcas2Carcter">
    <w:name w:val="Lista com marcas 2 Carácter"/>
    <w:link w:val="Listacommarcas2"/>
    <w:rsid w:val="00A45EEC"/>
    <w:rPr>
      <w:rFonts w:ascii="Arial" w:hAnsi="Arial" w:cs="Times New Roman"/>
      <w:sz w:val="20"/>
      <w:szCs w:val="24"/>
      <w:lang w:val="en-US" w:eastAsia="fr-FR" w:bidi="en-US"/>
    </w:rPr>
  </w:style>
  <w:style w:type="character" w:customStyle="1" w:styleId="Rfrenceple1">
    <w:name w:val="Référence pâle1"/>
    <w:uiPriority w:val="31"/>
    <w:qFormat/>
    <w:rsid w:val="00A45EEC"/>
    <w:rPr>
      <w:smallCaps/>
      <w:color w:val="C0504D"/>
      <w:u w:val="single"/>
    </w:rPr>
  </w:style>
  <w:style w:type="character" w:customStyle="1" w:styleId="Tramemoyenne2-Accent3Car">
    <w:name w:val="Trame moyenne 2 - Accent 3 Car"/>
    <w:link w:val="SombreadoMdio2-Cor3"/>
    <w:uiPriority w:val="69"/>
    <w:rsid w:val="00A45EEC"/>
    <w:rPr>
      <w:rFonts w:ascii="Times New Roman" w:eastAsia="Times New Roman" w:hAnsi="Times New Roman"/>
      <w:b/>
      <w:bCs/>
      <w:i/>
      <w:iCs/>
      <w:color w:val="4F81BD"/>
      <w:sz w:val="24"/>
      <w:szCs w:val="24"/>
    </w:rPr>
  </w:style>
  <w:style w:type="table" w:styleId="SombreadoMdio2-Cor3">
    <w:name w:val="Medium Shading 2 Accent 3"/>
    <w:basedOn w:val="Tabelanormal"/>
    <w:link w:val="Tramemoyenne2-Accent3Car"/>
    <w:uiPriority w:val="69"/>
    <w:rsid w:val="00A45EEC"/>
    <w:pPr>
      <w:spacing w:after="0" w:line="240" w:lineRule="auto"/>
    </w:pPr>
    <w:rPr>
      <w:rFonts w:ascii="Times New Roman" w:eastAsia="Times New Roman" w:hAnsi="Times New Roman"/>
      <w:b/>
      <w:bCs/>
      <w:i/>
      <w:iCs/>
      <w:color w:val="4F81BD"/>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character" w:customStyle="1" w:styleId="Grilleclaire-Accent3Car1">
    <w:name w:val="Grille claire - Accent 3 Car1"/>
    <w:link w:val="GrelhaClara-Cor3"/>
    <w:uiPriority w:val="34"/>
    <w:rsid w:val="00A45EEC"/>
    <w:rPr>
      <w:rFonts w:ascii="Calibri" w:eastAsia="Calibri" w:hAnsi="Calibri" w:cs="Times New Roman"/>
      <w:sz w:val="22"/>
      <w:szCs w:val="22"/>
      <w:lang w:eastAsia="en-US"/>
    </w:rPr>
  </w:style>
  <w:style w:type="table" w:styleId="GrelhaClara-Cor3">
    <w:name w:val="Light Grid Accent 3"/>
    <w:basedOn w:val="Tabelanormal"/>
    <w:link w:val="Grilleclaire-Accent3Car1"/>
    <w:uiPriority w:val="34"/>
    <w:rsid w:val="00A45EE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Legenda">
    <w:name w:val="caption"/>
    <w:aliases w:val=" Car Car Car,Légende Car,Car Car Car, Char Char Char Char Char, Char Char Char Char Char Char, Char Char Char Char, Car,Légende-Tableau,Légende dak,Car Car,Car Car Car Car Car,Car,Car Car Car Car Car Car Car Car Car,M,Car Car Car Car Car Car Car"/>
    <w:basedOn w:val="Normal"/>
    <w:next w:val="Normal"/>
    <w:link w:val="LegendaCarcter"/>
    <w:qFormat/>
    <w:rsid w:val="00A45EEC"/>
    <w:rPr>
      <w:b/>
      <w:bCs/>
      <w:sz w:val="20"/>
      <w:szCs w:val="20"/>
    </w:rPr>
  </w:style>
  <w:style w:type="character" w:customStyle="1" w:styleId="LegendaCarcter">
    <w:name w:val="Legenda Carácter"/>
    <w:aliases w:val=" Car Car Car Carácter,Légende Car Carácter,Car Car Car Carácter, Char Char Char Char Char Carácter, Char Char Char Char Char Char Carácter, Char Char Char Char Carácter, Car Carácter,Légende-Tableau Carácter,Légende dak Carácter"/>
    <w:link w:val="Legenda"/>
    <w:uiPriority w:val="35"/>
    <w:qFormat/>
    <w:rsid w:val="00A45EEC"/>
    <w:rPr>
      <w:rFonts w:ascii="Times New Roman" w:eastAsia="Times New Roman" w:hAnsi="Times New Roman" w:cs="Times New Roman"/>
      <w:b/>
      <w:bCs/>
      <w:sz w:val="20"/>
      <w:szCs w:val="20"/>
      <w:lang w:eastAsia="fr-FR"/>
    </w:rPr>
  </w:style>
  <w:style w:type="paragraph" w:customStyle="1" w:styleId="En-ttedetabledesmatires1">
    <w:name w:val="En-tête de table des matières1"/>
    <w:basedOn w:val="Cabealho1"/>
    <w:next w:val="Normal"/>
    <w:unhideWhenUsed/>
    <w:qFormat/>
    <w:rsid w:val="00A45EEC"/>
    <w:pPr>
      <w:keepLines/>
      <w:numPr>
        <w:numId w:val="0"/>
      </w:numPr>
      <w:spacing w:before="480" w:after="0" w:line="276" w:lineRule="auto"/>
      <w:outlineLvl w:val="9"/>
    </w:pPr>
    <w:rPr>
      <w:color w:val="365F91"/>
      <w:kern w:val="0"/>
      <w:sz w:val="28"/>
      <w:szCs w:val="28"/>
      <w:lang w:eastAsia="en-US"/>
    </w:rPr>
  </w:style>
  <w:style w:type="paragraph" w:styleId="ndice1">
    <w:name w:val="toc 1"/>
    <w:basedOn w:val="Normal"/>
    <w:next w:val="Normal"/>
    <w:autoRedefine/>
    <w:uiPriority w:val="39"/>
    <w:unhideWhenUsed/>
    <w:qFormat/>
    <w:rsid w:val="00FB409C"/>
    <w:pPr>
      <w:tabs>
        <w:tab w:val="left" w:pos="480"/>
        <w:tab w:val="right" w:leader="dot" w:pos="10206"/>
      </w:tabs>
    </w:pPr>
    <w:rPr>
      <w:b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tyle>
  <w:style w:type="paragraph" w:styleId="ndice2">
    <w:name w:val="toc 2"/>
    <w:basedOn w:val="Normal"/>
    <w:next w:val="Normal"/>
    <w:autoRedefine/>
    <w:uiPriority w:val="39"/>
    <w:unhideWhenUsed/>
    <w:qFormat/>
    <w:rsid w:val="0001641A"/>
    <w:pPr>
      <w:tabs>
        <w:tab w:val="right" w:leader="dot" w:pos="9913"/>
      </w:tabs>
      <w:ind w:left="240"/>
    </w:pPr>
    <w:rPr>
      <w:rFonts w:asciiTheme="minorHAnsi" w:hAnsiTheme="minorHAnsi"/>
      <w:b/>
      <w:bCs/>
      <w:sz w:val="22"/>
      <w:szCs w:val="22"/>
    </w:rPr>
  </w:style>
  <w:style w:type="paragraph" w:styleId="ndice3">
    <w:name w:val="toc 3"/>
    <w:basedOn w:val="Normal"/>
    <w:next w:val="Normal"/>
    <w:autoRedefine/>
    <w:uiPriority w:val="39"/>
    <w:unhideWhenUsed/>
    <w:qFormat/>
    <w:rsid w:val="00A45EEC"/>
    <w:pPr>
      <w:ind w:left="480"/>
    </w:pPr>
    <w:rPr>
      <w:rFonts w:asciiTheme="minorHAnsi" w:hAnsiTheme="minorHAnsi"/>
      <w:sz w:val="22"/>
      <w:szCs w:val="22"/>
    </w:rPr>
  </w:style>
  <w:style w:type="character" w:styleId="Hiperligao">
    <w:name w:val="Hyperlink"/>
    <w:uiPriority w:val="99"/>
    <w:unhideWhenUsed/>
    <w:rsid w:val="00A45EEC"/>
    <w:rPr>
      <w:color w:val="0000FF"/>
      <w:u w:val="single"/>
    </w:rPr>
  </w:style>
  <w:style w:type="paragraph" w:styleId="ndice4">
    <w:name w:val="toc 4"/>
    <w:basedOn w:val="Normal"/>
    <w:next w:val="Normal"/>
    <w:autoRedefine/>
    <w:uiPriority w:val="39"/>
    <w:unhideWhenUsed/>
    <w:rsid w:val="00A45EEC"/>
    <w:pPr>
      <w:ind w:left="720"/>
    </w:pPr>
    <w:rPr>
      <w:rFonts w:asciiTheme="minorHAnsi" w:hAnsiTheme="minorHAnsi"/>
      <w:sz w:val="20"/>
      <w:szCs w:val="20"/>
    </w:rPr>
  </w:style>
  <w:style w:type="paragraph" w:styleId="ndice5">
    <w:name w:val="toc 5"/>
    <w:basedOn w:val="Normal"/>
    <w:next w:val="Normal"/>
    <w:autoRedefine/>
    <w:uiPriority w:val="39"/>
    <w:unhideWhenUsed/>
    <w:rsid w:val="00A45EEC"/>
    <w:pPr>
      <w:ind w:left="960"/>
    </w:pPr>
    <w:rPr>
      <w:rFonts w:asciiTheme="minorHAnsi" w:hAnsiTheme="minorHAnsi"/>
      <w:sz w:val="20"/>
      <w:szCs w:val="20"/>
    </w:rPr>
  </w:style>
  <w:style w:type="paragraph" w:styleId="ndice6">
    <w:name w:val="toc 6"/>
    <w:basedOn w:val="Normal"/>
    <w:next w:val="Normal"/>
    <w:autoRedefine/>
    <w:uiPriority w:val="39"/>
    <w:unhideWhenUsed/>
    <w:rsid w:val="00A45EEC"/>
    <w:pPr>
      <w:ind w:left="1200"/>
    </w:pPr>
    <w:rPr>
      <w:rFonts w:asciiTheme="minorHAnsi" w:hAnsiTheme="minorHAnsi"/>
      <w:sz w:val="20"/>
      <w:szCs w:val="20"/>
    </w:rPr>
  </w:style>
  <w:style w:type="paragraph" w:styleId="ndice7">
    <w:name w:val="toc 7"/>
    <w:basedOn w:val="Normal"/>
    <w:next w:val="Normal"/>
    <w:autoRedefine/>
    <w:uiPriority w:val="39"/>
    <w:unhideWhenUsed/>
    <w:rsid w:val="00A45EEC"/>
    <w:pPr>
      <w:ind w:left="1440"/>
    </w:pPr>
    <w:rPr>
      <w:rFonts w:asciiTheme="minorHAnsi" w:hAnsiTheme="minorHAnsi"/>
      <w:sz w:val="20"/>
      <w:szCs w:val="20"/>
    </w:rPr>
  </w:style>
  <w:style w:type="paragraph" w:styleId="ndice8">
    <w:name w:val="toc 8"/>
    <w:basedOn w:val="Normal"/>
    <w:next w:val="Normal"/>
    <w:autoRedefine/>
    <w:uiPriority w:val="39"/>
    <w:unhideWhenUsed/>
    <w:rsid w:val="00A45EEC"/>
    <w:pPr>
      <w:ind w:left="1680"/>
    </w:pPr>
    <w:rPr>
      <w:rFonts w:asciiTheme="minorHAnsi" w:hAnsiTheme="minorHAnsi"/>
      <w:sz w:val="20"/>
      <w:szCs w:val="20"/>
    </w:rPr>
  </w:style>
  <w:style w:type="paragraph" w:styleId="ndice9">
    <w:name w:val="toc 9"/>
    <w:basedOn w:val="Normal"/>
    <w:next w:val="Normal"/>
    <w:autoRedefine/>
    <w:uiPriority w:val="39"/>
    <w:unhideWhenUsed/>
    <w:rsid w:val="00A45EEC"/>
    <w:pPr>
      <w:ind w:left="1920"/>
    </w:pPr>
    <w:rPr>
      <w:rFonts w:asciiTheme="minorHAnsi" w:hAnsiTheme="minorHAnsi"/>
      <w:sz w:val="20"/>
      <w:szCs w:val="20"/>
    </w:rPr>
  </w:style>
  <w:style w:type="paragraph" w:styleId="ndicedeilustraes">
    <w:name w:val="table of figures"/>
    <w:basedOn w:val="Normal"/>
    <w:next w:val="Normal"/>
    <w:uiPriority w:val="99"/>
    <w:unhideWhenUsed/>
    <w:rsid w:val="00A45EEC"/>
  </w:style>
  <w:style w:type="paragraph" w:customStyle="1" w:styleId="Listecouleur-Accent11">
    <w:name w:val="Liste couleur - Accent 11"/>
    <w:basedOn w:val="Normal"/>
    <w:uiPriority w:val="34"/>
    <w:qFormat/>
    <w:rsid w:val="00A45EEC"/>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rsid w:val="00A45EEC"/>
  </w:style>
  <w:style w:type="paragraph" w:styleId="PargrafodaLista">
    <w:name w:val="List Paragraph"/>
    <w:aliases w:val="Paragraphe  revu,Bullets,Bullet L1,References,Liste 1,Numbered List Paragraph,ReferencesCxSpLast,List Paragraph (numbered (a)),List Paragraph nowy,figure,Colorful List - Accent 11,I..1,Puces,Paragraphe de liste1,itens,Bullet1,RM1,1"/>
    <w:basedOn w:val="Normal"/>
    <w:link w:val="PargrafodaListaCarcter"/>
    <w:uiPriority w:val="34"/>
    <w:qFormat/>
    <w:rsid w:val="00A45EEC"/>
    <w:pPr>
      <w:spacing w:after="200" w:line="276" w:lineRule="auto"/>
      <w:ind w:left="720"/>
      <w:contextualSpacing/>
    </w:pPr>
    <w:rPr>
      <w:rFonts w:ascii="Calibri" w:eastAsia="Calibri" w:hAnsi="Calibri"/>
      <w:sz w:val="20"/>
      <w:szCs w:val="20"/>
    </w:rPr>
  </w:style>
  <w:style w:type="character" w:customStyle="1" w:styleId="PargrafodaListaCarcter">
    <w:name w:val="Parágrafo da Lista Carácter"/>
    <w:aliases w:val="Paragraphe  revu Carácter,Bullets Carácter,Bullet L1 Carácter,References Carácter,Liste 1 Carácter,Numbered List Paragraph Carácter,ReferencesCxSpLast Carácter,List Paragraph (numbered (a)) Carácter,figure Carácter,1 Carácter"/>
    <w:link w:val="PargrafodaLista"/>
    <w:uiPriority w:val="34"/>
    <w:qFormat/>
    <w:rsid w:val="00A45EEC"/>
    <w:rPr>
      <w:rFonts w:ascii="Calibri" w:eastAsia="Calibri" w:hAnsi="Calibri" w:cs="Times New Roman"/>
      <w:sz w:val="20"/>
      <w:szCs w:val="20"/>
      <w:lang w:eastAsia="fr-FR"/>
    </w:rPr>
  </w:style>
  <w:style w:type="paragraph" w:styleId="Avanodecorpodetexto">
    <w:name w:val="Body Text Indent"/>
    <w:basedOn w:val="Normal"/>
    <w:link w:val="AvanodecorpodetextoCarcter"/>
    <w:unhideWhenUsed/>
    <w:rsid w:val="00A45EEC"/>
    <w:pPr>
      <w:spacing w:after="120"/>
      <w:ind w:left="360"/>
    </w:pPr>
  </w:style>
  <w:style w:type="character" w:customStyle="1" w:styleId="AvanodecorpodetextoCarcter">
    <w:name w:val="Avanço de corpo de texto Carácter"/>
    <w:basedOn w:val="Tipodeletrapredefinidodopargrafo"/>
    <w:link w:val="Avanodecorpodetexto"/>
    <w:rsid w:val="00A45EEC"/>
    <w:rPr>
      <w:rFonts w:ascii="Times New Roman" w:eastAsia="Times New Roman" w:hAnsi="Times New Roman" w:cs="Times New Roman"/>
      <w:sz w:val="24"/>
      <w:szCs w:val="24"/>
      <w:lang w:eastAsia="fr-FR"/>
    </w:rPr>
  </w:style>
  <w:style w:type="paragraph" w:styleId="Corpodetexto3">
    <w:name w:val="Body Text 3"/>
    <w:basedOn w:val="Normal"/>
    <w:link w:val="Corpodetexto3Carcter"/>
    <w:rsid w:val="00A45EEC"/>
    <w:pPr>
      <w:spacing w:after="120"/>
    </w:pPr>
    <w:rPr>
      <w:sz w:val="16"/>
      <w:szCs w:val="16"/>
    </w:rPr>
  </w:style>
  <w:style w:type="character" w:customStyle="1" w:styleId="Corpodetexto3Carcter">
    <w:name w:val="Corpo de texto 3 Carácter"/>
    <w:basedOn w:val="Tipodeletrapredefinidodopargrafo"/>
    <w:link w:val="Corpodetexto3"/>
    <w:rsid w:val="00A45EEC"/>
    <w:rPr>
      <w:rFonts w:ascii="Times New Roman" w:eastAsia="Times New Roman" w:hAnsi="Times New Roman" w:cs="Times New Roman"/>
      <w:sz w:val="16"/>
      <w:szCs w:val="16"/>
      <w:lang w:eastAsia="fr-FR"/>
    </w:rPr>
  </w:style>
  <w:style w:type="paragraph" w:customStyle="1" w:styleId="Outline">
    <w:name w:val="Outline"/>
    <w:basedOn w:val="Normal"/>
    <w:rsid w:val="00A45EEC"/>
    <w:pPr>
      <w:spacing w:before="240"/>
    </w:pPr>
    <w:rPr>
      <w:kern w:val="28"/>
      <w:szCs w:val="20"/>
      <w:lang w:val="en-US" w:eastAsia="en-US"/>
    </w:rPr>
  </w:style>
  <w:style w:type="paragraph" w:customStyle="1" w:styleId="Spacebetweennumberedparas">
    <w:name w:val="Space between numbered paras"/>
    <w:basedOn w:val="Normal"/>
    <w:next w:val="Cabealho1"/>
    <w:rsid w:val="00A45EEC"/>
    <w:pPr>
      <w:overflowPunct w:val="0"/>
      <w:autoSpaceDE w:val="0"/>
      <w:autoSpaceDN w:val="0"/>
      <w:adjustRightInd w:val="0"/>
      <w:textAlignment w:val="baseline"/>
    </w:pPr>
    <w:rPr>
      <w:sz w:val="22"/>
      <w:szCs w:val="20"/>
      <w:lang w:val="en-US" w:eastAsia="en-US"/>
    </w:rPr>
  </w:style>
  <w:style w:type="character" w:customStyle="1" w:styleId="Rfrenceintense1">
    <w:name w:val="Référence intense1"/>
    <w:uiPriority w:val="32"/>
    <w:qFormat/>
    <w:rsid w:val="00A45EEC"/>
    <w:rPr>
      <w:b/>
      <w:bCs/>
      <w:smallCaps/>
      <w:color w:val="C0504D"/>
      <w:spacing w:val="5"/>
      <w:u w:val="single"/>
    </w:rPr>
  </w:style>
  <w:style w:type="character" w:customStyle="1" w:styleId="Grillemoyenne1-Accent2Car1">
    <w:name w:val="Grille moyenne 1 - Accent 2 Car1"/>
    <w:link w:val="GrelhaMdia1-Cor2"/>
    <w:rsid w:val="00A45EEC"/>
    <w:rPr>
      <w:rFonts w:ascii="Calibri" w:eastAsia="Times New Roman" w:hAnsi="Calibri" w:cs="Times New Roman"/>
    </w:rPr>
  </w:style>
  <w:style w:type="table" w:styleId="GrelhaMdia1-Cor2">
    <w:name w:val="Medium Grid 1 Accent 2"/>
    <w:basedOn w:val="Tabelanormal"/>
    <w:link w:val="Grillemoyenne1-Accent2Car1"/>
    <w:rsid w:val="00A45EEC"/>
    <w:pPr>
      <w:spacing w:after="0" w:line="240" w:lineRule="auto"/>
    </w:pPr>
    <w:rPr>
      <w:rFonts w:ascii="Calibri" w:eastAsia="Times New Roman"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Grillemoyenne1-Accent2Car">
    <w:name w:val="Grille moyenne 1 - Accent 2 Car"/>
    <w:aliases w:val="Medium Grid 1 - Accent 21 Car"/>
    <w:link w:val="Grillemoyenne1-Accent21"/>
    <w:uiPriority w:val="34"/>
    <w:qFormat/>
    <w:rsid w:val="00A45EEC"/>
    <w:rPr>
      <w:rFonts w:ascii="Times New Roman" w:eastAsia="Times New Roman" w:hAnsi="Times New Roman"/>
      <w:sz w:val="24"/>
      <w:szCs w:val="24"/>
    </w:rPr>
  </w:style>
  <w:style w:type="character" w:customStyle="1" w:styleId="Trameclaire-Accent2Car">
    <w:name w:val="Trame claire - Accent 2 Car"/>
    <w:link w:val="Trameclaire-Accent21"/>
    <w:uiPriority w:val="69"/>
    <w:rsid w:val="00A45EEC"/>
    <w:rPr>
      <w:rFonts w:ascii="Times New Roman" w:eastAsia="Times New Roman" w:hAnsi="Times New Roman"/>
      <w:b/>
      <w:bCs/>
      <w:i/>
      <w:iCs/>
      <w:color w:val="4F81BD"/>
      <w:sz w:val="24"/>
      <w:szCs w:val="24"/>
    </w:rPr>
  </w:style>
  <w:style w:type="character" w:customStyle="1" w:styleId="Listecouleur-Accent1Car1">
    <w:name w:val="Liste couleur - Accent 1 Car1"/>
    <w:uiPriority w:val="34"/>
    <w:qFormat/>
    <w:rsid w:val="00A45EEC"/>
    <w:rPr>
      <w:rFonts w:ascii="Calibri" w:eastAsia="Calibri" w:hAnsi="Calibri" w:cs="Times New Roman"/>
      <w:sz w:val="22"/>
      <w:szCs w:val="22"/>
      <w:lang w:eastAsia="en-US"/>
    </w:rPr>
  </w:style>
  <w:style w:type="character" w:customStyle="1" w:styleId="Listecouleur-Accent1Car">
    <w:name w:val="Liste couleur - Accent 1 Car"/>
    <w:aliases w:val="Parágrafo da Lista s/espaço Car,RM1 Car,Citation List Car,List Bullet-OpsManual Car,Title Style 1 Car,List_Paragraph Car,Multilevel para_II Car,List Paragraph1 Car,Paragraphe de liste Car,Premier Car,Tableau Adere Car,I..1 C"/>
    <w:link w:val="ListaColorida-Cor1"/>
    <w:uiPriority w:val="34"/>
    <w:qFormat/>
    <w:rsid w:val="00A45EEC"/>
    <w:rPr>
      <w:rFonts w:ascii="Calibri" w:eastAsia="Times New Roman" w:hAnsi="Calibri" w:cs="Times New Roman"/>
    </w:rPr>
  </w:style>
  <w:style w:type="table" w:styleId="ListaColorida-Cor1">
    <w:name w:val="Colorful List Accent 1"/>
    <w:basedOn w:val="Tabelanormal"/>
    <w:link w:val="Listecouleur-Accent1Car"/>
    <w:qFormat/>
    <w:rsid w:val="00A45EEC"/>
    <w:pPr>
      <w:spacing w:after="0" w:line="240" w:lineRule="auto"/>
    </w:pPr>
    <w:rPr>
      <w:rFonts w:ascii="Calibri" w:eastAsia="Times New Roman"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GrelhaMdia3-Cor2">
    <w:name w:val="Medium Grid 3 Accent 2"/>
    <w:basedOn w:val="Tabelanormal"/>
    <w:uiPriority w:val="69"/>
    <w:rsid w:val="00A45EEC"/>
    <w:pPr>
      <w:spacing w:after="0" w:line="240" w:lineRule="auto"/>
    </w:pPr>
    <w:rPr>
      <w:rFonts w:ascii="Times New Roman" w:eastAsia="Times New Roman" w:hAnsi="Times New Roman" w:cs="Times New Roman"/>
      <w:b/>
      <w:bCs/>
      <w:i/>
      <w:iCs/>
      <w:color w:val="4F81BD"/>
      <w:sz w:val="24"/>
      <w:szCs w:val="24"/>
      <w:lang w:eastAsia="fr-FR"/>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acommarcas4">
    <w:name w:val="List Bullet 4"/>
    <w:basedOn w:val="Normal"/>
    <w:uiPriority w:val="99"/>
    <w:semiHidden/>
    <w:unhideWhenUsed/>
    <w:rsid w:val="00A45EEC"/>
    <w:pPr>
      <w:numPr>
        <w:numId w:val="2"/>
      </w:numPr>
      <w:contextualSpacing/>
    </w:pPr>
  </w:style>
  <w:style w:type="paragraph" w:styleId="SemEspaamento">
    <w:name w:val="No Spacing"/>
    <w:aliases w:val="INTRO"/>
    <w:link w:val="SemEspaamentoCarcter"/>
    <w:uiPriority w:val="1"/>
    <w:qFormat/>
    <w:rsid w:val="00A45EEC"/>
    <w:pPr>
      <w:spacing w:after="0" w:line="240" w:lineRule="auto"/>
    </w:pPr>
    <w:rPr>
      <w:rFonts w:ascii="Times New Roman" w:eastAsia="Times New Roman" w:hAnsi="Times New Roman" w:cs="Times New Roman"/>
      <w:sz w:val="24"/>
      <w:szCs w:val="24"/>
      <w:lang w:eastAsia="fr-FR"/>
    </w:rPr>
  </w:style>
  <w:style w:type="paragraph" w:customStyle="1" w:styleId="BankNormal">
    <w:name w:val="BankNormal"/>
    <w:basedOn w:val="Normal"/>
    <w:rsid w:val="00A45EEC"/>
    <w:pPr>
      <w:spacing w:after="240"/>
    </w:pPr>
    <w:rPr>
      <w:szCs w:val="20"/>
      <w:lang w:eastAsia="en-US"/>
    </w:rPr>
  </w:style>
  <w:style w:type="paragraph" w:styleId="Subttulo">
    <w:name w:val="Subtitle"/>
    <w:basedOn w:val="Normal"/>
    <w:next w:val="Normal"/>
    <w:link w:val="SubttuloCarcter"/>
    <w:qFormat/>
    <w:rsid w:val="00A45EEC"/>
    <w:pPr>
      <w:spacing w:after="60"/>
      <w:jc w:val="center"/>
      <w:outlineLvl w:val="1"/>
    </w:pPr>
    <w:rPr>
      <w:rFonts w:ascii="Cambria" w:hAnsi="Cambria"/>
    </w:rPr>
  </w:style>
  <w:style w:type="character" w:customStyle="1" w:styleId="SubttuloCarcter">
    <w:name w:val="Subtítulo Carácter"/>
    <w:basedOn w:val="Tipodeletrapredefinidodopargrafo"/>
    <w:link w:val="Subttulo"/>
    <w:rsid w:val="00A45EEC"/>
    <w:rPr>
      <w:rFonts w:ascii="Cambria" w:eastAsia="Times New Roman" w:hAnsi="Cambria" w:cs="Times New Roman"/>
      <w:sz w:val="24"/>
      <w:szCs w:val="24"/>
      <w:lang w:eastAsia="fr-FR"/>
    </w:rPr>
  </w:style>
  <w:style w:type="character" w:styleId="Refdecomentrio">
    <w:name w:val="annotation reference"/>
    <w:semiHidden/>
    <w:unhideWhenUsed/>
    <w:rsid w:val="00A45EEC"/>
    <w:rPr>
      <w:sz w:val="16"/>
      <w:szCs w:val="16"/>
    </w:rPr>
  </w:style>
  <w:style w:type="paragraph" w:styleId="Textodecomentrio">
    <w:name w:val="annotation text"/>
    <w:basedOn w:val="Normal"/>
    <w:link w:val="TextodecomentrioCarcter"/>
    <w:unhideWhenUsed/>
    <w:rsid w:val="00A45EEC"/>
    <w:rPr>
      <w:sz w:val="20"/>
      <w:szCs w:val="20"/>
    </w:rPr>
  </w:style>
  <w:style w:type="character" w:customStyle="1" w:styleId="TextodecomentrioCarcter">
    <w:name w:val="Texto de comentário Carácter"/>
    <w:basedOn w:val="Tipodeletrapredefinidodopargrafo"/>
    <w:link w:val="Textodecomentrio"/>
    <w:rsid w:val="00A45EEC"/>
    <w:rPr>
      <w:rFonts w:ascii="Times New Roman" w:eastAsia="Times New Roman" w:hAnsi="Times New Roman" w:cs="Times New Roman"/>
      <w:sz w:val="20"/>
      <w:szCs w:val="20"/>
      <w:lang w:eastAsia="fr-FR"/>
    </w:rPr>
  </w:style>
  <w:style w:type="paragraph" w:styleId="Assuntodecomentrio">
    <w:name w:val="annotation subject"/>
    <w:basedOn w:val="Textodecomentrio"/>
    <w:next w:val="Textodecomentrio"/>
    <w:link w:val="AssuntodecomentrioCarcter"/>
    <w:uiPriority w:val="99"/>
    <w:semiHidden/>
    <w:unhideWhenUsed/>
    <w:rsid w:val="00A45EEC"/>
    <w:rPr>
      <w:b/>
      <w:bCs/>
    </w:rPr>
  </w:style>
  <w:style w:type="character" w:customStyle="1" w:styleId="AssuntodecomentrioCarcter">
    <w:name w:val="Assunto de comentário Carácter"/>
    <w:basedOn w:val="TextodecomentrioCarcter"/>
    <w:link w:val="Assuntodecomentrio"/>
    <w:uiPriority w:val="99"/>
    <w:semiHidden/>
    <w:rsid w:val="00A45EEC"/>
    <w:rPr>
      <w:rFonts w:ascii="Times New Roman" w:eastAsia="Times New Roman" w:hAnsi="Times New Roman" w:cs="Times New Roman"/>
      <w:b/>
      <w:bCs/>
      <w:sz w:val="20"/>
      <w:szCs w:val="20"/>
      <w:lang w:eastAsia="fr-FR"/>
    </w:rPr>
  </w:style>
  <w:style w:type="paragraph" w:styleId="Ttulodondice">
    <w:name w:val="TOC Heading"/>
    <w:basedOn w:val="Cabealho1"/>
    <w:next w:val="Normal"/>
    <w:uiPriority w:val="39"/>
    <w:unhideWhenUsed/>
    <w:qFormat/>
    <w:rsid w:val="00A45EEC"/>
    <w:pPr>
      <w:keepLines/>
      <w:numPr>
        <w:numId w:val="0"/>
      </w:numPr>
      <w:spacing w:before="480" w:after="0" w:line="276" w:lineRule="auto"/>
      <w:outlineLvl w:val="9"/>
    </w:pPr>
    <w:rPr>
      <w:color w:val="365F91"/>
      <w:kern w:val="0"/>
      <w:sz w:val="28"/>
      <w:szCs w:val="28"/>
      <w:lang w:eastAsia="en-US"/>
    </w:rPr>
  </w:style>
  <w:style w:type="character" w:customStyle="1" w:styleId="Avanodecorpodetexto2Carcter">
    <w:name w:val="Avanço de corpo de texto 2 Carácter"/>
    <w:basedOn w:val="Tipodeletrapredefinidodopargrafo"/>
    <w:link w:val="Avanodecorpodetexto2"/>
    <w:rsid w:val="00A45EEC"/>
    <w:rPr>
      <w:rFonts w:ascii="Times New Roman" w:eastAsia="Calibri" w:hAnsi="Times New Roman" w:cs="Times New Roman"/>
      <w:sz w:val="24"/>
    </w:rPr>
  </w:style>
  <w:style w:type="paragraph" w:styleId="Avanodecorpodetexto2">
    <w:name w:val="Body Text Indent 2"/>
    <w:basedOn w:val="Normal"/>
    <w:link w:val="Avanodecorpodetexto2Carcter"/>
    <w:unhideWhenUsed/>
    <w:rsid w:val="00A45EEC"/>
    <w:pPr>
      <w:spacing w:after="120" w:line="480" w:lineRule="auto"/>
      <w:ind w:left="283"/>
    </w:pPr>
    <w:rPr>
      <w:rFonts w:eastAsia="Calibri"/>
      <w:szCs w:val="22"/>
      <w:lang w:eastAsia="en-US"/>
    </w:rPr>
  </w:style>
  <w:style w:type="character" w:customStyle="1" w:styleId="Retraitcorpsdetexte2Car1">
    <w:name w:val="Retrait corps de texte 2 Car1"/>
    <w:basedOn w:val="Tipodeletrapredefinidodopargrafo"/>
    <w:rsid w:val="00A45EEC"/>
    <w:rPr>
      <w:rFonts w:ascii="Times New Roman" w:eastAsia="Times New Roman" w:hAnsi="Times New Roman" w:cs="Times New Roman"/>
      <w:sz w:val="24"/>
      <w:szCs w:val="24"/>
      <w:lang w:eastAsia="fr-FR"/>
    </w:rPr>
  </w:style>
  <w:style w:type="character" w:customStyle="1" w:styleId="a">
    <w:name w:val="a"/>
    <w:rsid w:val="00A45EEC"/>
  </w:style>
  <w:style w:type="character" w:customStyle="1" w:styleId="l6">
    <w:name w:val="l6"/>
    <w:rsid w:val="00A45EEC"/>
  </w:style>
  <w:style w:type="character" w:customStyle="1" w:styleId="l7">
    <w:name w:val="l7"/>
    <w:rsid w:val="00A45EEC"/>
  </w:style>
  <w:style w:type="table" w:customStyle="1" w:styleId="Grilledutableau5">
    <w:name w:val="Grille du tableau5"/>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elanormal"/>
    <w:uiPriority w:val="39"/>
    <w:rsid w:val="00A45EE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locked/>
    <w:rsid w:val="00A45EEC"/>
    <w:rPr>
      <w:rFonts w:ascii="Arial Narrow" w:eastAsia="Times" w:hAnsi="Arial Narrow" w:cs="Angsana New"/>
      <w:sz w:val="19"/>
      <w:szCs w:val="20"/>
      <w:lang w:val="en-AU"/>
    </w:rPr>
  </w:style>
  <w:style w:type="paragraph" w:customStyle="1" w:styleId="Tabletext">
    <w:name w:val="Table text"/>
    <w:basedOn w:val="Normal"/>
    <w:link w:val="TabletextChar"/>
    <w:rsid w:val="00A45EEC"/>
    <w:pPr>
      <w:spacing w:after="60" w:line="300" w:lineRule="atLeast"/>
    </w:pPr>
    <w:rPr>
      <w:rFonts w:ascii="Arial Narrow" w:eastAsia="Times" w:hAnsi="Arial Narrow" w:cs="Angsana New"/>
      <w:sz w:val="19"/>
      <w:szCs w:val="20"/>
      <w:lang w:val="en-AU" w:eastAsia="en-US"/>
    </w:rPr>
  </w:style>
  <w:style w:type="table" w:customStyle="1" w:styleId="ESTableStyle">
    <w:name w:val="ES Table Style"/>
    <w:basedOn w:val="Tabelaprofissional"/>
    <w:uiPriority w:val="99"/>
    <w:rsid w:val="00A45EEC"/>
    <w:pPr>
      <w:adjustRightInd w:val="0"/>
      <w:snapToGrid w:val="0"/>
      <w:spacing w:after="120" w:line="240" w:lineRule="atLeast"/>
      <w:jc w:val="both"/>
    </w:pPr>
    <w:rPr>
      <w:rFonts w:ascii="Myriad Web Pro" w:eastAsiaTheme="minorEastAsia"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shd w:val="clear" w:color="auto" w:fill="auto"/>
    </w:tcPr>
    <w:tblStylePr w:type="firstRow">
      <w:rPr>
        <w:rFonts w:ascii="AMERICAN TYPEWRITER SEMIBOLD" w:hAnsi="AMERICAN TYPEWRITER SEMIBOLD" w:hint="default"/>
        <w:b/>
        <w:bCs/>
        <w:color w:val="auto"/>
        <w:sz w:val="18"/>
        <w:szCs w:val="18"/>
      </w:rPr>
      <w:tblPr/>
      <w:tcPr>
        <w:tcBorders>
          <w:tl2br w:val="none" w:sz="0" w:space="0" w:color="auto"/>
          <w:tr2bl w:val="none" w:sz="0" w:space="0" w:color="auto"/>
        </w:tcBorders>
        <w:shd w:val="clear" w:color="auto" w:fill="D5DCE4" w:themeFill="text2" w:themeFillTint="33"/>
      </w:tcPr>
    </w:tblStylePr>
  </w:style>
  <w:style w:type="table" w:styleId="Tabelaprofissional">
    <w:name w:val="Table Professional"/>
    <w:basedOn w:val="Tabelanormal"/>
    <w:uiPriority w:val="99"/>
    <w:semiHidden/>
    <w:unhideWhenUsed/>
    <w:rsid w:val="00A45EEC"/>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Grilledutableau1">
    <w:name w:val="Grille du tableau1"/>
    <w:basedOn w:val="Tabelanormal"/>
    <w:uiPriority w:val="59"/>
    <w:rsid w:val="00A45EE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ableCar">
    <w:name w:val="Table Car"/>
    <w:aliases w:val="LVT Table Heading Car,Légende Car Car Car,Légende Car1 Car,tableau 3. Car,tableau 6. Car,tableau 7. Car,Char Car,Fig Car,Table Caption Car,Figure Car,headings Car,CPR Caption Car,CPR Caption Char Car,Table1 Car,Figure1 Car,headings1 Char Car"/>
    <w:qFormat/>
    <w:locked/>
    <w:rsid w:val="00A45EEC"/>
    <w:rPr>
      <w:b/>
      <w:bCs/>
      <w:color w:val="4F81BD"/>
      <w:sz w:val="18"/>
      <w:szCs w:val="18"/>
    </w:rPr>
  </w:style>
  <w:style w:type="paragraph" w:customStyle="1" w:styleId="Clauses">
    <w:name w:val="Clauses"/>
    <w:basedOn w:val="Normal"/>
    <w:rsid w:val="00A45EEC"/>
    <w:pPr>
      <w:keepLines/>
      <w:numPr>
        <w:numId w:val="5"/>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A45EEC"/>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A45EEC"/>
    <w:pPr>
      <w:numPr>
        <w:ilvl w:val="3"/>
      </w:numPr>
      <w:tabs>
        <w:tab w:val="clear" w:pos="1418"/>
        <w:tab w:val="num" w:pos="1712"/>
        <w:tab w:val="left" w:pos="1843"/>
      </w:tabs>
      <w:ind w:left="1418" w:hanging="426"/>
    </w:pPr>
  </w:style>
  <w:style w:type="paragraph" w:customStyle="1" w:styleId="Normal1">
    <w:name w:val="Normal(1)"/>
    <w:basedOn w:val="Normal"/>
    <w:rsid w:val="00A45EEC"/>
    <w:pPr>
      <w:tabs>
        <w:tab w:val="num" w:pos="709"/>
      </w:tabs>
      <w:spacing w:after="120"/>
      <w:ind w:left="709" w:hanging="709"/>
      <w:jc w:val="both"/>
    </w:pPr>
    <w:rPr>
      <w:szCs w:val="20"/>
      <w:lang w:val="en-GB" w:eastAsia="en-GB"/>
    </w:rPr>
  </w:style>
  <w:style w:type="paragraph" w:styleId="Ttulo">
    <w:name w:val="Title"/>
    <w:basedOn w:val="Normal"/>
    <w:link w:val="TtuloCarcter"/>
    <w:qFormat/>
    <w:rsid w:val="00A45EEC"/>
    <w:pPr>
      <w:tabs>
        <w:tab w:val="right" w:leader="dot" w:pos="8640"/>
      </w:tabs>
      <w:jc w:val="center"/>
    </w:pPr>
    <w:rPr>
      <w:b/>
      <w:sz w:val="36"/>
      <w:szCs w:val="20"/>
      <w:lang w:val="en-US" w:eastAsia="en-US"/>
    </w:rPr>
  </w:style>
  <w:style w:type="character" w:customStyle="1" w:styleId="TitreCar">
    <w:name w:val="Titre Car"/>
    <w:basedOn w:val="Tipodeletrapredefinidodopargrafo"/>
    <w:rsid w:val="00A45EEC"/>
    <w:rPr>
      <w:rFonts w:asciiTheme="majorHAnsi" w:eastAsiaTheme="majorEastAsia" w:hAnsiTheme="majorHAnsi" w:cstheme="majorBidi"/>
      <w:spacing w:val="-10"/>
      <w:kern w:val="28"/>
      <w:sz w:val="56"/>
      <w:szCs w:val="56"/>
      <w:lang w:eastAsia="fr-FR"/>
    </w:rPr>
  </w:style>
  <w:style w:type="character" w:customStyle="1" w:styleId="TtuloCarcter">
    <w:name w:val="Título Carácter"/>
    <w:link w:val="Ttulo"/>
    <w:rsid w:val="00A45EEC"/>
    <w:rPr>
      <w:rFonts w:ascii="Times New Roman" w:eastAsia="Times New Roman" w:hAnsi="Times New Roman" w:cs="Times New Roman"/>
      <w:b/>
      <w:sz w:val="36"/>
      <w:szCs w:val="20"/>
      <w:lang w:val="en-US"/>
    </w:rPr>
  </w:style>
  <w:style w:type="character" w:customStyle="1" w:styleId="InciodecartaCarcter">
    <w:name w:val="Início de carta Carácter"/>
    <w:basedOn w:val="Tipodeletrapredefinidodopargrafo"/>
    <w:link w:val="Inciodecarta"/>
    <w:semiHidden/>
    <w:rsid w:val="00A45EEC"/>
    <w:rPr>
      <w:rFonts w:ascii="Times New Roman" w:eastAsia="Times New Roman" w:hAnsi="Times New Roman" w:cs="Times New Roman"/>
      <w:sz w:val="24"/>
      <w:szCs w:val="24"/>
      <w:lang w:val="en-US"/>
    </w:rPr>
  </w:style>
  <w:style w:type="paragraph" w:styleId="Inciodecarta">
    <w:name w:val="Salutation"/>
    <w:basedOn w:val="Normal"/>
    <w:next w:val="Normal"/>
    <w:link w:val="InciodecartaCarcter"/>
    <w:semiHidden/>
    <w:rsid w:val="00A45EEC"/>
    <w:rPr>
      <w:lang w:val="en-US" w:eastAsia="en-US"/>
    </w:rPr>
  </w:style>
  <w:style w:type="character" w:customStyle="1" w:styleId="SalutationsCar1">
    <w:name w:val="Salutations Car1"/>
    <w:basedOn w:val="Tipodeletrapredefinidodopargrafo"/>
    <w:uiPriority w:val="99"/>
    <w:semiHidden/>
    <w:rsid w:val="00A45EEC"/>
    <w:rPr>
      <w:rFonts w:ascii="Times New Roman" w:eastAsia="Times New Roman" w:hAnsi="Times New Roman" w:cs="Times New Roman"/>
      <w:sz w:val="24"/>
      <w:szCs w:val="24"/>
      <w:lang w:eastAsia="fr-FR"/>
    </w:rPr>
  </w:style>
  <w:style w:type="paragraph" w:styleId="Avanonormal">
    <w:name w:val="Normal Indent"/>
    <w:basedOn w:val="Normal"/>
    <w:rsid w:val="00A45EEC"/>
    <w:pPr>
      <w:ind w:left="708"/>
    </w:pPr>
    <w:rPr>
      <w:lang w:val="en-US" w:eastAsia="en-US"/>
    </w:rPr>
  </w:style>
  <w:style w:type="character" w:customStyle="1" w:styleId="Avanodecorpodetexto3Carcter">
    <w:name w:val="Avanço de corpo de texto 3 Carácter"/>
    <w:basedOn w:val="Tipodeletrapredefinidodopargrafo"/>
    <w:link w:val="Avanodecorpodetexto3"/>
    <w:semiHidden/>
    <w:rsid w:val="00A45EEC"/>
    <w:rPr>
      <w:rFonts w:ascii="Times New Roman" w:eastAsia="Times New Roman" w:hAnsi="Times New Roman" w:cs="Times New Roman"/>
      <w:sz w:val="24"/>
      <w:szCs w:val="24"/>
      <w:lang w:val="en-US"/>
    </w:rPr>
  </w:style>
  <w:style w:type="paragraph" w:styleId="Avanodecorpodetexto3">
    <w:name w:val="Body Text Indent 3"/>
    <w:basedOn w:val="Normal"/>
    <w:link w:val="Avanodecorpodetexto3Carcter"/>
    <w:semiHidden/>
    <w:rsid w:val="00A45EEC"/>
    <w:pPr>
      <w:ind w:left="1854" w:hanging="414"/>
      <w:jc w:val="both"/>
    </w:pPr>
    <w:rPr>
      <w:lang w:val="en-US" w:eastAsia="en-US"/>
    </w:rPr>
  </w:style>
  <w:style w:type="character" w:customStyle="1" w:styleId="Retraitcorpsdetexte3Car1">
    <w:name w:val="Retrait corps de texte 3 Car1"/>
    <w:basedOn w:val="Tipodeletrapredefinidodopargrafo"/>
    <w:uiPriority w:val="99"/>
    <w:semiHidden/>
    <w:rsid w:val="00A45EEC"/>
    <w:rPr>
      <w:rFonts w:ascii="Times New Roman" w:eastAsia="Times New Roman" w:hAnsi="Times New Roman" w:cs="Times New Roman"/>
      <w:sz w:val="16"/>
      <w:szCs w:val="16"/>
      <w:lang w:eastAsia="fr-FR"/>
    </w:rPr>
  </w:style>
  <w:style w:type="paragraph" w:customStyle="1" w:styleId="xl26">
    <w:name w:val="xl26"/>
    <w:basedOn w:val="Normal"/>
    <w:rsid w:val="00A45EEC"/>
    <w:pPr>
      <w:spacing w:before="100" w:beforeAutospacing="1" w:after="100" w:afterAutospacing="1"/>
    </w:pPr>
    <w:rPr>
      <w:b/>
      <w:bCs/>
      <w:lang w:val="it-IT" w:eastAsia="it-IT"/>
    </w:rPr>
  </w:style>
  <w:style w:type="paragraph" w:customStyle="1" w:styleId="xl143">
    <w:name w:val="xl143"/>
    <w:basedOn w:val="Normal"/>
    <w:rsid w:val="00A45EEC"/>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Nmerodepgina">
    <w:name w:val="page number"/>
    <w:rsid w:val="00A45EEC"/>
    <w:rPr>
      <w:rFonts w:cs="Times New Roman"/>
    </w:rPr>
  </w:style>
  <w:style w:type="paragraph" w:customStyle="1" w:styleId="xl41">
    <w:name w:val="xl41"/>
    <w:basedOn w:val="Normal"/>
    <w:rsid w:val="00A45EEC"/>
    <w:pPr>
      <w:spacing w:before="100" w:beforeAutospacing="1" w:after="100" w:afterAutospacing="1"/>
    </w:pPr>
    <w:rPr>
      <w:sz w:val="20"/>
      <w:szCs w:val="20"/>
      <w:lang w:val="it-IT" w:eastAsia="it-IT"/>
    </w:rPr>
  </w:style>
  <w:style w:type="paragraph" w:customStyle="1" w:styleId="A1-Heading1">
    <w:name w:val="A1-Heading1"/>
    <w:basedOn w:val="Cabealho1"/>
    <w:rsid w:val="00A45EEC"/>
    <w:pPr>
      <w:keepNext w:val="0"/>
      <w:numPr>
        <w:numId w:val="0"/>
      </w:numPr>
      <w:spacing w:after="240"/>
      <w:jc w:val="center"/>
    </w:pPr>
    <w:rPr>
      <w:rFonts w:ascii="Times New Roman" w:hAnsi="Times New Roman"/>
      <w:bCs w:val="0"/>
      <w:kern w:val="0"/>
      <w:szCs w:val="20"/>
      <w:lang w:val="en-US" w:eastAsia="en-US"/>
    </w:rPr>
  </w:style>
  <w:style w:type="paragraph" w:customStyle="1" w:styleId="A1-Heading2">
    <w:name w:val="A1-Heading2"/>
    <w:basedOn w:val="Cabealho2"/>
    <w:link w:val="A1-Heading2Char"/>
    <w:rsid w:val="00A45EEC"/>
    <w:pPr>
      <w:keepNext w:val="0"/>
      <w:numPr>
        <w:ilvl w:val="0"/>
        <w:numId w:val="0"/>
      </w:numPr>
      <w:tabs>
        <w:tab w:val="left" w:pos="360"/>
      </w:tabs>
      <w:spacing w:before="0" w:after="0"/>
      <w:ind w:left="720" w:hanging="360"/>
      <w:contextualSpacing/>
      <w:jc w:val="center"/>
    </w:pPr>
    <w:rPr>
      <w:rFonts w:ascii="Times New Roman" w:hAnsi="Times New Roman"/>
      <w:i w:val="0"/>
      <w:iCs w:val="0"/>
      <w:smallCaps/>
      <w:sz w:val="24"/>
      <w:szCs w:val="24"/>
      <w:lang w:val="en-GB" w:eastAsia="en-US"/>
    </w:rPr>
  </w:style>
  <w:style w:type="character" w:customStyle="1" w:styleId="A1-Heading2Char">
    <w:name w:val="A1-Heading2 Char"/>
    <w:link w:val="A1-Heading2"/>
    <w:rsid w:val="00A45EEC"/>
    <w:rPr>
      <w:rFonts w:ascii="Times New Roman" w:eastAsia="Times New Roman" w:hAnsi="Times New Roman" w:cs="Times New Roman"/>
      <w:b/>
      <w:bCs/>
      <w:smallCaps/>
      <w:sz w:val="24"/>
      <w:szCs w:val="24"/>
      <w:lang w:val="en-GB"/>
    </w:rPr>
  </w:style>
  <w:style w:type="paragraph" w:customStyle="1" w:styleId="A2-Heading1">
    <w:name w:val="A2-Heading 1"/>
    <w:basedOn w:val="Cabealho1"/>
    <w:rsid w:val="00A45EEC"/>
    <w:pPr>
      <w:keepNext w:val="0"/>
      <w:numPr>
        <w:ilvl w:val="12"/>
        <w:numId w:val="0"/>
      </w:numPr>
      <w:spacing w:before="0" w:after="0"/>
      <w:jc w:val="center"/>
    </w:pPr>
    <w:rPr>
      <w:rFonts w:ascii="Times New Roman Bold" w:hAnsi="Times New Roman Bold"/>
      <w:bCs w:val="0"/>
      <w:kern w:val="0"/>
      <w:szCs w:val="24"/>
      <w:lang w:val="en-US" w:eastAsia="en-US"/>
    </w:rPr>
  </w:style>
  <w:style w:type="paragraph" w:customStyle="1" w:styleId="A2-Heading2">
    <w:name w:val="A2-Heading 2"/>
    <w:basedOn w:val="Cabealho2"/>
    <w:rsid w:val="00A45EEC"/>
    <w:pPr>
      <w:keepNext w:val="0"/>
      <w:numPr>
        <w:ilvl w:val="0"/>
        <w:numId w:val="0"/>
      </w:numPr>
      <w:tabs>
        <w:tab w:val="num" w:pos="360"/>
      </w:tabs>
      <w:spacing w:before="0" w:after="0"/>
      <w:ind w:left="720" w:hanging="720"/>
      <w:contextualSpacing/>
      <w:jc w:val="center"/>
    </w:pPr>
    <w:rPr>
      <w:rFonts w:ascii="Times New Roman" w:hAnsi="Times New Roman"/>
      <w:i w:val="0"/>
      <w:iCs w:val="0"/>
      <w:smallCaps/>
      <w:sz w:val="24"/>
      <w:szCs w:val="24"/>
      <w:lang w:val="en-GB" w:eastAsia="en-US"/>
    </w:rPr>
  </w:style>
  <w:style w:type="paragraph" w:customStyle="1" w:styleId="A1-Heading3">
    <w:name w:val="A1-Heading 3"/>
    <w:basedOn w:val="Cabealho3"/>
    <w:rsid w:val="00A45EEC"/>
    <w:pPr>
      <w:keepNext w:val="0"/>
      <w:numPr>
        <w:ilvl w:val="0"/>
        <w:numId w:val="0"/>
      </w:numPr>
      <w:tabs>
        <w:tab w:val="left" w:pos="540"/>
      </w:tabs>
      <w:spacing w:before="0" w:after="0"/>
      <w:ind w:left="533" w:right="-29" w:hanging="533"/>
      <w:contextualSpacing/>
    </w:pPr>
    <w:rPr>
      <w:rFonts w:ascii="Times New Roman" w:hAnsi="Times New Roman"/>
      <w:sz w:val="24"/>
      <w:szCs w:val="24"/>
      <w:lang w:val="en-GB" w:eastAsia="en-US"/>
    </w:rPr>
  </w:style>
  <w:style w:type="paragraph" w:customStyle="1" w:styleId="A1-Heading4">
    <w:name w:val="A1-Heading 4"/>
    <w:basedOn w:val="Cabealho4"/>
    <w:rsid w:val="00A45EEC"/>
    <w:pPr>
      <w:keepNext w:val="0"/>
      <w:numPr>
        <w:ilvl w:val="0"/>
        <w:numId w:val="0"/>
      </w:numPr>
      <w:tabs>
        <w:tab w:val="left" w:pos="720"/>
        <w:tab w:val="left" w:pos="1062"/>
        <w:tab w:val="right" w:leader="dot" w:pos="8640"/>
      </w:tabs>
      <w:spacing w:before="0" w:after="0"/>
      <w:ind w:left="1062" w:hanging="720"/>
    </w:pPr>
    <w:rPr>
      <w:rFonts w:ascii="Times New Roman" w:hAnsi="Times New Roman"/>
      <w:sz w:val="24"/>
      <w:szCs w:val="24"/>
      <w:lang w:val="en-US" w:eastAsia="en-US"/>
    </w:rPr>
  </w:style>
  <w:style w:type="paragraph" w:customStyle="1" w:styleId="A2-Heading3">
    <w:name w:val="A2-Heading 3"/>
    <w:basedOn w:val="Cabealho3"/>
    <w:rsid w:val="00A45EEC"/>
    <w:pPr>
      <w:keepNext w:val="0"/>
      <w:numPr>
        <w:ilvl w:val="0"/>
        <w:numId w:val="0"/>
      </w:numPr>
      <w:tabs>
        <w:tab w:val="left" w:pos="540"/>
      </w:tabs>
      <w:spacing w:before="0" w:after="0"/>
      <w:ind w:left="539" w:right="-34" w:hanging="539"/>
      <w:contextualSpacing/>
    </w:pPr>
    <w:rPr>
      <w:rFonts w:ascii="Times New Roman" w:hAnsi="Times New Roman"/>
      <w:sz w:val="24"/>
      <w:szCs w:val="24"/>
      <w:lang w:val="en-GB" w:eastAsia="en-US"/>
    </w:rPr>
  </w:style>
  <w:style w:type="character" w:customStyle="1" w:styleId="TextodenotadefimCarcter">
    <w:name w:val="Texto de nota de fim Carácter"/>
    <w:basedOn w:val="Tipodeletrapredefinidodopargrafo"/>
    <w:link w:val="Textodenotadefim"/>
    <w:semiHidden/>
    <w:rsid w:val="00A45EEC"/>
    <w:rPr>
      <w:rFonts w:ascii="Times New Roman" w:eastAsia="Times New Roman" w:hAnsi="Times New Roman" w:cs="Times New Roman"/>
      <w:sz w:val="20"/>
      <w:szCs w:val="20"/>
      <w:lang w:val="en-US"/>
    </w:rPr>
  </w:style>
  <w:style w:type="paragraph" w:styleId="Textodenotadefim">
    <w:name w:val="endnote text"/>
    <w:basedOn w:val="Normal"/>
    <w:link w:val="TextodenotadefimCarcter"/>
    <w:semiHidden/>
    <w:rsid w:val="00A45EEC"/>
    <w:rPr>
      <w:sz w:val="20"/>
      <w:szCs w:val="20"/>
      <w:lang w:val="en-US" w:eastAsia="en-US"/>
    </w:rPr>
  </w:style>
  <w:style w:type="character" w:customStyle="1" w:styleId="NotedefinCar1">
    <w:name w:val="Note de fin Car1"/>
    <w:basedOn w:val="Tipodeletrapredefinidodopargrafo"/>
    <w:uiPriority w:val="99"/>
    <w:semiHidden/>
    <w:rsid w:val="00A45EEC"/>
    <w:rPr>
      <w:rFonts w:ascii="Times New Roman" w:eastAsia="Times New Roman" w:hAnsi="Times New Roman" w:cs="Times New Roman"/>
      <w:sz w:val="20"/>
      <w:szCs w:val="20"/>
      <w:lang w:eastAsia="fr-FR"/>
    </w:rPr>
  </w:style>
  <w:style w:type="paragraph" w:customStyle="1" w:styleId="Section3-Heading1">
    <w:name w:val="Section 3 - Heading 1"/>
    <w:basedOn w:val="Normal"/>
    <w:rsid w:val="00A45EEC"/>
    <w:pPr>
      <w:pBdr>
        <w:bottom w:val="single" w:sz="4" w:space="1" w:color="auto"/>
      </w:pBdr>
      <w:spacing w:after="240"/>
      <w:jc w:val="center"/>
    </w:pPr>
    <w:rPr>
      <w:rFonts w:ascii="Times New Roman Bold" w:hAnsi="Times New Roman Bold"/>
      <w:b/>
      <w:sz w:val="32"/>
      <w:lang w:val="en-US" w:eastAsia="en-US"/>
    </w:rPr>
  </w:style>
  <w:style w:type="paragraph" w:customStyle="1" w:styleId="CharChar">
    <w:name w:val="Char Char"/>
    <w:basedOn w:val="Normal"/>
    <w:rsid w:val="00A45EEC"/>
    <w:pPr>
      <w:autoSpaceDE w:val="0"/>
      <w:autoSpaceDN w:val="0"/>
      <w:spacing w:after="160" w:line="240" w:lineRule="exact"/>
    </w:pPr>
    <w:rPr>
      <w:rFonts w:ascii="Arial" w:hAnsi="Arial" w:cs="Arial"/>
      <w:b/>
      <w:sz w:val="20"/>
      <w:szCs w:val="20"/>
      <w:lang w:val="en-US" w:eastAsia="de-DE"/>
    </w:rPr>
  </w:style>
  <w:style w:type="character" w:customStyle="1" w:styleId="GaramondTimesNewRoman">
    <w:name w:val="Стиль Стиль Garamond + Times New Roman"/>
    <w:rsid w:val="00A45EEC"/>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rsid w:val="00A45EEC"/>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Cabealho"/>
    <w:rsid w:val="00A45EEC"/>
    <w:pPr>
      <w:numPr>
        <w:numId w:val="6"/>
      </w:numPr>
      <w:tabs>
        <w:tab w:val="clear" w:pos="4536"/>
        <w:tab w:val="clear" w:pos="9072"/>
      </w:tabs>
      <w:spacing w:after="0" w:line="240" w:lineRule="auto"/>
      <w:ind w:right="-88"/>
      <w:jc w:val="both"/>
    </w:pPr>
    <w:rPr>
      <w:rFonts w:ascii="Arial" w:eastAsia="Times New Roman" w:hAnsi="Arial" w:cs="Arial"/>
      <w:bCs/>
      <w:sz w:val="22"/>
      <w:szCs w:val="24"/>
      <w:lang w:val="en-GB" w:eastAsia="en-US"/>
    </w:rPr>
  </w:style>
  <w:style w:type="paragraph" w:customStyle="1" w:styleId="Subtitulos">
    <w:name w:val="Subtitulos"/>
    <w:basedOn w:val="Cabealho2"/>
    <w:rsid w:val="00A45EEC"/>
    <w:pPr>
      <w:keepNext w:val="0"/>
      <w:numPr>
        <w:ilvl w:val="0"/>
        <w:numId w:val="0"/>
      </w:numPr>
      <w:tabs>
        <w:tab w:val="left" w:pos="360"/>
      </w:tabs>
      <w:spacing w:before="120" w:after="120"/>
      <w:contextualSpacing/>
    </w:pPr>
    <w:rPr>
      <w:rFonts w:ascii="Times New Roman Bold" w:hAnsi="Times New Roman Bold"/>
      <w:bCs w:val="0"/>
      <w:i w:val="0"/>
      <w:iCs w:val="0"/>
      <w:sz w:val="24"/>
      <w:szCs w:val="20"/>
      <w:lang w:val="es-ES_tradnl" w:eastAsia="en-US"/>
    </w:rPr>
  </w:style>
  <w:style w:type="paragraph" w:customStyle="1" w:styleId="41Autolist4">
    <w:name w:val="4.1 Autolist4"/>
    <w:basedOn w:val="Normal"/>
    <w:next w:val="Normal"/>
    <w:rsid w:val="00A45EEC"/>
    <w:pPr>
      <w:keepNext/>
      <w:spacing w:before="120" w:after="120"/>
      <w:jc w:val="both"/>
    </w:pPr>
    <w:rPr>
      <w:szCs w:val="20"/>
      <w:lang w:val="en-US" w:eastAsia="en-US"/>
    </w:rPr>
  </w:style>
  <w:style w:type="paragraph" w:customStyle="1" w:styleId="iAutoList">
    <w:name w:val="(i) AutoList"/>
    <w:basedOn w:val="Normal"/>
    <w:next w:val="Normal"/>
    <w:rsid w:val="00A45EEC"/>
    <w:pPr>
      <w:spacing w:before="120" w:after="120"/>
      <w:ind w:left="720" w:hanging="360"/>
      <w:jc w:val="both"/>
    </w:pPr>
    <w:rPr>
      <w:snapToGrid w:val="0"/>
      <w:szCs w:val="20"/>
      <w:lang w:val="es-ES_tradnl" w:eastAsia="en-US"/>
    </w:rPr>
  </w:style>
  <w:style w:type="paragraph" w:styleId="Corpodetexto2">
    <w:name w:val="Body Text 2"/>
    <w:basedOn w:val="Normal"/>
    <w:link w:val="Corpodetexto2Carcter"/>
    <w:unhideWhenUsed/>
    <w:rsid w:val="00A45EEC"/>
    <w:pPr>
      <w:spacing w:after="120" w:line="480" w:lineRule="auto"/>
    </w:pPr>
    <w:rPr>
      <w:lang w:val="en-US" w:eastAsia="en-US"/>
    </w:rPr>
  </w:style>
  <w:style w:type="character" w:customStyle="1" w:styleId="Corpsdetexte2Car">
    <w:name w:val="Corps de texte 2 Car"/>
    <w:basedOn w:val="Tipodeletrapredefinidodopargrafo"/>
    <w:rsid w:val="00A45EEC"/>
    <w:rPr>
      <w:rFonts w:ascii="Times New Roman" w:eastAsia="Times New Roman" w:hAnsi="Times New Roman" w:cs="Times New Roman"/>
      <w:sz w:val="24"/>
      <w:szCs w:val="24"/>
      <w:lang w:eastAsia="fr-FR"/>
    </w:rPr>
  </w:style>
  <w:style w:type="character" w:customStyle="1" w:styleId="Corpodetexto2Carcter">
    <w:name w:val="Corpo de texto 2 Carácter"/>
    <w:link w:val="Corpodetexto2"/>
    <w:rsid w:val="00A45EEC"/>
    <w:rPr>
      <w:rFonts w:ascii="Times New Roman" w:eastAsia="Times New Roman" w:hAnsi="Times New Roman" w:cs="Times New Roman"/>
      <w:sz w:val="24"/>
      <w:szCs w:val="24"/>
      <w:lang w:val="en-US"/>
    </w:rPr>
  </w:style>
  <w:style w:type="paragraph" w:customStyle="1" w:styleId="Section4-Heading1">
    <w:name w:val="Section 4 - Heading 1"/>
    <w:basedOn w:val="Section3-Heading1"/>
    <w:rsid w:val="00A45EEC"/>
  </w:style>
  <w:style w:type="paragraph" w:customStyle="1" w:styleId="Header1-Clauses">
    <w:name w:val="Header 1 - Clauses"/>
    <w:basedOn w:val="Normal"/>
    <w:rsid w:val="00A45EEC"/>
    <w:pPr>
      <w:numPr>
        <w:numId w:val="7"/>
      </w:numPr>
    </w:pPr>
    <w:rPr>
      <w:b/>
      <w:szCs w:val="20"/>
      <w:lang w:val="es-ES_tradnl" w:eastAsia="en-US"/>
    </w:rPr>
  </w:style>
  <w:style w:type="paragraph" w:customStyle="1" w:styleId="Header2-SubClauses">
    <w:name w:val="Header 2 - SubClauses"/>
    <w:basedOn w:val="Normal"/>
    <w:rsid w:val="00A45EEC"/>
    <w:pPr>
      <w:numPr>
        <w:ilvl w:val="1"/>
        <w:numId w:val="7"/>
      </w:numPr>
      <w:tabs>
        <w:tab w:val="left" w:pos="619"/>
      </w:tabs>
      <w:spacing w:after="200"/>
      <w:jc w:val="both"/>
    </w:pPr>
    <w:rPr>
      <w:szCs w:val="20"/>
      <w:lang w:val="es-ES_tradnl" w:eastAsia="en-US"/>
    </w:rPr>
  </w:style>
  <w:style w:type="paragraph" w:customStyle="1" w:styleId="P3Header1-Clauses">
    <w:name w:val="P3 Header1-Clauses"/>
    <w:basedOn w:val="Header1-Clauses"/>
    <w:rsid w:val="00A45EEC"/>
    <w:pPr>
      <w:numPr>
        <w:ilvl w:val="2"/>
      </w:numPr>
    </w:pPr>
  </w:style>
  <w:style w:type="character" w:customStyle="1" w:styleId="DeltaViewInsertion">
    <w:name w:val="DeltaView Insertion"/>
    <w:rsid w:val="00A45EEC"/>
    <w:rPr>
      <w:color w:val="0000FF"/>
      <w:u w:val="double"/>
    </w:rPr>
  </w:style>
  <w:style w:type="paragraph" w:customStyle="1" w:styleId="Section8Heading1">
    <w:name w:val="Section 8. Heading1"/>
    <w:basedOn w:val="A1-Heading2"/>
    <w:qFormat/>
    <w:rsid w:val="00A45EEC"/>
    <w:pPr>
      <w:numPr>
        <w:numId w:val="11"/>
      </w:numPr>
      <w:tabs>
        <w:tab w:val="clear" w:pos="360"/>
      </w:tabs>
      <w:spacing w:before="120" w:after="240"/>
      <w:ind w:left="928"/>
      <w:contextualSpacing w:val="0"/>
    </w:pPr>
    <w:rPr>
      <w:sz w:val="28"/>
      <w:lang w:val="en-US"/>
    </w:rPr>
  </w:style>
  <w:style w:type="paragraph" w:customStyle="1" w:styleId="Section8Heading2">
    <w:name w:val="Section 8. Heading2"/>
    <w:next w:val="Normal"/>
    <w:qFormat/>
    <w:rsid w:val="00A45EEC"/>
    <w:pPr>
      <w:numPr>
        <w:numId w:val="12"/>
      </w:numPr>
      <w:spacing w:after="200" w:line="240" w:lineRule="auto"/>
    </w:pPr>
    <w:rPr>
      <w:rFonts w:ascii="Times New Roman" w:eastAsia="Times New Roman" w:hAnsi="Times New Roman" w:cs="Times New Roman"/>
      <w:b/>
      <w:bCs/>
      <w:sz w:val="24"/>
      <w:szCs w:val="24"/>
      <w:lang w:val="en-US"/>
    </w:rPr>
  </w:style>
  <w:style w:type="paragraph" w:customStyle="1" w:styleId="Section8Header1">
    <w:name w:val="Section 8. Header1"/>
    <w:qFormat/>
    <w:rsid w:val="00A45EEC"/>
    <w:pPr>
      <w:numPr>
        <w:numId w:val="13"/>
      </w:numPr>
      <w:spacing w:before="240" w:after="240" w:line="240" w:lineRule="auto"/>
      <w:jc w:val="center"/>
    </w:pPr>
    <w:rPr>
      <w:rFonts w:ascii="Times New Roman" w:eastAsia="Times New Roman" w:hAnsi="Times New Roman" w:cs="Times New Roman"/>
      <w:b/>
      <w:sz w:val="32"/>
      <w:szCs w:val="20"/>
      <w:lang w:val="en-US"/>
    </w:rPr>
  </w:style>
  <w:style w:type="paragraph" w:customStyle="1" w:styleId="Section8Heading3">
    <w:name w:val="Section 8. Heading3"/>
    <w:qFormat/>
    <w:rsid w:val="00A45EEC"/>
    <w:pPr>
      <w:spacing w:after="0" w:line="240" w:lineRule="auto"/>
      <w:ind w:hanging="534"/>
    </w:pPr>
    <w:rPr>
      <w:rFonts w:ascii="Times New Roman" w:eastAsia="Times New Roman" w:hAnsi="Times New Roman" w:cs="Times New Roman"/>
      <w:b/>
      <w:bCs/>
      <w:sz w:val="24"/>
      <w:szCs w:val="24"/>
      <w:lang w:val="en-US"/>
    </w:rPr>
  </w:style>
  <w:style w:type="paragraph" w:customStyle="1" w:styleId="Document1">
    <w:name w:val="Document 1"/>
    <w:rsid w:val="00A45EEC"/>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xtBoxFramed">
    <w:name w:val="Text Box Framed"/>
    <w:basedOn w:val="Normal"/>
    <w:rsid w:val="00A45EEC"/>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paragraph" w:customStyle="1" w:styleId="p7">
    <w:name w:val="p7"/>
    <w:basedOn w:val="Normal"/>
    <w:rsid w:val="00A45EEC"/>
    <w:pPr>
      <w:widowControl w:val="0"/>
      <w:spacing w:line="360" w:lineRule="atLeast"/>
      <w:ind w:left="720" w:hanging="720"/>
    </w:pPr>
    <w:rPr>
      <w:rFonts w:ascii="Chicago" w:hAnsi="Chicago"/>
      <w:snapToGrid w:val="0"/>
      <w:szCs w:val="20"/>
      <w:lang w:val="en-US" w:eastAsia="en-US"/>
    </w:rPr>
  </w:style>
  <w:style w:type="paragraph" w:customStyle="1" w:styleId="p3">
    <w:name w:val="p3"/>
    <w:basedOn w:val="Normal"/>
    <w:rsid w:val="00A45EEC"/>
    <w:pPr>
      <w:widowControl w:val="0"/>
      <w:tabs>
        <w:tab w:val="left" w:pos="0"/>
      </w:tabs>
      <w:spacing w:line="240" w:lineRule="atLeast"/>
      <w:jc w:val="both"/>
      <w:outlineLvl w:val="1"/>
    </w:pPr>
    <w:rPr>
      <w:rFonts w:ascii="Arial" w:hAnsi="Arial" w:cs="Arial"/>
      <w:b/>
      <w:bCs/>
      <w:snapToGrid w:val="0"/>
      <w:sz w:val="20"/>
      <w:szCs w:val="20"/>
      <w:lang w:eastAsia="en-US"/>
    </w:rPr>
  </w:style>
  <w:style w:type="paragraph" w:customStyle="1" w:styleId="p4">
    <w:name w:val="p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18">
    <w:name w:val="p18"/>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13">
    <w:name w:val="p13"/>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38">
    <w:name w:val="p38"/>
    <w:basedOn w:val="Normal"/>
    <w:rsid w:val="00A45EEC"/>
    <w:pPr>
      <w:widowControl w:val="0"/>
      <w:spacing w:line="240" w:lineRule="atLeast"/>
      <w:ind w:left="700" w:hanging="700"/>
    </w:pPr>
    <w:rPr>
      <w:rFonts w:ascii="Chicago" w:hAnsi="Chicago"/>
      <w:snapToGrid w:val="0"/>
      <w:szCs w:val="20"/>
      <w:lang w:val="en-US" w:eastAsia="en-US"/>
    </w:rPr>
  </w:style>
  <w:style w:type="paragraph" w:customStyle="1" w:styleId="p33">
    <w:name w:val="p33"/>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26">
    <w:name w:val="p26"/>
    <w:basedOn w:val="Normal"/>
    <w:rsid w:val="00A45EEC"/>
    <w:pPr>
      <w:widowControl w:val="0"/>
      <w:tabs>
        <w:tab w:val="left" w:pos="0"/>
      </w:tabs>
      <w:spacing w:line="240" w:lineRule="atLeast"/>
      <w:ind w:firstLine="720"/>
    </w:pPr>
    <w:rPr>
      <w:rFonts w:ascii="Chicago" w:hAnsi="Chicago"/>
      <w:snapToGrid w:val="0"/>
      <w:szCs w:val="20"/>
      <w:lang w:val="en-US" w:eastAsia="en-US"/>
    </w:rPr>
  </w:style>
  <w:style w:type="paragraph" w:customStyle="1" w:styleId="p17">
    <w:name w:val="p17"/>
    <w:basedOn w:val="Normal"/>
    <w:rsid w:val="00A45EEC"/>
    <w:pPr>
      <w:widowControl w:val="0"/>
      <w:tabs>
        <w:tab w:val="left" w:pos="720"/>
      </w:tabs>
      <w:spacing w:line="240" w:lineRule="atLeast"/>
      <w:jc w:val="both"/>
    </w:pPr>
    <w:rPr>
      <w:rFonts w:ascii="Chicago" w:hAnsi="Chicago"/>
      <w:snapToGrid w:val="0"/>
      <w:szCs w:val="20"/>
      <w:lang w:val="en-US" w:eastAsia="en-US"/>
    </w:rPr>
  </w:style>
  <w:style w:type="paragraph" w:customStyle="1" w:styleId="p46">
    <w:name w:val="p46"/>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35">
    <w:name w:val="p35"/>
    <w:basedOn w:val="Normal"/>
    <w:rsid w:val="00A45EEC"/>
    <w:pPr>
      <w:widowControl w:val="0"/>
      <w:tabs>
        <w:tab w:val="left" w:pos="720"/>
      </w:tabs>
      <w:spacing w:line="360" w:lineRule="atLeast"/>
    </w:pPr>
    <w:rPr>
      <w:rFonts w:ascii="Chicago" w:hAnsi="Chicago"/>
      <w:snapToGrid w:val="0"/>
      <w:szCs w:val="20"/>
      <w:lang w:val="en-US" w:eastAsia="en-US"/>
    </w:rPr>
  </w:style>
  <w:style w:type="paragraph" w:customStyle="1" w:styleId="p51">
    <w:name w:val="p51"/>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54">
    <w:name w:val="p5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23">
    <w:name w:val="p23"/>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En-ttetitre-chapitre">
    <w:name w:val="En-tête titre-chapitre"/>
    <w:basedOn w:val="Cabealho"/>
    <w:rsid w:val="00A45EEC"/>
    <w:pPr>
      <w:widowControl w:val="0"/>
      <w:pBdr>
        <w:bottom w:val="single" w:sz="18" w:space="4" w:color="auto"/>
      </w:pBdr>
      <w:tabs>
        <w:tab w:val="clear" w:pos="4536"/>
        <w:tab w:val="clear" w:pos="9072"/>
      </w:tabs>
      <w:spacing w:after="0" w:line="240" w:lineRule="auto"/>
      <w:ind w:left="-992" w:right="1134" w:firstLine="851"/>
      <w:jc w:val="right"/>
    </w:pPr>
    <w:rPr>
      <w:rFonts w:ascii="Arial Narrow" w:eastAsia="Times New Roman" w:hAnsi="Arial Narrow"/>
      <w:b/>
      <w:smallCaps/>
      <w:sz w:val="28"/>
    </w:rPr>
  </w:style>
  <w:style w:type="paragraph" w:styleId="Listacommarcas3">
    <w:name w:val="List Bullet 3"/>
    <w:basedOn w:val="Normal"/>
    <w:autoRedefine/>
    <w:semiHidden/>
    <w:rsid w:val="00490E6E"/>
    <w:pPr>
      <w:numPr>
        <w:numId w:val="43"/>
      </w:numPr>
    </w:pPr>
    <w:rPr>
      <w:b/>
    </w:rPr>
  </w:style>
  <w:style w:type="paragraph" w:styleId="Listanumerada2">
    <w:name w:val="List Number 2"/>
    <w:basedOn w:val="Normal"/>
    <w:semiHidden/>
    <w:rsid w:val="00A45EEC"/>
    <w:pPr>
      <w:numPr>
        <w:numId w:val="15"/>
      </w:numPr>
      <w:tabs>
        <w:tab w:val="num" w:pos="1080"/>
      </w:tabs>
      <w:spacing w:before="120" w:after="120" w:line="300" w:lineRule="auto"/>
      <w:ind w:left="1080"/>
      <w:jc w:val="both"/>
    </w:pPr>
    <w:rPr>
      <w:rFonts w:ascii="Arial" w:eastAsia="Calibri" w:hAnsi="Arial"/>
      <w:sz w:val="20"/>
      <w:lang w:val="en-GB" w:eastAsia="en-US"/>
    </w:rPr>
  </w:style>
  <w:style w:type="paragraph" w:customStyle="1" w:styleId="AATitre3">
    <w:name w:val="AA Titre 3"/>
    <w:basedOn w:val="Normal"/>
    <w:rsid w:val="00A45EEC"/>
    <w:pPr>
      <w:numPr>
        <w:numId w:val="16"/>
      </w:numPr>
      <w:suppressAutoHyphens/>
      <w:spacing w:before="120" w:after="120"/>
      <w:jc w:val="both"/>
    </w:pPr>
    <w:rPr>
      <w:sz w:val="22"/>
      <w:szCs w:val="20"/>
      <w:lang w:eastAsia="ar-SA"/>
    </w:rPr>
  </w:style>
  <w:style w:type="paragraph" w:customStyle="1" w:styleId="ListAlpha2">
    <w:name w:val="List Alpha 2"/>
    <w:basedOn w:val="Normal"/>
    <w:next w:val="Normal"/>
    <w:rsid w:val="00A45EEC"/>
    <w:pPr>
      <w:numPr>
        <w:ilvl w:val="1"/>
        <w:numId w:val="17"/>
      </w:numPr>
      <w:tabs>
        <w:tab w:val="left" w:pos="50"/>
      </w:tabs>
      <w:spacing w:after="200" w:line="288" w:lineRule="auto"/>
      <w:jc w:val="both"/>
    </w:pPr>
    <w:rPr>
      <w:rFonts w:ascii="CG Times" w:hAnsi="CG Times"/>
      <w:color w:val="000000"/>
      <w:sz w:val="22"/>
      <w:szCs w:val="22"/>
      <w:lang w:val="en-GB"/>
    </w:rPr>
  </w:style>
  <w:style w:type="paragraph" w:customStyle="1" w:styleId="ListAlpha3">
    <w:name w:val="List Alpha 3"/>
    <w:basedOn w:val="Normal"/>
    <w:next w:val="Normal"/>
    <w:rsid w:val="00A45EEC"/>
    <w:pPr>
      <w:numPr>
        <w:numId w:val="17"/>
      </w:numPr>
      <w:tabs>
        <w:tab w:val="left" w:pos="68"/>
      </w:tabs>
      <w:spacing w:after="200" w:line="288" w:lineRule="auto"/>
      <w:jc w:val="both"/>
    </w:pPr>
    <w:rPr>
      <w:rFonts w:ascii="CG Times" w:hAnsi="CG Times"/>
      <w:color w:val="000000"/>
      <w:sz w:val="22"/>
      <w:szCs w:val="22"/>
      <w:lang w:val="en-GB"/>
    </w:rPr>
  </w:style>
  <w:style w:type="paragraph" w:customStyle="1" w:styleId="LISTALPHACAPS2">
    <w:name w:val="LIST ALPHA CAPS 2"/>
    <w:basedOn w:val="Normal"/>
    <w:next w:val="Normal"/>
    <w:rsid w:val="00A45EEC"/>
    <w:pPr>
      <w:numPr>
        <w:ilvl w:val="2"/>
        <w:numId w:val="17"/>
      </w:numPr>
      <w:tabs>
        <w:tab w:val="left" w:pos="50"/>
      </w:tabs>
      <w:spacing w:after="200" w:line="288" w:lineRule="auto"/>
      <w:jc w:val="both"/>
    </w:pPr>
    <w:rPr>
      <w:rFonts w:ascii="CG Times" w:hAnsi="CG Times"/>
      <w:color w:val="000000"/>
      <w:sz w:val="22"/>
      <w:szCs w:val="22"/>
      <w:lang w:val="en-GB"/>
    </w:rPr>
  </w:style>
  <w:style w:type="character" w:customStyle="1" w:styleId="NotedebasdepageCar2">
    <w:name w:val="Note de bas de page Car2"/>
    <w:locked/>
    <w:rsid w:val="00A45EEC"/>
    <w:rPr>
      <w:lang w:val="en-US" w:eastAsia="en-US"/>
    </w:rPr>
  </w:style>
  <w:style w:type="paragraph" w:customStyle="1" w:styleId="Paragraphedeliste2">
    <w:name w:val="Paragraphe de liste2"/>
    <w:basedOn w:val="Normal"/>
    <w:qFormat/>
    <w:rsid w:val="00A45EEC"/>
    <w:pPr>
      <w:ind w:left="720"/>
    </w:pPr>
    <w:rPr>
      <w:lang w:val="en-US" w:eastAsia="en-US"/>
    </w:rPr>
  </w:style>
  <w:style w:type="paragraph" w:customStyle="1" w:styleId="En-ttedetabledesmatires11">
    <w:name w:val="En-tête de table des matières11"/>
    <w:basedOn w:val="Cabealho1"/>
    <w:next w:val="Normal"/>
    <w:unhideWhenUsed/>
    <w:qFormat/>
    <w:rsid w:val="00A45EEC"/>
    <w:pPr>
      <w:keepLines/>
      <w:numPr>
        <w:numId w:val="0"/>
      </w:numPr>
      <w:spacing w:before="480" w:after="0" w:line="276" w:lineRule="auto"/>
      <w:outlineLvl w:val="9"/>
    </w:pPr>
    <w:rPr>
      <w:color w:val="365F91"/>
      <w:kern w:val="0"/>
      <w:sz w:val="28"/>
      <w:szCs w:val="28"/>
      <w:lang w:val="en-US" w:eastAsia="en-US"/>
    </w:rPr>
  </w:style>
  <w:style w:type="paragraph" w:customStyle="1" w:styleId="BodyText21">
    <w:name w:val="Body Text 21"/>
    <w:basedOn w:val="Normal"/>
    <w:rsid w:val="00A45EEC"/>
    <w:rPr>
      <w:kern w:val="24"/>
      <w:sz w:val="22"/>
      <w:szCs w:val="20"/>
      <w:lang w:val="en-US" w:eastAsia="en-US"/>
    </w:rPr>
  </w:style>
  <w:style w:type="paragraph" w:customStyle="1" w:styleId="IanBodytext">
    <w:name w:val="Ian Body text"/>
    <w:basedOn w:val="Normal"/>
    <w:rsid w:val="00A45EEC"/>
    <w:pPr>
      <w:widowControl w:val="0"/>
      <w:tabs>
        <w:tab w:val="left" w:pos="567"/>
        <w:tab w:val="left" w:pos="1134"/>
        <w:tab w:val="left" w:pos="1701"/>
        <w:tab w:val="left" w:pos="2268"/>
        <w:tab w:val="left" w:pos="2835"/>
        <w:tab w:val="right" w:pos="9639"/>
      </w:tabs>
      <w:spacing w:before="120" w:after="120"/>
      <w:jc w:val="both"/>
    </w:pPr>
    <w:rPr>
      <w:rFonts w:ascii="Arial" w:hAnsi="Arial"/>
      <w:sz w:val="22"/>
      <w:lang w:val="en-AU" w:eastAsia="en-US"/>
    </w:rPr>
  </w:style>
  <w:style w:type="paragraph" w:customStyle="1" w:styleId="A1-Heading20">
    <w:name w:val="A1-Heading 2"/>
    <w:basedOn w:val="Cabealho2"/>
    <w:next w:val="Normal"/>
    <w:rsid w:val="00A45EEC"/>
    <w:pPr>
      <w:keepNext w:val="0"/>
      <w:numPr>
        <w:ilvl w:val="0"/>
        <w:numId w:val="0"/>
      </w:numPr>
      <w:spacing w:before="0" w:after="200"/>
      <w:ind w:left="720" w:hanging="720"/>
      <w:contextualSpacing/>
      <w:jc w:val="center"/>
    </w:pPr>
    <w:rPr>
      <w:rFonts w:ascii="Times New Roman" w:hAnsi="Times New Roman"/>
      <w:i w:val="0"/>
      <w:iCs w:val="0"/>
      <w:smallCaps/>
      <w:szCs w:val="24"/>
      <w:lang w:val="en-US" w:eastAsia="en-US"/>
    </w:rPr>
  </w:style>
  <w:style w:type="paragraph" w:customStyle="1" w:styleId="Section2-Heading1">
    <w:name w:val="Section 2 - Heading 1"/>
    <w:basedOn w:val="Normal"/>
    <w:rsid w:val="00A45EEC"/>
    <w:pPr>
      <w:tabs>
        <w:tab w:val="left" w:pos="360"/>
      </w:tabs>
      <w:spacing w:after="200"/>
      <w:ind w:left="360" w:hanging="360"/>
    </w:pPr>
    <w:rPr>
      <w:b/>
      <w:lang w:val="en-GB" w:eastAsia="en-US"/>
    </w:rPr>
  </w:style>
  <w:style w:type="paragraph" w:customStyle="1" w:styleId="Section2-Heading2">
    <w:name w:val="Section 2 - Heading 2"/>
    <w:basedOn w:val="Normal"/>
    <w:rsid w:val="00A45EEC"/>
    <w:pPr>
      <w:spacing w:after="200"/>
      <w:ind w:left="360"/>
    </w:pPr>
    <w:rPr>
      <w:b/>
      <w:lang w:val="en-GB" w:eastAsia="en-US"/>
    </w:rPr>
  </w:style>
  <w:style w:type="paragraph" w:customStyle="1" w:styleId="Section3-Heading2">
    <w:name w:val="Section 3 - Heading 2"/>
    <w:basedOn w:val="Normal"/>
    <w:next w:val="Normal"/>
    <w:rsid w:val="00A45EEC"/>
    <w:pPr>
      <w:spacing w:after="200"/>
      <w:jc w:val="center"/>
    </w:pPr>
    <w:rPr>
      <w:b/>
      <w:sz w:val="28"/>
      <w:lang w:val="en-US" w:eastAsia="en-US"/>
    </w:rPr>
  </w:style>
  <w:style w:type="paragraph" w:customStyle="1" w:styleId="c5">
    <w:name w:val="c5"/>
    <w:basedOn w:val="Normal"/>
    <w:rsid w:val="00A45EEC"/>
    <w:pPr>
      <w:widowControl w:val="0"/>
      <w:spacing w:line="240" w:lineRule="atLeast"/>
      <w:jc w:val="center"/>
    </w:pPr>
    <w:rPr>
      <w:rFonts w:ascii="Chicago" w:hAnsi="Chicago"/>
      <w:snapToGrid w:val="0"/>
      <w:szCs w:val="20"/>
      <w:lang w:val="en-US" w:eastAsia="en-US"/>
    </w:rPr>
  </w:style>
  <w:style w:type="paragraph" w:customStyle="1" w:styleId="p6">
    <w:name w:val="p6"/>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8">
    <w:name w:val="p8"/>
    <w:basedOn w:val="Normal"/>
    <w:rsid w:val="00A45EEC"/>
    <w:pPr>
      <w:widowControl w:val="0"/>
      <w:tabs>
        <w:tab w:val="left" w:pos="0"/>
        <w:tab w:val="left" w:pos="920"/>
      </w:tabs>
      <w:spacing w:line="240" w:lineRule="atLeast"/>
      <w:ind w:left="200" w:firstLine="720"/>
    </w:pPr>
    <w:rPr>
      <w:rFonts w:ascii="Chicago" w:hAnsi="Chicago"/>
      <w:snapToGrid w:val="0"/>
      <w:szCs w:val="20"/>
      <w:lang w:val="en-US" w:eastAsia="en-US"/>
    </w:rPr>
  </w:style>
  <w:style w:type="paragraph" w:customStyle="1" w:styleId="p11">
    <w:name w:val="p11"/>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16">
    <w:name w:val="p16"/>
    <w:basedOn w:val="Normal"/>
    <w:rsid w:val="00A45EEC"/>
    <w:pPr>
      <w:widowControl w:val="0"/>
      <w:tabs>
        <w:tab w:val="left" w:pos="0"/>
      </w:tabs>
      <w:spacing w:line="240" w:lineRule="atLeast"/>
      <w:ind w:firstLine="720"/>
      <w:jc w:val="both"/>
    </w:pPr>
    <w:rPr>
      <w:rFonts w:ascii="Chicago" w:hAnsi="Chicago"/>
      <w:snapToGrid w:val="0"/>
      <w:szCs w:val="20"/>
      <w:lang w:val="en-US" w:eastAsia="en-US"/>
    </w:rPr>
  </w:style>
  <w:style w:type="paragraph" w:customStyle="1" w:styleId="p32">
    <w:name w:val="p32"/>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4">
    <w:name w:val="p3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7">
    <w:name w:val="p37"/>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40">
    <w:name w:val="p40"/>
    <w:basedOn w:val="Normal"/>
    <w:rsid w:val="00A45EEC"/>
    <w:pPr>
      <w:widowControl w:val="0"/>
      <w:tabs>
        <w:tab w:val="left" w:pos="0"/>
      </w:tabs>
      <w:spacing w:line="240" w:lineRule="atLeast"/>
      <w:ind w:left="4160" w:hanging="1780"/>
    </w:pPr>
    <w:rPr>
      <w:rFonts w:ascii="Chicago" w:hAnsi="Chicago"/>
      <w:snapToGrid w:val="0"/>
      <w:szCs w:val="20"/>
      <w:lang w:val="en-US" w:eastAsia="en-US"/>
    </w:rPr>
  </w:style>
  <w:style w:type="paragraph" w:customStyle="1" w:styleId="p42">
    <w:name w:val="p42"/>
    <w:basedOn w:val="Normal"/>
    <w:rsid w:val="00A45EEC"/>
    <w:pPr>
      <w:widowControl w:val="0"/>
      <w:tabs>
        <w:tab w:val="left" w:pos="0"/>
        <w:tab w:val="left" w:pos="900"/>
      </w:tabs>
      <w:spacing w:line="360" w:lineRule="atLeast"/>
      <w:ind w:firstLine="180"/>
    </w:pPr>
    <w:rPr>
      <w:rFonts w:ascii="Chicago" w:hAnsi="Chicago"/>
      <w:snapToGrid w:val="0"/>
      <w:szCs w:val="20"/>
      <w:lang w:val="en-US" w:eastAsia="en-US"/>
    </w:rPr>
  </w:style>
  <w:style w:type="paragraph" w:customStyle="1" w:styleId="p12">
    <w:name w:val="p12"/>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6">
    <w:name w:val="p36"/>
    <w:basedOn w:val="Normal"/>
    <w:rsid w:val="00A45EEC"/>
    <w:pPr>
      <w:widowControl w:val="0"/>
      <w:tabs>
        <w:tab w:val="left" w:pos="720"/>
      </w:tabs>
      <w:spacing w:line="240" w:lineRule="atLeast"/>
      <w:jc w:val="both"/>
    </w:pPr>
    <w:rPr>
      <w:rFonts w:ascii="Chicago" w:hAnsi="Chicago"/>
      <w:snapToGrid w:val="0"/>
      <w:szCs w:val="20"/>
      <w:lang w:val="en-US" w:eastAsia="en-US"/>
    </w:rPr>
  </w:style>
  <w:style w:type="paragraph" w:customStyle="1" w:styleId="p48">
    <w:name w:val="p48"/>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ArialBodyTextCharCharCharChar">
    <w:name w:val="Arial Body Text Char Char Char Char"/>
    <w:basedOn w:val="Normal"/>
    <w:rsid w:val="00A45EEC"/>
    <w:pPr>
      <w:spacing w:before="120" w:after="60"/>
      <w:ind w:left="1418"/>
      <w:jc w:val="both"/>
    </w:pPr>
    <w:rPr>
      <w:rFonts w:ascii="Arial" w:hAnsi="Arial" w:cs="Arial"/>
      <w:sz w:val="22"/>
      <w:szCs w:val="22"/>
      <w:lang w:val="de-DE" w:eastAsia="de-CH"/>
    </w:rPr>
  </w:style>
  <w:style w:type="paragraph" w:customStyle="1" w:styleId="MainParanoChapter">
    <w:name w:val="Main Para no Chapter #"/>
    <w:basedOn w:val="Normal"/>
    <w:rsid w:val="00A45EEC"/>
    <w:pPr>
      <w:numPr>
        <w:ilvl w:val="1"/>
        <w:numId w:val="18"/>
      </w:numPr>
      <w:spacing w:after="240"/>
      <w:outlineLvl w:val="1"/>
    </w:pPr>
    <w:rPr>
      <w:lang w:val="en-US" w:eastAsia="en-US"/>
    </w:rPr>
  </w:style>
  <w:style w:type="paragraph" w:customStyle="1" w:styleId="Sub-Para1underX">
    <w:name w:val="Sub-Para 1 under X."/>
    <w:basedOn w:val="Normal"/>
    <w:rsid w:val="00A45EEC"/>
    <w:pPr>
      <w:numPr>
        <w:ilvl w:val="2"/>
        <w:numId w:val="20"/>
      </w:numPr>
      <w:spacing w:after="240"/>
      <w:outlineLvl w:val="2"/>
    </w:pPr>
    <w:rPr>
      <w:lang w:val="en-US" w:eastAsia="en-US"/>
    </w:rPr>
  </w:style>
  <w:style w:type="paragraph" w:customStyle="1" w:styleId="Sub-Para2underX">
    <w:name w:val="Sub-Para 2 under X."/>
    <w:basedOn w:val="Normal"/>
    <w:rsid w:val="00A45EEC"/>
    <w:pPr>
      <w:numPr>
        <w:ilvl w:val="3"/>
        <w:numId w:val="20"/>
      </w:numPr>
      <w:spacing w:after="240"/>
      <w:outlineLvl w:val="3"/>
    </w:pPr>
    <w:rPr>
      <w:lang w:val="en-US" w:eastAsia="en-US"/>
    </w:rPr>
  </w:style>
  <w:style w:type="paragraph" w:customStyle="1" w:styleId="Sub-Para3underX">
    <w:name w:val="Sub-Para 3 under X."/>
    <w:basedOn w:val="Normal"/>
    <w:rsid w:val="00A45EEC"/>
    <w:pPr>
      <w:numPr>
        <w:ilvl w:val="4"/>
        <w:numId w:val="20"/>
      </w:numPr>
      <w:spacing w:after="240"/>
      <w:outlineLvl w:val="4"/>
    </w:pPr>
    <w:rPr>
      <w:lang w:val="en-US" w:eastAsia="en-US"/>
    </w:rPr>
  </w:style>
  <w:style w:type="paragraph" w:customStyle="1" w:styleId="Sub-Para4underX">
    <w:name w:val="Sub-Para 4 under X."/>
    <w:basedOn w:val="Normal"/>
    <w:rsid w:val="00A45EEC"/>
    <w:pPr>
      <w:numPr>
        <w:ilvl w:val="5"/>
        <w:numId w:val="20"/>
      </w:numPr>
      <w:spacing w:after="240"/>
      <w:outlineLvl w:val="5"/>
    </w:pPr>
    <w:rPr>
      <w:lang w:val="en-US" w:eastAsia="en-US"/>
    </w:rPr>
  </w:style>
  <w:style w:type="paragraph" w:customStyle="1" w:styleId="StyleMainParanoChapter11ptBold">
    <w:name w:val="Style Main Para no Chapter # + 11 pt Bold"/>
    <w:basedOn w:val="MainParanoChapter"/>
    <w:rsid w:val="00A45EEC"/>
    <w:pPr>
      <w:numPr>
        <w:ilvl w:val="0"/>
        <w:numId w:val="20"/>
      </w:numPr>
      <w:tabs>
        <w:tab w:val="clear" w:pos="360"/>
        <w:tab w:val="num" w:pos="1440"/>
      </w:tabs>
      <w:ind w:left="720" w:hanging="720"/>
    </w:pPr>
    <w:rPr>
      <w:b/>
      <w:bCs/>
      <w:spacing w:val="-2"/>
      <w:sz w:val="22"/>
    </w:rPr>
  </w:style>
  <w:style w:type="paragraph" w:customStyle="1" w:styleId="ModelNrmlSingle">
    <w:name w:val="ModelNrmlSingle"/>
    <w:basedOn w:val="Normal"/>
    <w:rsid w:val="00A45EEC"/>
    <w:pPr>
      <w:spacing w:after="240"/>
      <w:ind w:firstLine="720"/>
      <w:jc w:val="both"/>
    </w:pPr>
    <w:rPr>
      <w:sz w:val="22"/>
      <w:szCs w:val="20"/>
      <w:lang w:val="en-US" w:eastAsia="en-US"/>
    </w:rPr>
  </w:style>
  <w:style w:type="paragraph" w:customStyle="1" w:styleId="Paragraphedeliste11">
    <w:name w:val="Paragraphe de liste11"/>
    <w:basedOn w:val="Normal"/>
    <w:qFormat/>
    <w:rsid w:val="00A45EEC"/>
    <w:pPr>
      <w:ind w:left="720"/>
    </w:pPr>
  </w:style>
  <w:style w:type="paragraph" w:customStyle="1" w:styleId="Bullet">
    <w:name w:val="Bullet"/>
    <w:basedOn w:val="Normal"/>
    <w:rsid w:val="00A45EEC"/>
    <w:pPr>
      <w:numPr>
        <w:numId w:val="19"/>
      </w:numPr>
    </w:pPr>
    <w:rPr>
      <w:lang w:val="fr-CA"/>
    </w:rPr>
  </w:style>
  <w:style w:type="paragraph" w:customStyle="1" w:styleId="ParaWB">
    <w:name w:val="Para WB"/>
    <w:basedOn w:val="Normal"/>
    <w:rsid w:val="00A45EEC"/>
    <w:pPr>
      <w:numPr>
        <w:numId w:val="8"/>
      </w:numPr>
      <w:spacing w:before="120" w:after="120"/>
      <w:jc w:val="both"/>
    </w:pPr>
  </w:style>
  <w:style w:type="paragraph" w:styleId="ndiceremissivo1">
    <w:name w:val="index 1"/>
    <w:basedOn w:val="Normal"/>
    <w:next w:val="Normal"/>
    <w:autoRedefine/>
    <w:semiHidden/>
    <w:rsid w:val="00A45EEC"/>
    <w:pPr>
      <w:numPr>
        <w:numId w:val="10"/>
      </w:numPr>
      <w:ind w:left="1980" w:hanging="540"/>
      <w:jc w:val="both"/>
    </w:pPr>
  </w:style>
  <w:style w:type="paragraph" w:customStyle="1" w:styleId="Outline4">
    <w:name w:val="Outline4"/>
    <w:basedOn w:val="Normal"/>
    <w:rsid w:val="00A45EEC"/>
    <w:pPr>
      <w:numPr>
        <w:ilvl w:val="3"/>
        <w:numId w:val="9"/>
      </w:numPr>
      <w:tabs>
        <w:tab w:val="num" w:pos="1872"/>
      </w:tabs>
      <w:spacing w:before="240"/>
      <w:ind w:left="1872" w:hanging="504"/>
    </w:pPr>
    <w:rPr>
      <w:kern w:val="28"/>
      <w:lang w:val="en-US"/>
    </w:rPr>
  </w:style>
  <w:style w:type="paragraph" w:customStyle="1" w:styleId="titre4">
    <w:name w:val="titre 4"/>
    <w:basedOn w:val="Normal"/>
    <w:autoRedefine/>
    <w:rsid w:val="00A45EEC"/>
    <w:pPr>
      <w:numPr>
        <w:ilvl w:val="2"/>
        <w:numId w:val="12"/>
      </w:numPr>
      <w:spacing w:before="120" w:after="120"/>
      <w:jc w:val="both"/>
    </w:pPr>
    <w:rPr>
      <w:rFonts w:ascii="Century Schoolbook" w:hAnsi="Century Schoolbook"/>
      <w:b/>
      <w:bCs/>
    </w:rPr>
  </w:style>
  <w:style w:type="paragraph" w:customStyle="1" w:styleId="Outline1">
    <w:name w:val="Outline1"/>
    <w:basedOn w:val="Outline"/>
    <w:next w:val="Outline2"/>
    <w:rsid w:val="00A45EEC"/>
    <w:pPr>
      <w:keepNext/>
    </w:pPr>
    <w:rPr>
      <w:sz w:val="22"/>
      <w:szCs w:val="22"/>
      <w:lang w:val="fr-CA" w:eastAsia="fr-FR"/>
    </w:rPr>
  </w:style>
  <w:style w:type="paragraph" w:customStyle="1" w:styleId="Outline2">
    <w:name w:val="Outline2"/>
    <w:basedOn w:val="Normal"/>
    <w:rsid w:val="00A45EEC"/>
    <w:pPr>
      <w:numPr>
        <w:ilvl w:val="1"/>
        <w:numId w:val="9"/>
      </w:numPr>
      <w:tabs>
        <w:tab w:val="clear" w:pos="1080"/>
        <w:tab w:val="num" w:pos="864"/>
      </w:tabs>
      <w:spacing w:before="240"/>
      <w:ind w:left="864" w:hanging="504"/>
    </w:pPr>
    <w:rPr>
      <w:kern w:val="28"/>
      <w:sz w:val="22"/>
      <w:szCs w:val="22"/>
      <w:lang w:val="fr-CA"/>
    </w:rPr>
  </w:style>
  <w:style w:type="paragraph" w:customStyle="1" w:styleId="Outline3">
    <w:name w:val="Outline3"/>
    <w:basedOn w:val="Normal"/>
    <w:rsid w:val="00A45EEC"/>
    <w:pPr>
      <w:numPr>
        <w:ilvl w:val="2"/>
        <w:numId w:val="9"/>
      </w:numPr>
      <w:tabs>
        <w:tab w:val="num" w:pos="1368"/>
      </w:tabs>
      <w:spacing w:before="240"/>
      <w:ind w:left="1368" w:hanging="504"/>
    </w:pPr>
    <w:rPr>
      <w:kern w:val="28"/>
      <w:sz w:val="22"/>
      <w:szCs w:val="22"/>
      <w:lang w:val="fr-CA"/>
    </w:rPr>
  </w:style>
  <w:style w:type="paragraph" w:customStyle="1" w:styleId="TextBox">
    <w:name w:val="Text Box"/>
    <w:basedOn w:val="Normal"/>
    <w:rsid w:val="00A45EEC"/>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sz w:val="20"/>
      <w:szCs w:val="20"/>
      <w:lang w:eastAsia="en-US"/>
    </w:rPr>
  </w:style>
  <w:style w:type="paragraph" w:customStyle="1" w:styleId="TextBoxdots">
    <w:name w:val="Text Box (dots)"/>
    <w:basedOn w:val="Normal"/>
    <w:rsid w:val="00A45EEC"/>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szCs w:val="20"/>
      <w:lang w:eastAsia="en-US"/>
    </w:rPr>
  </w:style>
  <w:style w:type="paragraph" w:customStyle="1" w:styleId="TextBoxUnframed">
    <w:name w:val="Text Box Unframed"/>
    <w:basedOn w:val="Normal"/>
    <w:rsid w:val="00A45EEC"/>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character" w:customStyle="1" w:styleId="TextodemacroCarcter">
    <w:name w:val="Texto de macro Carácter"/>
    <w:basedOn w:val="Tipodeletrapredefinidodopargrafo"/>
    <w:link w:val="Textodemacro"/>
    <w:semiHidden/>
    <w:rsid w:val="00A45EEC"/>
    <w:rPr>
      <w:rFonts w:ascii="Times New Roman" w:eastAsia="Times New Roman" w:hAnsi="Times New Roman" w:cs="Times New Roman"/>
      <w:sz w:val="24"/>
      <w:szCs w:val="20"/>
      <w:lang w:val="en-US"/>
    </w:rPr>
  </w:style>
  <w:style w:type="paragraph" w:styleId="Textodemacro">
    <w:name w:val="macro"/>
    <w:link w:val="TextodemacroCarcter"/>
    <w:semiHidden/>
    <w:rsid w:val="00A45EE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0"/>
      <w:lang w:val="en-US"/>
    </w:rPr>
  </w:style>
  <w:style w:type="character" w:customStyle="1" w:styleId="TextedemacroCar1">
    <w:name w:val="Texte de macro Car1"/>
    <w:basedOn w:val="Tipodeletrapredefinidodopargrafo"/>
    <w:uiPriority w:val="99"/>
    <w:semiHidden/>
    <w:rsid w:val="00A45EEC"/>
    <w:rPr>
      <w:rFonts w:ascii="Consolas" w:eastAsia="Times New Roman" w:hAnsi="Consolas" w:cs="Times New Roman"/>
      <w:sz w:val="20"/>
      <w:szCs w:val="20"/>
      <w:lang w:eastAsia="fr-FR"/>
    </w:rPr>
  </w:style>
  <w:style w:type="paragraph" w:customStyle="1" w:styleId="BoxCaption">
    <w:name w:val="Box Caption"/>
    <w:basedOn w:val="TextBox"/>
    <w:rsid w:val="00A45EEC"/>
    <w:pPr>
      <w:framePr w:wrap="auto"/>
    </w:pPr>
    <w:rPr>
      <w:rFonts w:ascii="Arial" w:hAnsi="Arial"/>
      <w:b/>
    </w:rPr>
  </w:style>
  <w:style w:type="paragraph" w:customStyle="1" w:styleId="CaptionBox">
    <w:name w:val="Caption Box"/>
    <w:basedOn w:val="BoxCaption"/>
    <w:rsid w:val="00A45EEC"/>
    <w:pPr>
      <w:framePr w:wrap="auto"/>
    </w:pPr>
  </w:style>
  <w:style w:type="paragraph" w:customStyle="1" w:styleId="TextBoxIndent">
    <w:name w:val="Text Box Indent"/>
    <w:basedOn w:val="TextBox"/>
    <w:rsid w:val="00A45EEC"/>
    <w:pPr>
      <w:framePr w:wrap="auto"/>
      <w:tabs>
        <w:tab w:val="left" w:pos="630"/>
      </w:tabs>
      <w:ind w:left="1080" w:hanging="792"/>
    </w:pPr>
  </w:style>
  <w:style w:type="character" w:customStyle="1" w:styleId="NotedebasdepageCar1">
    <w:name w:val="Note de bas de page Car1"/>
    <w:basedOn w:val="Tipodeletrapredefinidodopargrafo"/>
    <w:uiPriority w:val="99"/>
    <w:rsid w:val="00A45EEC"/>
    <w:rPr>
      <w:rFonts w:ascii="Times New Roman" w:eastAsia="Times New Roman" w:hAnsi="Times New Roman" w:cs="Times New Roman"/>
      <w:sz w:val="20"/>
      <w:szCs w:val="20"/>
    </w:rPr>
  </w:style>
  <w:style w:type="character" w:customStyle="1" w:styleId="CorpsdetexteCar1">
    <w:name w:val="Corps de texte Car1"/>
    <w:aliases w:val="Corps de texte Car Car Car Car1,Corps de texte Car Car Car Car Car Car1"/>
    <w:rsid w:val="00A45EEC"/>
    <w:rPr>
      <w:rFonts w:ascii="Times New Roman" w:eastAsia="Times New Roman" w:hAnsi="Times New Roman" w:cs="Times New Roman"/>
      <w:sz w:val="24"/>
      <w:szCs w:val="20"/>
    </w:rPr>
  </w:style>
  <w:style w:type="paragraph" w:customStyle="1" w:styleId="BodyText31">
    <w:name w:val="Body Text 31"/>
    <w:basedOn w:val="Normal"/>
    <w:rsid w:val="00A45EEC"/>
    <w:pPr>
      <w:suppressAutoHyphens/>
      <w:overflowPunct w:val="0"/>
      <w:autoSpaceDE w:val="0"/>
      <w:autoSpaceDN w:val="0"/>
      <w:adjustRightInd w:val="0"/>
      <w:spacing w:line="100" w:lineRule="atLeast"/>
      <w:jc w:val="both"/>
      <w:textAlignment w:val="baseline"/>
    </w:pPr>
    <w:rPr>
      <w:rFonts w:ascii="Arial" w:eastAsia="Calibri" w:hAnsi="Arial"/>
      <w:kern w:val="1"/>
      <w:szCs w:val="20"/>
    </w:rPr>
  </w:style>
  <w:style w:type="paragraph" w:customStyle="1" w:styleId="western">
    <w:name w:val="western"/>
    <w:basedOn w:val="Normal"/>
    <w:rsid w:val="00A45EEC"/>
    <w:pPr>
      <w:spacing w:before="100" w:beforeAutospacing="1"/>
      <w:jc w:val="both"/>
    </w:pPr>
    <w:rPr>
      <w:rFonts w:ascii="Arial" w:eastAsia="Arial Unicode MS" w:hAnsi="Arial" w:cs="Arial"/>
      <w:color w:val="000000"/>
    </w:rPr>
  </w:style>
  <w:style w:type="character" w:customStyle="1" w:styleId="hps">
    <w:name w:val="hps"/>
    <w:rsid w:val="00A45EEC"/>
  </w:style>
  <w:style w:type="character" w:customStyle="1" w:styleId="atn">
    <w:name w:val="atn"/>
    <w:rsid w:val="00A45EEC"/>
  </w:style>
  <w:style w:type="paragraph" w:customStyle="1" w:styleId="pabid7">
    <w:name w:val="pabid7"/>
    <w:basedOn w:val="Normal"/>
    <w:rsid w:val="00A45EEC"/>
    <w:pPr>
      <w:spacing w:before="100" w:beforeAutospacing="1" w:after="100" w:afterAutospacing="1"/>
    </w:pPr>
    <w:rPr>
      <w:lang w:val="en-US" w:eastAsia="en-US"/>
    </w:rPr>
  </w:style>
  <w:style w:type="character" w:customStyle="1" w:styleId="Titre2Car1">
    <w:name w:val="Titre 2 Car1"/>
    <w:aliases w:val="Paranum Car,Chpt Car,Titolo 2 Car,alec2 Car,STitre 2 Car1,an_Über 2 Car1,Titre secondaire (2) Car1,sous-chapitre Car1,Tend_Überschrift 2 Car1,Titre 2 tamarins Car1,Titre Article Car1,Titre 22 Car1,Kiyombo T2 Car1"/>
    <w:rsid w:val="00A45EEC"/>
    <w:rPr>
      <w:rFonts w:ascii="Times New Roman" w:eastAsia="Times New Roman" w:hAnsi="Times New Roman" w:cs="Times New Roman"/>
      <w:b/>
      <w:sz w:val="24"/>
      <w:szCs w:val="24"/>
      <w:lang w:val="en-GB"/>
    </w:rPr>
  </w:style>
  <w:style w:type="character" w:customStyle="1" w:styleId="Titre6Car1">
    <w:name w:val="Titre 6 Car1"/>
    <w:rsid w:val="00A45EEC"/>
    <w:rPr>
      <w:rFonts w:ascii="Times New Roman" w:eastAsia="Times New Roman" w:hAnsi="Times New Roman" w:cs="Times New Roman"/>
      <w:b/>
      <w:smallCaps/>
      <w:sz w:val="24"/>
      <w:szCs w:val="24"/>
    </w:rPr>
  </w:style>
  <w:style w:type="character" w:customStyle="1" w:styleId="En-tteCar1">
    <w:name w:val="En-tête Car1"/>
    <w:aliases w:val="Kopfzeile Char Char Car1, Char Char Char Car1"/>
    <w:locked/>
    <w:rsid w:val="00A45EEC"/>
    <w:rPr>
      <w:rFonts w:ascii="Times New Roman" w:eastAsia="Times New Roman" w:hAnsi="Times New Roman" w:cs="Times New Roman"/>
      <w:sz w:val="20"/>
      <w:szCs w:val="20"/>
    </w:rPr>
  </w:style>
  <w:style w:type="character" w:customStyle="1" w:styleId="Titre1Car1">
    <w:name w:val="Titre 1 Car1"/>
    <w:aliases w:val=" Main Heading Car,Main Heading Car,TCI 1.  Heading Car,Main Heading 1 Car,Heading 11 Car2,Heading 11 Car Car1,Titre 11 Car1,An_Über 1 Car1,TITRE 1 + Droite :  8 Car1,5 cm Car1,Avant : 25 pt Car1,Après : 12 pt Car1,Haut: (Simp... Car1"/>
    <w:rsid w:val="00A45EEC"/>
    <w:rPr>
      <w:rFonts w:ascii="Times New Roman Bold" w:eastAsia="Times New Roman" w:hAnsi="Times New Roman Bold" w:cs="Times New Roman"/>
      <w:b/>
      <w:sz w:val="32"/>
      <w:szCs w:val="20"/>
    </w:rPr>
  </w:style>
  <w:style w:type="character" w:customStyle="1" w:styleId="Sous-titreCar1">
    <w:name w:val="Sous-titre Car1"/>
    <w:rsid w:val="00A45EEC"/>
    <w:rPr>
      <w:rFonts w:eastAsia="Times New Roman"/>
      <w:sz w:val="24"/>
      <w:szCs w:val="24"/>
    </w:rPr>
  </w:style>
  <w:style w:type="character" w:customStyle="1" w:styleId="PieddepageCar1">
    <w:name w:val="Pied de page Car1"/>
    <w:uiPriority w:val="99"/>
    <w:rsid w:val="00A45EEC"/>
    <w:rPr>
      <w:rFonts w:ascii="Times New Roman" w:eastAsia="Times New Roman" w:hAnsi="Times New Roman" w:cs="Times New Roman"/>
      <w:sz w:val="24"/>
      <w:szCs w:val="20"/>
    </w:rPr>
  </w:style>
  <w:style w:type="paragraph" w:customStyle="1" w:styleId="Style1">
    <w:name w:val="Style1"/>
    <w:basedOn w:val="Cabealho1"/>
    <w:link w:val="Style1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1Char">
    <w:name w:val="Style1 Char"/>
    <w:basedOn w:val="Titre1Car1"/>
    <w:link w:val="Style1"/>
    <w:rsid w:val="00A45EEC"/>
    <w:rPr>
      <w:rFonts w:ascii="Times New Roman Bold" w:eastAsia="Times New Roman" w:hAnsi="Times New Roman Bold" w:cs="Times New Roman"/>
      <w:b/>
      <w:sz w:val="32"/>
      <w:szCs w:val="20"/>
    </w:rPr>
  </w:style>
  <w:style w:type="paragraph" w:customStyle="1" w:styleId="Style2">
    <w:name w:val="Style2"/>
    <w:basedOn w:val="Cabealho1"/>
    <w:link w:val="Style2Char"/>
    <w:qFormat/>
    <w:rsid w:val="00A45EEC"/>
    <w:pPr>
      <w:keepLines/>
      <w:numPr>
        <w:numId w:val="0"/>
      </w:numPr>
      <w:spacing w:after="240"/>
      <w:jc w:val="center"/>
    </w:pPr>
    <w:rPr>
      <w:rFonts w:ascii="Times New Roman Bold" w:hAnsi="Times New Roman Bold"/>
      <w:bCs w:val="0"/>
      <w:kern w:val="0"/>
      <w:sz w:val="28"/>
      <w:szCs w:val="28"/>
      <w:lang w:eastAsia="en-US"/>
    </w:rPr>
  </w:style>
  <w:style w:type="character" w:customStyle="1" w:styleId="Style2Char">
    <w:name w:val="Style2 Char"/>
    <w:link w:val="Style2"/>
    <w:rsid w:val="00A45EEC"/>
    <w:rPr>
      <w:rFonts w:ascii="Times New Roman Bold" w:eastAsia="Times New Roman" w:hAnsi="Times New Roman Bold" w:cs="Times New Roman"/>
      <w:b/>
      <w:sz w:val="28"/>
      <w:szCs w:val="28"/>
    </w:rPr>
  </w:style>
  <w:style w:type="paragraph" w:customStyle="1" w:styleId="Style3">
    <w:name w:val="Style3"/>
    <w:basedOn w:val="Cabealho6"/>
    <w:link w:val="Style3Char"/>
    <w:qFormat/>
    <w:rsid w:val="00A45EEC"/>
    <w:pPr>
      <w:keepNext w:val="0"/>
      <w:keepLines w:val="0"/>
      <w:numPr>
        <w:ilvl w:val="0"/>
        <w:numId w:val="0"/>
      </w:numPr>
      <w:spacing w:before="0" w:line="240" w:lineRule="auto"/>
      <w:ind w:left="1080" w:hanging="1080"/>
      <w:jc w:val="center"/>
    </w:pPr>
    <w:rPr>
      <w:rFonts w:ascii="Times New Roman" w:eastAsia="Times New Roman" w:hAnsi="Times New Roman"/>
      <w:b/>
      <w:i w:val="0"/>
      <w:iCs w:val="0"/>
      <w:smallCaps/>
      <w:color w:val="auto"/>
      <w:sz w:val="24"/>
      <w:szCs w:val="24"/>
      <w:lang w:eastAsia="en-US"/>
    </w:rPr>
  </w:style>
  <w:style w:type="character" w:customStyle="1" w:styleId="Style3Char">
    <w:name w:val="Style3 Char"/>
    <w:basedOn w:val="Titre6Car1"/>
    <w:link w:val="Style3"/>
    <w:rsid w:val="00A45EEC"/>
    <w:rPr>
      <w:rFonts w:ascii="Times New Roman" w:eastAsia="Times New Roman" w:hAnsi="Times New Roman" w:cs="Times New Roman"/>
      <w:b/>
      <w:smallCaps/>
      <w:sz w:val="24"/>
      <w:szCs w:val="24"/>
    </w:rPr>
  </w:style>
  <w:style w:type="paragraph" w:customStyle="1" w:styleId="Style4">
    <w:name w:val="Style4"/>
    <w:basedOn w:val="Cabealho1"/>
    <w:link w:val="Style4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4Char">
    <w:name w:val="Style4 Char"/>
    <w:basedOn w:val="Titre1Car1"/>
    <w:link w:val="Style4"/>
    <w:rsid w:val="00A45EEC"/>
    <w:rPr>
      <w:rFonts w:ascii="Times New Roman Bold" w:eastAsia="Times New Roman" w:hAnsi="Times New Roman Bold" w:cs="Times New Roman"/>
      <w:b/>
      <w:sz w:val="32"/>
      <w:szCs w:val="20"/>
    </w:rPr>
  </w:style>
  <w:style w:type="paragraph" w:customStyle="1" w:styleId="Style5">
    <w:name w:val="Style5"/>
    <w:basedOn w:val="Cabealho1"/>
    <w:link w:val="Style5Char"/>
    <w:qFormat/>
    <w:rsid w:val="00A45EEC"/>
    <w:pPr>
      <w:keepLines/>
      <w:numPr>
        <w:numId w:val="14"/>
      </w:numPr>
      <w:spacing w:after="240"/>
      <w:jc w:val="center"/>
    </w:pPr>
    <w:rPr>
      <w:rFonts w:ascii="Times New Roman Bold" w:hAnsi="Times New Roman Bold"/>
      <w:bCs w:val="0"/>
      <w:kern w:val="0"/>
      <w:szCs w:val="20"/>
      <w:lang w:eastAsia="en-US"/>
    </w:rPr>
  </w:style>
  <w:style w:type="character" w:customStyle="1" w:styleId="Style5Char">
    <w:name w:val="Style5 Char"/>
    <w:basedOn w:val="Titre1Car1"/>
    <w:link w:val="Style5"/>
    <w:rsid w:val="00A45EEC"/>
    <w:rPr>
      <w:rFonts w:ascii="Times New Roman Bold" w:eastAsia="Times New Roman" w:hAnsi="Times New Roman Bold" w:cs="Times New Roman"/>
      <w:b/>
      <w:sz w:val="32"/>
      <w:szCs w:val="20"/>
    </w:rPr>
  </w:style>
  <w:style w:type="paragraph" w:customStyle="1" w:styleId="Style6">
    <w:name w:val="Style6"/>
    <w:basedOn w:val="Cabealho1"/>
    <w:link w:val="Style6Char"/>
    <w:qFormat/>
    <w:rsid w:val="00A45EEC"/>
    <w:pPr>
      <w:keepLines/>
      <w:numPr>
        <w:numId w:val="0"/>
      </w:numPr>
      <w:spacing w:after="240"/>
      <w:jc w:val="center"/>
    </w:pPr>
    <w:rPr>
      <w:rFonts w:ascii="Times New Roman Bold" w:hAnsi="Times New Roman Bold"/>
      <w:bCs w:val="0"/>
      <w:smallCaps/>
      <w:kern w:val="0"/>
      <w:sz w:val="28"/>
      <w:szCs w:val="28"/>
      <w:lang w:eastAsia="en-US"/>
    </w:rPr>
  </w:style>
  <w:style w:type="character" w:customStyle="1" w:styleId="Style6Char">
    <w:name w:val="Style6 Char"/>
    <w:link w:val="Style6"/>
    <w:rsid w:val="00A45EEC"/>
    <w:rPr>
      <w:rFonts w:ascii="Times New Roman Bold" w:eastAsia="Times New Roman" w:hAnsi="Times New Roman Bold" w:cs="Times New Roman"/>
      <w:b/>
      <w:smallCaps/>
      <w:sz w:val="28"/>
      <w:szCs w:val="28"/>
    </w:rPr>
  </w:style>
  <w:style w:type="paragraph" w:customStyle="1" w:styleId="Style7">
    <w:name w:val="Style7"/>
    <w:basedOn w:val="Cabealho3"/>
    <w:link w:val="Style7Char"/>
    <w:qFormat/>
    <w:rsid w:val="00A45EEC"/>
    <w:pPr>
      <w:keepNext w:val="0"/>
      <w:numPr>
        <w:ilvl w:val="0"/>
        <w:numId w:val="0"/>
      </w:numPr>
      <w:spacing w:before="0" w:after="200"/>
      <w:ind w:left="720" w:hanging="360"/>
      <w:contextualSpacing/>
    </w:pPr>
    <w:rPr>
      <w:rFonts w:ascii="Times New Roman" w:hAnsi="Times New Roman"/>
      <w:bCs w:val="0"/>
      <w:sz w:val="24"/>
      <w:szCs w:val="24"/>
      <w:lang w:val="en-GB" w:eastAsia="en-US"/>
    </w:rPr>
  </w:style>
  <w:style w:type="character" w:customStyle="1" w:styleId="Style7Char">
    <w:name w:val="Style7 Char"/>
    <w:basedOn w:val="Titre3Car1"/>
    <w:link w:val="Style7"/>
    <w:rsid w:val="00A45EEC"/>
    <w:rPr>
      <w:rFonts w:ascii="Times New Roman" w:eastAsia="Times New Roman" w:hAnsi="Times New Roman" w:cs="Times New Roman"/>
      <w:b/>
      <w:sz w:val="24"/>
      <w:szCs w:val="24"/>
      <w:lang w:val="en-GB"/>
    </w:rPr>
  </w:style>
  <w:style w:type="character" w:customStyle="1" w:styleId="Titre3Car1">
    <w:name w:val="Titre 3 Car1"/>
    <w:aliases w:val="Centered Car, Centered Car,Titolo 3 Car,Heading 3 (BM revised) Car,centered Car,Titre 3 Car Car Car Car Car Car Car Car Car Car Car Car Car Car Car Car Car Car Car Car Car Car Car Car Car Car Car1,an_Über 3 Car1,an_Über 3 Car Car Car1"/>
    <w:rsid w:val="00A45EEC"/>
    <w:rPr>
      <w:rFonts w:ascii="Times New Roman" w:eastAsia="Times New Roman" w:hAnsi="Times New Roman" w:cs="Times New Roman"/>
      <w:b/>
      <w:sz w:val="24"/>
      <w:szCs w:val="24"/>
      <w:lang w:val="en-GB"/>
    </w:rPr>
  </w:style>
  <w:style w:type="paragraph" w:customStyle="1" w:styleId="Style8">
    <w:name w:val="Style8"/>
    <w:basedOn w:val="Cabealho1"/>
    <w:link w:val="Style8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8Char">
    <w:name w:val="Style8 Char"/>
    <w:basedOn w:val="Titre1Car1"/>
    <w:link w:val="Style8"/>
    <w:rsid w:val="00A45EEC"/>
    <w:rPr>
      <w:rFonts w:ascii="Times New Roman Bold" w:eastAsia="Times New Roman" w:hAnsi="Times New Roman Bold" w:cs="Times New Roman"/>
      <w:b/>
      <w:sz w:val="32"/>
      <w:szCs w:val="20"/>
    </w:rPr>
  </w:style>
  <w:style w:type="character" w:customStyle="1" w:styleId="ParagraphedelisteChar">
    <w:name w:val="Paragraphe de liste Char"/>
    <w:rsid w:val="00A45EEC"/>
    <w:rPr>
      <w:rFonts w:ascii="Times New Roman" w:eastAsia="Times New Roman" w:hAnsi="Times New Roman" w:cs="Times New Roman"/>
      <w:sz w:val="24"/>
      <w:szCs w:val="24"/>
    </w:rPr>
  </w:style>
  <w:style w:type="paragraph" w:customStyle="1" w:styleId="Style9">
    <w:name w:val="Style9"/>
    <w:basedOn w:val="Cabealho1"/>
    <w:link w:val="Style9Char"/>
    <w:qFormat/>
    <w:rsid w:val="00A45EEC"/>
    <w:pPr>
      <w:keepLines/>
      <w:numPr>
        <w:numId w:val="21"/>
      </w:numPr>
      <w:spacing w:after="240"/>
      <w:jc w:val="center"/>
    </w:pPr>
    <w:rPr>
      <w:rFonts w:ascii="Times New Roman Bold" w:hAnsi="Times New Roman Bold"/>
      <w:bCs w:val="0"/>
      <w:kern w:val="0"/>
      <w:szCs w:val="20"/>
      <w:lang w:eastAsia="en-US"/>
    </w:rPr>
  </w:style>
  <w:style w:type="character" w:customStyle="1" w:styleId="Style9Char">
    <w:name w:val="Style9 Char"/>
    <w:basedOn w:val="Titre1Car1"/>
    <w:link w:val="Style9"/>
    <w:rsid w:val="00A45EEC"/>
    <w:rPr>
      <w:rFonts w:ascii="Times New Roman Bold" w:eastAsia="Times New Roman" w:hAnsi="Times New Roman Bold" w:cs="Times New Roman"/>
      <w:b/>
      <w:sz w:val="32"/>
      <w:szCs w:val="20"/>
    </w:rPr>
  </w:style>
  <w:style w:type="paragraph" w:customStyle="1" w:styleId="Style10">
    <w:name w:val="Style10"/>
    <w:basedOn w:val="Cabealho1"/>
    <w:link w:val="Style10Char"/>
    <w:qFormat/>
    <w:rsid w:val="00A45EEC"/>
    <w:pPr>
      <w:keepLines/>
      <w:numPr>
        <w:numId w:val="0"/>
      </w:numPr>
      <w:spacing w:after="240"/>
      <w:jc w:val="center"/>
    </w:pPr>
    <w:rPr>
      <w:rFonts w:ascii="Times New Roman Bold" w:hAnsi="Times New Roman Bold"/>
      <w:bCs w:val="0"/>
      <w:smallCaps/>
      <w:kern w:val="0"/>
      <w:sz w:val="28"/>
      <w:szCs w:val="28"/>
      <w:lang w:eastAsia="en-US"/>
    </w:rPr>
  </w:style>
  <w:style w:type="character" w:customStyle="1" w:styleId="Style10Char">
    <w:name w:val="Style10 Char"/>
    <w:link w:val="Style10"/>
    <w:rsid w:val="00A45EEC"/>
    <w:rPr>
      <w:rFonts w:ascii="Times New Roman Bold" w:eastAsia="Times New Roman" w:hAnsi="Times New Roman Bold" w:cs="Times New Roman"/>
      <w:b/>
      <w:smallCaps/>
      <w:sz w:val="28"/>
      <w:szCs w:val="28"/>
    </w:rPr>
  </w:style>
  <w:style w:type="paragraph" w:customStyle="1" w:styleId="Style11">
    <w:name w:val="Style11"/>
    <w:basedOn w:val="A1-Heading2"/>
    <w:link w:val="Style11Char"/>
    <w:qFormat/>
    <w:rsid w:val="00A45EEC"/>
    <w:pPr>
      <w:ind w:left="360" w:firstLine="0"/>
    </w:pPr>
  </w:style>
  <w:style w:type="character" w:customStyle="1" w:styleId="Style11Char">
    <w:name w:val="Style11 Char"/>
    <w:basedOn w:val="A1-Heading2Char"/>
    <w:link w:val="Style11"/>
    <w:rsid w:val="00A45EEC"/>
    <w:rPr>
      <w:rFonts w:ascii="Times New Roman" w:eastAsia="Times New Roman" w:hAnsi="Times New Roman" w:cs="Times New Roman"/>
      <w:b/>
      <w:bCs/>
      <w:smallCaps/>
      <w:sz w:val="24"/>
      <w:szCs w:val="24"/>
      <w:lang w:val="en-GB"/>
    </w:rPr>
  </w:style>
  <w:style w:type="paragraph" w:customStyle="1" w:styleId="Style12">
    <w:name w:val="Style12"/>
    <w:basedOn w:val="Cabealho1"/>
    <w:link w:val="Style12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12Char">
    <w:name w:val="Style12 Char"/>
    <w:basedOn w:val="Titre1Car1"/>
    <w:link w:val="Style12"/>
    <w:rsid w:val="00A45EEC"/>
    <w:rPr>
      <w:rFonts w:ascii="Times New Roman Bold" w:eastAsia="Times New Roman" w:hAnsi="Times New Roman Bold" w:cs="Times New Roman"/>
      <w:b/>
      <w:sz w:val="32"/>
      <w:szCs w:val="20"/>
    </w:rPr>
  </w:style>
  <w:style w:type="paragraph" w:customStyle="1" w:styleId="i">
    <w:name w:val="(i)"/>
    <w:basedOn w:val="Normal"/>
    <w:rsid w:val="00A45EEC"/>
    <w:pPr>
      <w:suppressAutoHyphens/>
      <w:jc w:val="both"/>
    </w:pPr>
    <w:rPr>
      <w:rFonts w:ascii="Tms Rmn" w:hAnsi="Tms Rmn"/>
      <w:szCs w:val="20"/>
      <w:lang w:val="en-US"/>
    </w:rPr>
  </w:style>
  <w:style w:type="paragraph" w:customStyle="1" w:styleId="RomanParagraph">
    <w:name w:val="RomanParagraph"/>
    <w:rsid w:val="00A45EEC"/>
    <w:pPr>
      <w:spacing w:before="120" w:after="120" w:line="240" w:lineRule="auto"/>
      <w:jc w:val="both"/>
    </w:pPr>
    <w:rPr>
      <w:rFonts w:ascii="Times New Roman" w:eastAsia="Times New Roman" w:hAnsi="Times New Roman" w:cs="Times New Roman"/>
      <w:noProof/>
      <w:sz w:val="24"/>
      <w:szCs w:val="20"/>
      <w:lang w:val="en-US"/>
    </w:rPr>
  </w:style>
  <w:style w:type="paragraph" w:customStyle="1" w:styleId="Paragrapha">
    <w:name w:val="Paragraph a"/>
    <w:basedOn w:val="Normal"/>
    <w:rsid w:val="00A45EEC"/>
    <w:pPr>
      <w:numPr>
        <w:numId w:val="22"/>
      </w:numPr>
      <w:spacing w:before="120" w:after="120"/>
      <w:jc w:val="both"/>
    </w:pPr>
    <w:rPr>
      <w:spacing w:val="-3"/>
      <w:szCs w:val="20"/>
      <w:lang w:val="en-US" w:eastAsia="en-US"/>
    </w:rPr>
  </w:style>
  <w:style w:type="character" w:customStyle="1" w:styleId="SemEspaamentoCarcter">
    <w:name w:val="Sem Espaçamento Carácter"/>
    <w:aliases w:val="INTRO Carácter"/>
    <w:basedOn w:val="Tipodeletrapredefinidodopargrafo"/>
    <w:link w:val="SemEspaamento"/>
    <w:uiPriority w:val="1"/>
    <w:rsid w:val="00A45EEC"/>
    <w:rPr>
      <w:rFonts w:ascii="Times New Roman" w:eastAsia="Times New Roman" w:hAnsi="Times New Roman" w:cs="Times New Roman"/>
      <w:sz w:val="24"/>
      <w:szCs w:val="24"/>
      <w:lang w:eastAsia="fr-FR"/>
    </w:rPr>
  </w:style>
  <w:style w:type="character" w:customStyle="1" w:styleId="systranseg">
    <w:name w:val="systran_seg"/>
    <w:basedOn w:val="Tipodeletrapredefinidodopargrafo"/>
    <w:rsid w:val="00A45EEC"/>
  </w:style>
  <w:style w:type="character" w:customStyle="1" w:styleId="systrantokenword">
    <w:name w:val="systran_token_word"/>
    <w:basedOn w:val="Tipodeletrapredefinidodopargrafo"/>
    <w:rsid w:val="00A45EEC"/>
  </w:style>
  <w:style w:type="character" w:customStyle="1" w:styleId="systrantokenpunctuation">
    <w:name w:val="systran_token_punctuation"/>
    <w:basedOn w:val="Tipodeletrapredefinidodopargrafo"/>
    <w:rsid w:val="00A45EEC"/>
  </w:style>
  <w:style w:type="table" w:customStyle="1" w:styleId="TableauGrille2-Accentuation61">
    <w:name w:val="Tableau Grille 2 - Accentuation 61"/>
    <w:basedOn w:val="Tabelanormal"/>
    <w:uiPriority w:val="47"/>
    <w:rsid w:val="00A45EE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1Clair1">
    <w:name w:val="Tableau Grille 1 Clair1"/>
    <w:basedOn w:val="Tabelanormal"/>
    <w:uiPriority w:val="46"/>
    <w:rsid w:val="00A45E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61">
    <w:name w:val="Tableau Grille 1 Clair - Accentuation 61"/>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4-Accentuation11">
    <w:name w:val="Tableau Grille 4 - Accentuation 11"/>
    <w:basedOn w:val="Tabelanormal"/>
    <w:uiPriority w:val="49"/>
    <w:rsid w:val="00A45EE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1Clair-Accentuation62">
    <w:name w:val="Tableau Grille 1 Clair - Accentuation 62"/>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1Clair-Accentuation63">
    <w:name w:val="Tableau Grille 1 Clair - Accentuation 63"/>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2-Accentuation62">
    <w:name w:val="Tableau Grille 2 - Accentuation 62"/>
    <w:basedOn w:val="Tabelanormal"/>
    <w:uiPriority w:val="47"/>
    <w:rsid w:val="00A45EE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ydp90e9cbb6msonormal">
    <w:name w:val="ydp90e9cbb6msonormal"/>
    <w:basedOn w:val="Normal"/>
    <w:rsid w:val="00A45EEC"/>
    <w:pPr>
      <w:spacing w:before="100" w:beforeAutospacing="1" w:after="100" w:afterAutospacing="1"/>
    </w:pPr>
  </w:style>
  <w:style w:type="paragraph" w:customStyle="1" w:styleId="Texte">
    <w:name w:val="Texte"/>
    <w:basedOn w:val="Normal"/>
    <w:rsid w:val="00A45EEC"/>
    <w:pPr>
      <w:keepLines/>
      <w:spacing w:before="120"/>
      <w:jc w:val="both"/>
    </w:pPr>
    <w:rPr>
      <w:rFonts w:ascii="Arial" w:hAnsi="Arial"/>
      <w:sz w:val="20"/>
      <w:szCs w:val="20"/>
    </w:rPr>
  </w:style>
  <w:style w:type="paragraph" w:customStyle="1" w:styleId="Paragraphe">
    <w:name w:val="Paragraphe"/>
    <w:basedOn w:val="Normal"/>
    <w:rsid w:val="00A45EEC"/>
    <w:pPr>
      <w:overflowPunct w:val="0"/>
      <w:autoSpaceDE w:val="0"/>
      <w:autoSpaceDN w:val="0"/>
      <w:adjustRightInd w:val="0"/>
      <w:spacing w:after="120"/>
      <w:jc w:val="both"/>
      <w:textAlignment w:val="baseline"/>
    </w:pPr>
  </w:style>
  <w:style w:type="paragraph" w:styleId="Mapadodocumento">
    <w:name w:val="Document Map"/>
    <w:basedOn w:val="Normal"/>
    <w:link w:val="MapadodocumentoCarcter"/>
    <w:uiPriority w:val="99"/>
    <w:semiHidden/>
    <w:unhideWhenUsed/>
    <w:rsid w:val="00A45EEC"/>
  </w:style>
  <w:style w:type="character" w:customStyle="1" w:styleId="MapadodocumentoCarcter">
    <w:name w:val="Mapa do documento Carácter"/>
    <w:basedOn w:val="Tipodeletrapredefinidodopargrafo"/>
    <w:link w:val="Mapadodocumento"/>
    <w:uiPriority w:val="99"/>
    <w:semiHidden/>
    <w:rsid w:val="00A45EEC"/>
    <w:rPr>
      <w:rFonts w:ascii="Times New Roman" w:eastAsia="Times New Roman" w:hAnsi="Times New Roman" w:cs="Times New Roman"/>
      <w:sz w:val="24"/>
      <w:szCs w:val="24"/>
      <w:lang w:eastAsia="fr-FR"/>
    </w:rPr>
  </w:style>
  <w:style w:type="character" w:styleId="Hiperligaovisitada">
    <w:name w:val="FollowedHyperlink"/>
    <w:basedOn w:val="Tipodeletrapredefinidodopargrafo"/>
    <w:semiHidden/>
    <w:unhideWhenUsed/>
    <w:rsid w:val="00A45EEC"/>
    <w:rPr>
      <w:color w:val="954F72" w:themeColor="followedHyperlink"/>
      <w:u w:val="single"/>
    </w:rPr>
  </w:style>
  <w:style w:type="paragraph" w:styleId="Reviso">
    <w:name w:val="Revision"/>
    <w:hidden/>
    <w:uiPriority w:val="99"/>
    <w:semiHidden/>
    <w:rsid w:val="00A45EEC"/>
    <w:pPr>
      <w:spacing w:after="0" w:line="240" w:lineRule="auto"/>
    </w:pPr>
    <w:rPr>
      <w:rFonts w:ascii="Times New Roman" w:eastAsia="Times New Roman" w:hAnsi="Times New Roman" w:cs="Times New Roman"/>
      <w:sz w:val="24"/>
      <w:szCs w:val="24"/>
      <w:lang w:eastAsia="fr-FR"/>
    </w:rPr>
  </w:style>
  <w:style w:type="paragraph" w:customStyle="1" w:styleId="rtejustify">
    <w:name w:val="rtejustify"/>
    <w:basedOn w:val="Normal"/>
    <w:rsid w:val="00A45EEC"/>
    <w:pPr>
      <w:spacing w:before="100" w:beforeAutospacing="1" w:after="100" w:afterAutospacing="1"/>
    </w:pPr>
  </w:style>
  <w:style w:type="table" w:customStyle="1" w:styleId="TableauListe3-Accentuation11">
    <w:name w:val="Tableau Liste 3 - Accentuation 11"/>
    <w:basedOn w:val="Tabelanormal"/>
    <w:uiPriority w:val="48"/>
    <w:rsid w:val="006E352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auListe1Clair1">
    <w:name w:val="Tableau Liste 1 Clair1"/>
    <w:basedOn w:val="Tabelanormal"/>
    <w:uiPriority w:val="46"/>
    <w:rsid w:val="001412E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1Clair-Accentuation21">
    <w:name w:val="Tableau Liste 1 Clair - Accentuation 21"/>
    <w:basedOn w:val="Tabelanormal"/>
    <w:uiPriority w:val="46"/>
    <w:rsid w:val="001412E1"/>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auGrille1Clair2">
    <w:name w:val="Tableau Grille 1 Clair2"/>
    <w:basedOn w:val="Tabelanormal"/>
    <w:uiPriority w:val="46"/>
    <w:rsid w:val="001412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Tipodeletrapredefinidodopargrafo"/>
    <w:rsid w:val="001D3373"/>
    <w:rPr>
      <w:rFonts w:ascii="Verdana" w:hAnsi="Verdana" w:hint="default"/>
      <w:b/>
      <w:bCs/>
      <w:i w:val="0"/>
      <w:iCs w:val="0"/>
      <w:color w:val="000000"/>
      <w:sz w:val="24"/>
      <w:szCs w:val="24"/>
    </w:rPr>
  </w:style>
  <w:style w:type="paragraph" w:customStyle="1" w:styleId="titre3">
    <w:name w:val="titre 3"/>
    <w:basedOn w:val="Cabealho2"/>
    <w:link w:val="titre3Car"/>
    <w:rsid w:val="001D3373"/>
    <w:pPr>
      <w:keepNext w:val="0"/>
      <w:numPr>
        <w:numId w:val="0"/>
      </w:numPr>
      <w:tabs>
        <w:tab w:val="left" w:pos="1701"/>
      </w:tabs>
      <w:spacing w:before="120" w:after="120"/>
      <w:ind w:left="3371" w:hanging="180"/>
      <w:jc w:val="both"/>
    </w:pPr>
    <w:rPr>
      <w:rFonts w:ascii="Calibri" w:eastAsia="Times New Roman" w:hAnsi="Calibri" w:cs="Calibri"/>
      <w:b w:val="0"/>
      <w:i w:val="0"/>
      <w:iCs w:val="0"/>
      <w:color w:val="AF143D"/>
    </w:rPr>
  </w:style>
  <w:style w:type="character" w:customStyle="1" w:styleId="titre3Car">
    <w:name w:val="titre 3 Car"/>
    <w:basedOn w:val="Tipodeletrapredefinidodopargrafo"/>
    <w:link w:val="titre3"/>
    <w:rsid w:val="001D3373"/>
    <w:rPr>
      <w:rFonts w:ascii="Calibri" w:eastAsia="Times New Roman" w:hAnsi="Calibri" w:cs="Calibri"/>
      <w:bCs/>
      <w:color w:val="AF143D"/>
      <w:sz w:val="28"/>
      <w:szCs w:val="28"/>
      <w:lang w:eastAsia="fr-FR"/>
    </w:rPr>
  </w:style>
  <w:style w:type="character" w:styleId="nfaseDiscreto">
    <w:name w:val="Subtle Emphasis"/>
    <w:aliases w:val="Titre document"/>
    <w:basedOn w:val="Tipodeletrapredefinidodopargrafo"/>
    <w:uiPriority w:val="19"/>
    <w:qFormat/>
    <w:rsid w:val="001D3373"/>
    <w:rPr>
      <w:iCs/>
      <w:sz w:val="40"/>
      <w:szCs w:val="40"/>
    </w:rPr>
  </w:style>
  <w:style w:type="character" w:styleId="TtulodoLivro">
    <w:name w:val="Book Title"/>
    <w:basedOn w:val="Tipodeletrapredefinidodopargrafo"/>
    <w:uiPriority w:val="33"/>
    <w:qFormat/>
    <w:rsid w:val="001D3373"/>
    <w:rPr>
      <w:smallCaps/>
    </w:rPr>
  </w:style>
  <w:style w:type="paragraph" w:customStyle="1" w:styleId="BodyText1">
    <w:name w:val="Body Text1"/>
    <w:basedOn w:val="Normal"/>
    <w:link w:val="BodytextChar"/>
    <w:qFormat/>
    <w:rsid w:val="001D3373"/>
    <w:pPr>
      <w:jc w:val="both"/>
    </w:pPr>
    <w:rPr>
      <w:rFonts w:ascii="Calibri Light" w:eastAsia="Century Schoolbook" w:hAnsi="Calibri Light"/>
      <w:w w:val="112"/>
      <w:sz w:val="40"/>
      <w:szCs w:val="40"/>
      <w:lang w:eastAsia="ja-JP"/>
    </w:rPr>
  </w:style>
  <w:style w:type="character" w:customStyle="1" w:styleId="BodytextChar">
    <w:name w:val="Body text Char"/>
    <w:link w:val="BodyText1"/>
    <w:rsid w:val="001D3373"/>
    <w:rPr>
      <w:rFonts w:ascii="Calibri Light" w:eastAsia="Century Schoolbook" w:hAnsi="Calibri Light" w:cs="Times New Roman"/>
      <w:w w:val="112"/>
      <w:sz w:val="40"/>
      <w:szCs w:val="40"/>
      <w:lang w:eastAsia="ja-JP"/>
    </w:rPr>
  </w:style>
  <w:style w:type="character" w:customStyle="1" w:styleId="fontstyle21">
    <w:name w:val="fontstyle21"/>
    <w:rsid w:val="001D3373"/>
    <w:rPr>
      <w:rFonts w:ascii="SymbolMT" w:hAnsi="SymbolMT" w:hint="default"/>
      <w:b w:val="0"/>
      <w:bCs w:val="0"/>
      <w:i w:val="0"/>
      <w:iCs w:val="0"/>
      <w:color w:val="000000"/>
      <w:sz w:val="22"/>
      <w:szCs w:val="22"/>
    </w:rPr>
  </w:style>
  <w:style w:type="character" w:customStyle="1" w:styleId="fontstyle31">
    <w:name w:val="fontstyle31"/>
    <w:rsid w:val="001D3373"/>
    <w:rPr>
      <w:rFonts w:ascii="CourierNew" w:hAnsi="CourierNew" w:hint="default"/>
      <w:b w:val="0"/>
      <w:bCs w:val="0"/>
      <w:i w:val="0"/>
      <w:iCs w:val="0"/>
      <w:color w:val="262626"/>
      <w:sz w:val="22"/>
      <w:szCs w:val="22"/>
    </w:rPr>
  </w:style>
  <w:style w:type="paragraph" w:customStyle="1" w:styleId="default0">
    <w:name w:val="default"/>
    <w:basedOn w:val="Normal"/>
    <w:uiPriority w:val="99"/>
    <w:rsid w:val="001D3373"/>
    <w:pPr>
      <w:spacing w:before="100" w:beforeAutospacing="1" w:after="100" w:afterAutospacing="1"/>
    </w:pPr>
    <w:rPr>
      <w:rFonts w:eastAsia="Times New Roman"/>
    </w:rPr>
  </w:style>
  <w:style w:type="paragraph" w:styleId="Lista2">
    <w:name w:val="List 2"/>
    <w:basedOn w:val="Normal"/>
    <w:uiPriority w:val="99"/>
    <w:unhideWhenUsed/>
    <w:rsid w:val="001D3373"/>
    <w:pPr>
      <w:spacing w:after="120"/>
      <w:ind w:left="566" w:hanging="283"/>
      <w:contextualSpacing/>
      <w:jc w:val="both"/>
    </w:pPr>
    <w:rPr>
      <w:rFonts w:ascii="Calibri" w:eastAsia="Times New Roman" w:hAnsi="Calibri"/>
      <w:sz w:val="22"/>
      <w:szCs w:val="22"/>
    </w:rPr>
  </w:style>
  <w:style w:type="paragraph" w:styleId="Listacommarcas">
    <w:name w:val="List Bullet"/>
    <w:basedOn w:val="Normal"/>
    <w:uiPriority w:val="99"/>
    <w:unhideWhenUsed/>
    <w:rsid w:val="001D3373"/>
    <w:pPr>
      <w:numPr>
        <w:numId w:val="24"/>
      </w:numPr>
      <w:spacing w:after="120"/>
      <w:contextualSpacing/>
      <w:jc w:val="both"/>
    </w:pPr>
    <w:rPr>
      <w:rFonts w:ascii="Calibri" w:eastAsia="Times New Roman" w:hAnsi="Calibri"/>
      <w:sz w:val="22"/>
      <w:szCs w:val="22"/>
    </w:rPr>
  </w:style>
  <w:style w:type="paragraph" w:customStyle="1" w:styleId="Listecouleur-Accent12">
    <w:name w:val="Liste couleur - Accent 12"/>
    <w:aliases w:val="Akapit z listą BS"/>
    <w:basedOn w:val="Normal"/>
    <w:uiPriority w:val="34"/>
    <w:qFormat/>
    <w:rsid w:val="001D3373"/>
    <w:pPr>
      <w:ind w:left="720"/>
      <w:contextualSpacing/>
      <w:jc w:val="both"/>
    </w:pPr>
    <w:rPr>
      <w:rFonts w:eastAsia="Times New Roman"/>
      <w:szCs w:val="20"/>
      <w:lang w:val="en-US" w:eastAsia="en-US"/>
    </w:rPr>
  </w:style>
  <w:style w:type="paragraph" w:customStyle="1" w:styleId="Corpsdetexte31">
    <w:name w:val="Corps de texte 31"/>
    <w:basedOn w:val="Normal"/>
    <w:rsid w:val="001D3373"/>
    <w:pPr>
      <w:keepLines/>
      <w:widowControl w:val="0"/>
      <w:tabs>
        <w:tab w:val="left" w:pos="785"/>
        <w:tab w:val="left" w:pos="851"/>
        <w:tab w:val="left" w:pos="2491"/>
        <w:tab w:val="left" w:pos="3398"/>
        <w:tab w:val="left" w:pos="4368"/>
        <w:tab w:val="left" w:pos="5153"/>
        <w:tab w:val="left" w:pos="5938"/>
        <w:tab w:val="left" w:pos="7298"/>
        <w:tab w:val="left" w:pos="8083"/>
        <w:tab w:val="left" w:pos="8868"/>
        <w:tab w:val="left" w:pos="9653"/>
        <w:tab w:val="left" w:pos="10438"/>
      </w:tabs>
      <w:spacing w:before="120"/>
      <w:jc w:val="both"/>
    </w:pPr>
    <w:rPr>
      <w:rFonts w:eastAsia="Times New Roman"/>
      <w:b/>
      <w:snapToGrid w:val="0"/>
      <w:sz w:val="22"/>
      <w:szCs w:val="20"/>
      <w:lang w:eastAsia="it-IT"/>
    </w:rPr>
  </w:style>
  <w:style w:type="paragraph" w:customStyle="1" w:styleId="Corpsdetexte22">
    <w:name w:val="Corps de texte 22"/>
    <w:basedOn w:val="Normal"/>
    <w:rsid w:val="001D3373"/>
    <w:pPr>
      <w:ind w:left="1134" w:hanging="283"/>
      <w:jc w:val="both"/>
    </w:pPr>
    <w:rPr>
      <w:rFonts w:eastAsia="Times New Roman"/>
      <w:szCs w:val="20"/>
    </w:rPr>
  </w:style>
  <w:style w:type="paragraph" w:customStyle="1" w:styleId="xl65">
    <w:name w:val="xl65"/>
    <w:basedOn w:val="Normal"/>
    <w:rsid w:val="001D3373"/>
    <w:pPr>
      <w:spacing w:before="100" w:beforeAutospacing="1" w:after="100" w:afterAutospacing="1"/>
      <w:jc w:val="center"/>
    </w:pPr>
    <w:rPr>
      <w:rFonts w:eastAsia="Times New Roman"/>
    </w:rPr>
  </w:style>
  <w:style w:type="paragraph" w:customStyle="1" w:styleId="xl66">
    <w:name w:val="xl66"/>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8">
    <w:name w:val="xl68"/>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9">
    <w:name w:val="xl69"/>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0">
    <w:name w:val="xl70"/>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1">
    <w:name w:val="xl71"/>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eastAsia="Times New Roman"/>
      <w:b/>
      <w:bCs/>
    </w:rPr>
  </w:style>
  <w:style w:type="paragraph" w:customStyle="1" w:styleId="xl72">
    <w:name w:val="xl72"/>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3">
    <w:name w:val="xl73"/>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eastAsia="Times New Roman"/>
      <w:b/>
      <w:bCs/>
      <w:sz w:val="16"/>
      <w:szCs w:val="16"/>
    </w:rPr>
  </w:style>
  <w:style w:type="paragraph" w:customStyle="1" w:styleId="xl74">
    <w:name w:val="xl74"/>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eastAsia="Times New Roman"/>
      <w:b/>
      <w:bCs/>
      <w:sz w:val="16"/>
      <w:szCs w:val="16"/>
    </w:rPr>
  </w:style>
  <w:style w:type="paragraph" w:customStyle="1" w:styleId="xl75">
    <w:name w:val="xl75"/>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6">
    <w:name w:val="xl76"/>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7">
    <w:name w:val="xl77"/>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8">
    <w:name w:val="xl78"/>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9">
    <w:name w:val="xl79"/>
    <w:basedOn w:val="Normal"/>
    <w:rsid w:val="001D33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rPr>
  </w:style>
  <w:style w:type="paragraph" w:customStyle="1" w:styleId="xl80">
    <w:name w:val="xl80"/>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81">
    <w:name w:val="xl81"/>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rPr>
  </w:style>
  <w:style w:type="paragraph" w:customStyle="1" w:styleId="xl82">
    <w:name w:val="xl82"/>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3">
    <w:name w:val="xl83"/>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eastAsia="Times New Roman"/>
      <w:b/>
      <w:bCs/>
    </w:rPr>
  </w:style>
  <w:style w:type="paragraph" w:customStyle="1" w:styleId="xl84">
    <w:name w:val="xl84"/>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85">
    <w:name w:val="xl85"/>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6">
    <w:name w:val="xl86"/>
    <w:basedOn w:val="Normal"/>
    <w:rsid w:val="001D337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rPr>
  </w:style>
  <w:style w:type="paragraph" w:customStyle="1" w:styleId="xl87">
    <w:name w:val="xl87"/>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rPr>
  </w:style>
  <w:style w:type="paragraph" w:customStyle="1" w:styleId="xl88">
    <w:name w:val="xl88"/>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9">
    <w:name w:val="xl89"/>
    <w:basedOn w:val="Normal"/>
    <w:rsid w:val="001D337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Times New Roman"/>
      <w:b/>
      <w:bCs/>
    </w:rPr>
  </w:style>
  <w:style w:type="paragraph" w:customStyle="1" w:styleId="xl90">
    <w:name w:val="xl90"/>
    <w:basedOn w:val="Normal"/>
    <w:rsid w:val="001D337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textAlignment w:val="center"/>
    </w:pPr>
    <w:rPr>
      <w:rFonts w:eastAsia="Times New Roman"/>
      <w:sz w:val="18"/>
      <w:szCs w:val="18"/>
    </w:rPr>
  </w:style>
  <w:style w:type="paragraph" w:customStyle="1" w:styleId="xl91">
    <w:name w:val="xl91"/>
    <w:basedOn w:val="Normal"/>
    <w:rsid w:val="001D337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Times New Roman"/>
      <w:b/>
      <w:bCs/>
      <w:sz w:val="20"/>
      <w:szCs w:val="20"/>
    </w:rPr>
  </w:style>
  <w:style w:type="paragraph" w:customStyle="1" w:styleId="xl92">
    <w:name w:val="xl92"/>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20"/>
      <w:szCs w:val="20"/>
    </w:rPr>
  </w:style>
  <w:style w:type="paragraph" w:customStyle="1" w:styleId="xl93">
    <w:name w:val="xl93"/>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20"/>
      <w:szCs w:val="20"/>
    </w:rPr>
  </w:style>
  <w:style w:type="paragraph" w:customStyle="1" w:styleId="TableText0">
    <w:name w:val="Table_Text"/>
    <w:basedOn w:val="Default"/>
    <w:next w:val="Default"/>
    <w:uiPriority w:val="99"/>
    <w:rsid w:val="001D3373"/>
    <w:rPr>
      <w:rFonts w:ascii="Times New Roman" w:hAnsi="Times New Roman" w:cs="Times New Roman"/>
      <w:color w:val="auto"/>
    </w:rPr>
  </w:style>
  <w:style w:type="table" w:customStyle="1" w:styleId="Tableausimple21">
    <w:name w:val="Tableau simple 21"/>
    <w:basedOn w:val="Tabelanormal"/>
    <w:uiPriority w:val="42"/>
    <w:rsid w:val="001D33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7Couleur1">
    <w:name w:val="Tableau Grille 7 Couleur1"/>
    <w:basedOn w:val="Tabelanormal"/>
    <w:uiPriority w:val="52"/>
    <w:rsid w:val="001D3373"/>
    <w:pPr>
      <w:spacing w:after="0" w:line="240" w:lineRule="auto"/>
    </w:pPr>
    <w:rPr>
      <w:rFonts w:ascii="Calibri" w:eastAsia="Calibri" w:hAnsi="Calibri" w:cs="Times New Roman"/>
      <w:color w:val="000000"/>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annex1">
    <w:name w:val="annex1"/>
    <w:basedOn w:val="Normal"/>
    <w:next w:val="Normal"/>
    <w:unhideWhenUsed/>
    <w:qFormat/>
    <w:rsid w:val="001D3373"/>
    <w:pPr>
      <w:keepNext/>
      <w:keepLines/>
      <w:spacing w:before="200" w:line="276" w:lineRule="auto"/>
      <w:outlineLvl w:val="2"/>
    </w:pPr>
    <w:rPr>
      <w:rFonts w:ascii="Cambria" w:eastAsia="Times New Roman" w:hAnsi="Cambria"/>
      <w:b/>
      <w:bCs/>
      <w:color w:val="4F81BD"/>
      <w:sz w:val="22"/>
      <w:szCs w:val="22"/>
      <w:lang w:eastAsia="en-US"/>
    </w:rPr>
  </w:style>
  <w:style w:type="paragraph" w:customStyle="1" w:styleId="Titre41">
    <w:name w:val="Titre 41"/>
    <w:basedOn w:val="Normal"/>
    <w:next w:val="Normal"/>
    <w:uiPriority w:val="9"/>
    <w:semiHidden/>
    <w:unhideWhenUsed/>
    <w:qFormat/>
    <w:rsid w:val="001D3373"/>
    <w:pPr>
      <w:keepNext/>
      <w:keepLines/>
      <w:spacing w:before="200" w:line="276" w:lineRule="auto"/>
      <w:outlineLvl w:val="3"/>
    </w:pPr>
    <w:rPr>
      <w:rFonts w:ascii="Cambria" w:eastAsia="Times New Roman" w:hAnsi="Cambria"/>
      <w:b/>
      <w:bCs/>
      <w:i/>
      <w:iCs/>
      <w:color w:val="4F81BD"/>
      <w:sz w:val="22"/>
      <w:szCs w:val="22"/>
      <w:lang w:eastAsia="en-US"/>
    </w:rPr>
  </w:style>
  <w:style w:type="paragraph" w:customStyle="1" w:styleId="Titre51">
    <w:name w:val="Titre 51"/>
    <w:basedOn w:val="Normal"/>
    <w:next w:val="Normal"/>
    <w:uiPriority w:val="9"/>
    <w:semiHidden/>
    <w:unhideWhenUsed/>
    <w:qFormat/>
    <w:rsid w:val="001D3373"/>
    <w:pPr>
      <w:keepNext/>
      <w:keepLines/>
      <w:spacing w:before="200" w:line="276" w:lineRule="auto"/>
      <w:outlineLvl w:val="4"/>
    </w:pPr>
    <w:rPr>
      <w:rFonts w:ascii="Cambria" w:eastAsia="Times New Roman" w:hAnsi="Cambria"/>
      <w:color w:val="243F60"/>
      <w:sz w:val="22"/>
      <w:szCs w:val="22"/>
      <w:lang w:eastAsia="en-US"/>
    </w:rPr>
  </w:style>
  <w:style w:type="paragraph" w:customStyle="1" w:styleId="Titre61">
    <w:name w:val="Titre 61"/>
    <w:basedOn w:val="Normal"/>
    <w:next w:val="Normal"/>
    <w:uiPriority w:val="9"/>
    <w:semiHidden/>
    <w:unhideWhenUsed/>
    <w:qFormat/>
    <w:rsid w:val="001D3373"/>
    <w:pPr>
      <w:keepNext/>
      <w:keepLines/>
      <w:spacing w:before="200" w:line="276" w:lineRule="auto"/>
      <w:outlineLvl w:val="5"/>
    </w:pPr>
    <w:rPr>
      <w:rFonts w:ascii="Cambria" w:eastAsia="Times New Roman" w:hAnsi="Cambria"/>
      <w:i/>
      <w:iCs/>
      <w:color w:val="243F60"/>
      <w:sz w:val="22"/>
      <w:szCs w:val="22"/>
      <w:lang w:eastAsia="en-US"/>
    </w:rPr>
  </w:style>
  <w:style w:type="numbering" w:customStyle="1" w:styleId="Aucuneliste1">
    <w:name w:val="Aucune liste1"/>
    <w:next w:val="Semlista"/>
    <w:uiPriority w:val="99"/>
    <w:semiHidden/>
    <w:unhideWhenUsed/>
    <w:rsid w:val="001D3373"/>
  </w:style>
  <w:style w:type="character" w:customStyle="1" w:styleId="Lienhypertexte1">
    <w:name w:val="Lien hypertexte1"/>
    <w:uiPriority w:val="99"/>
    <w:unhideWhenUsed/>
    <w:rsid w:val="001D3373"/>
    <w:rPr>
      <w:color w:val="0000FF"/>
      <w:u w:val="single"/>
    </w:rPr>
  </w:style>
  <w:style w:type="character" w:customStyle="1" w:styleId="Lienhypertextesuivivisit1">
    <w:name w:val="Lien hypertexte suivi visité1"/>
    <w:uiPriority w:val="99"/>
    <w:semiHidden/>
    <w:unhideWhenUsed/>
    <w:rsid w:val="001D3373"/>
    <w:rPr>
      <w:color w:val="800080"/>
      <w:u w:val="single"/>
    </w:rPr>
  </w:style>
  <w:style w:type="paragraph" w:customStyle="1" w:styleId="TM91">
    <w:name w:val="TM 91"/>
    <w:basedOn w:val="Normal"/>
    <w:next w:val="Normal"/>
    <w:autoRedefine/>
    <w:uiPriority w:val="39"/>
    <w:unhideWhenUsed/>
    <w:rsid w:val="001D3373"/>
    <w:pPr>
      <w:spacing w:after="100" w:line="276" w:lineRule="auto"/>
      <w:ind w:left="1760"/>
    </w:pPr>
    <w:rPr>
      <w:rFonts w:ascii="Calibri" w:eastAsia="Times New Roman" w:hAnsi="Calibri"/>
      <w:sz w:val="22"/>
      <w:szCs w:val="22"/>
    </w:rPr>
  </w:style>
  <w:style w:type="character" w:customStyle="1" w:styleId="CommentaireCar1">
    <w:name w:val="Commentaire Car1"/>
    <w:uiPriority w:val="99"/>
    <w:locked/>
    <w:rsid w:val="001D3373"/>
    <w:rPr>
      <w:rFonts w:ascii="Arial" w:eastAsia="Times New Roman" w:hAnsi="Arial" w:cs="Times New Roman"/>
      <w:sz w:val="18"/>
      <w:szCs w:val="20"/>
    </w:rPr>
  </w:style>
  <w:style w:type="character" w:customStyle="1" w:styleId="RetraitcorpsdetexteCar1">
    <w:name w:val="Retrait corps de texte Car1"/>
    <w:basedOn w:val="Tipodeletrapredefinidodopargrafo"/>
    <w:uiPriority w:val="99"/>
    <w:semiHidden/>
    <w:rsid w:val="001D3373"/>
  </w:style>
  <w:style w:type="paragraph" w:customStyle="1" w:styleId="Sous-titre1">
    <w:name w:val="Sous-titre1"/>
    <w:basedOn w:val="Normal"/>
    <w:next w:val="Normal"/>
    <w:uiPriority w:val="11"/>
    <w:qFormat/>
    <w:rsid w:val="001D3373"/>
    <w:pPr>
      <w:spacing w:after="200" w:line="276" w:lineRule="auto"/>
    </w:pPr>
    <w:rPr>
      <w:rFonts w:ascii="Cambria" w:eastAsia="Times New Roman" w:hAnsi="Cambria"/>
      <w:i/>
      <w:iCs/>
      <w:color w:val="4F81BD"/>
      <w:spacing w:val="15"/>
    </w:rPr>
  </w:style>
  <w:style w:type="character" w:customStyle="1" w:styleId="Primeiroavanodecorpodetexto2Carcter">
    <w:name w:val="Primeiro avanço de corpo de texto 2 Carácter"/>
    <w:basedOn w:val="AvanodecorpodetextoCarcter"/>
    <w:link w:val="Primeiroavanodecorpodetexto2"/>
    <w:uiPriority w:val="99"/>
    <w:rsid w:val="001D3373"/>
    <w:rPr>
      <w:rFonts w:ascii="Calibri" w:eastAsia="Times New Roman" w:hAnsi="Calibri" w:cs="Times New Roman"/>
      <w:sz w:val="24"/>
      <w:szCs w:val="24"/>
      <w:lang w:eastAsia="fr-FR"/>
    </w:rPr>
  </w:style>
  <w:style w:type="paragraph" w:styleId="Primeiroavanodecorpodetexto2">
    <w:name w:val="Body Text First Indent 2"/>
    <w:basedOn w:val="Avanodecorpodetexto"/>
    <w:link w:val="Primeiroavanodecorpodetexto2Carcter"/>
    <w:uiPriority w:val="99"/>
    <w:unhideWhenUsed/>
    <w:rsid w:val="001D3373"/>
    <w:pPr>
      <w:spacing w:after="200" w:line="276" w:lineRule="auto"/>
      <w:ind w:firstLine="360"/>
    </w:pPr>
    <w:rPr>
      <w:rFonts w:ascii="Calibri" w:eastAsia="Times New Roman" w:hAnsi="Calibri"/>
      <w:sz w:val="22"/>
      <w:szCs w:val="22"/>
    </w:rPr>
  </w:style>
  <w:style w:type="character" w:customStyle="1" w:styleId="Retraitcorpset1religCar1">
    <w:name w:val="Retrait corps et 1re lig. Car1"/>
    <w:basedOn w:val="AvanodecorpodetextoCarcter"/>
    <w:uiPriority w:val="99"/>
    <w:semiHidden/>
    <w:rsid w:val="001D3373"/>
    <w:rPr>
      <w:rFonts w:ascii="Times New Roman" w:eastAsia="Times New Roman" w:hAnsi="Times New Roman" w:cs="Times New Roman"/>
      <w:sz w:val="24"/>
      <w:szCs w:val="24"/>
      <w:lang w:eastAsia="fr-FR"/>
    </w:rPr>
  </w:style>
  <w:style w:type="character" w:customStyle="1" w:styleId="ObjetducommentaireCar1">
    <w:name w:val="Objet du commentaire Car1"/>
    <w:basedOn w:val="TextodecomentrioCarcter"/>
    <w:uiPriority w:val="99"/>
    <w:semiHidden/>
    <w:rsid w:val="001D3373"/>
    <w:rPr>
      <w:rFonts w:ascii="Times New Roman" w:eastAsia="Times New Roman" w:hAnsi="Times New Roman" w:cs="Times New Roman"/>
      <w:b/>
      <w:bCs/>
      <w:sz w:val="20"/>
      <w:szCs w:val="20"/>
      <w:lang w:eastAsia="fr-FR"/>
    </w:rPr>
  </w:style>
  <w:style w:type="character" w:customStyle="1" w:styleId="Grillemoyenne2Car">
    <w:name w:val="Grille moyenne 2 Car"/>
    <w:link w:val="Grillemoyenne21"/>
    <w:uiPriority w:val="1"/>
    <w:locked/>
    <w:rsid w:val="001D3373"/>
    <w:rPr>
      <w:rFonts w:cs="Times New Roman"/>
    </w:rPr>
  </w:style>
  <w:style w:type="paragraph" w:customStyle="1" w:styleId="Grillemoyenne21">
    <w:name w:val="Grille moyenne 21"/>
    <w:basedOn w:val="Normal"/>
    <w:link w:val="Grillemoyenne2Car"/>
    <w:uiPriority w:val="1"/>
    <w:qFormat/>
    <w:rsid w:val="001D3373"/>
    <w:rPr>
      <w:rFonts w:asciiTheme="minorHAnsi" w:hAnsiTheme="minorHAnsi"/>
      <w:sz w:val="22"/>
      <w:szCs w:val="22"/>
      <w:lang w:eastAsia="en-US"/>
    </w:rPr>
  </w:style>
  <w:style w:type="paragraph" w:customStyle="1" w:styleId="GridTable31">
    <w:name w:val="Grid Table 31"/>
    <w:basedOn w:val="Cabealho1"/>
    <w:next w:val="Normal"/>
    <w:uiPriority w:val="39"/>
    <w:unhideWhenUsed/>
    <w:qFormat/>
    <w:rsid w:val="001D3373"/>
    <w:pPr>
      <w:keepLines/>
      <w:numPr>
        <w:numId w:val="0"/>
      </w:numPr>
      <w:spacing w:before="480" w:after="0" w:line="276" w:lineRule="auto"/>
      <w:ind w:left="787" w:hanging="360"/>
      <w:outlineLvl w:val="9"/>
    </w:pPr>
    <w:rPr>
      <w:rFonts w:ascii="Times New Roman" w:eastAsia="Calibri" w:hAnsi="Times New Roman"/>
      <w:b w:val="0"/>
      <w:bCs w:val="0"/>
      <w:kern w:val="0"/>
      <w:sz w:val="28"/>
      <w:szCs w:val="28"/>
      <w:u w:val="single"/>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PDG16">
    <w:name w:val="PDG16"/>
    <w:basedOn w:val="Normal"/>
    <w:uiPriority w:val="99"/>
    <w:rsid w:val="001D3373"/>
    <w:pPr>
      <w:spacing w:before="120" w:after="120" w:line="240" w:lineRule="atLeast"/>
      <w:jc w:val="both"/>
    </w:pPr>
    <w:rPr>
      <w:rFonts w:ascii="Arial Narrow" w:eastAsia="Times New Roman" w:hAnsi="Arial Narrow"/>
      <w:b/>
      <w:smallCaps/>
      <w:color w:val="003366"/>
      <w:sz w:val="32"/>
      <w:szCs w:val="32"/>
    </w:rPr>
  </w:style>
  <w:style w:type="paragraph" w:customStyle="1" w:styleId="Corpsdetexte21">
    <w:name w:val="Corps de texte 21"/>
    <w:basedOn w:val="Normal"/>
    <w:uiPriority w:val="99"/>
    <w:rsid w:val="001D3373"/>
    <w:pPr>
      <w:tabs>
        <w:tab w:val="left" w:pos="360"/>
      </w:tabs>
      <w:overflowPunct w:val="0"/>
      <w:autoSpaceDE w:val="0"/>
      <w:autoSpaceDN w:val="0"/>
      <w:adjustRightInd w:val="0"/>
      <w:spacing w:line="360" w:lineRule="auto"/>
      <w:ind w:right="203"/>
      <w:jc w:val="both"/>
    </w:pPr>
    <w:rPr>
      <w:rFonts w:ascii="Calibri" w:eastAsia="Calibri" w:hAnsi="Calibri"/>
      <w:szCs w:val="20"/>
    </w:rPr>
  </w:style>
  <w:style w:type="character" w:customStyle="1" w:styleId="psCar">
    <w:name w:val="ps Car"/>
    <w:link w:val="ps"/>
    <w:uiPriority w:val="99"/>
    <w:locked/>
    <w:rsid w:val="001D3373"/>
    <w:rPr>
      <w:rFonts w:ascii="Times New Roman" w:hAnsi="Times New Roman" w:cs="Times New Roman"/>
    </w:rPr>
  </w:style>
  <w:style w:type="paragraph" w:customStyle="1" w:styleId="ps">
    <w:name w:val="ps"/>
    <w:basedOn w:val="Normal"/>
    <w:link w:val="psCar"/>
    <w:uiPriority w:val="99"/>
    <w:rsid w:val="001D3373"/>
    <w:pPr>
      <w:keepLines/>
      <w:spacing w:before="240"/>
      <w:jc w:val="both"/>
    </w:pPr>
    <w:rPr>
      <w:sz w:val="22"/>
      <w:szCs w:val="22"/>
      <w:lang w:eastAsia="en-US"/>
    </w:rPr>
  </w:style>
  <w:style w:type="paragraph" w:customStyle="1" w:styleId="PARA">
    <w:name w:val="PARA"/>
    <w:basedOn w:val="Normal"/>
    <w:rsid w:val="001D3373"/>
    <w:pPr>
      <w:keepLines/>
      <w:spacing w:before="120"/>
      <w:jc w:val="both"/>
    </w:pPr>
    <w:rPr>
      <w:rFonts w:ascii="Arial" w:eastAsia="Times New Roman" w:hAnsi="Arial"/>
      <w:sz w:val="20"/>
      <w:szCs w:val="20"/>
    </w:rPr>
  </w:style>
  <w:style w:type="paragraph" w:customStyle="1" w:styleId="Retrait2">
    <w:name w:val="Retrait2"/>
    <w:basedOn w:val="Corpodetexto"/>
    <w:uiPriority w:val="99"/>
    <w:rsid w:val="001D3373"/>
    <w:pPr>
      <w:tabs>
        <w:tab w:val="num" w:pos="360"/>
      </w:tabs>
      <w:spacing w:before="0" w:after="0"/>
      <w:ind w:left="340" w:hanging="340"/>
      <w:jc w:val="both"/>
    </w:pPr>
    <w:rPr>
      <w:rFonts w:ascii="Times New Roman" w:eastAsia="Times New Roman" w:hAnsi="Times New Roman"/>
      <w:bCs/>
      <w:spacing w:val="0"/>
      <w:sz w:val="22"/>
    </w:rPr>
  </w:style>
  <w:style w:type="paragraph" w:customStyle="1" w:styleId="Retraittexte">
    <w:name w:val="Retrait texte"/>
    <w:basedOn w:val="Corpodetexto"/>
    <w:uiPriority w:val="99"/>
    <w:rsid w:val="001D3373"/>
    <w:pPr>
      <w:spacing w:before="0" w:after="0"/>
      <w:ind w:left="360" w:hanging="360"/>
      <w:jc w:val="both"/>
    </w:pPr>
    <w:rPr>
      <w:rFonts w:ascii="Times New Roman" w:eastAsia="Times New Roman" w:hAnsi="Times New Roman"/>
      <w:spacing w:val="0"/>
      <w:sz w:val="22"/>
    </w:rPr>
  </w:style>
  <w:style w:type="character" w:customStyle="1" w:styleId="st">
    <w:name w:val="st"/>
    <w:basedOn w:val="Tipodeletrapredefinidodopargrafo"/>
    <w:rsid w:val="001D3373"/>
  </w:style>
  <w:style w:type="character" w:customStyle="1" w:styleId="mw-headline">
    <w:name w:val="mw-headline"/>
    <w:basedOn w:val="Tipodeletrapredefinidodopargrafo"/>
    <w:rsid w:val="001D3373"/>
  </w:style>
  <w:style w:type="character" w:customStyle="1" w:styleId="nowrap">
    <w:name w:val="nowrap"/>
    <w:basedOn w:val="Tipodeletrapredefinidodopargrafo"/>
    <w:rsid w:val="001D3373"/>
  </w:style>
  <w:style w:type="character" w:customStyle="1" w:styleId="article-fulllettrine">
    <w:name w:val="article-full__lettrine"/>
    <w:basedOn w:val="Tipodeletrapredefinidodopargrafo"/>
    <w:rsid w:val="001D3373"/>
  </w:style>
  <w:style w:type="character" w:customStyle="1" w:styleId="reference-text">
    <w:name w:val="reference-text"/>
    <w:basedOn w:val="Tipodeletrapredefinidodopargrafo"/>
    <w:rsid w:val="001D3373"/>
  </w:style>
  <w:style w:type="character" w:customStyle="1" w:styleId="bodyinterna1">
    <w:name w:val="bodyinterna1"/>
    <w:rsid w:val="001D3373"/>
    <w:rPr>
      <w:rFonts w:ascii="Arial" w:hAnsi="Arial" w:cs="Arial" w:hint="default"/>
      <w:sz w:val="20"/>
      <w:szCs w:val="20"/>
    </w:rPr>
  </w:style>
  <w:style w:type="table" w:customStyle="1" w:styleId="Listeclaire-Accent31">
    <w:name w:val="Liste claire - Accent 31"/>
    <w:basedOn w:val="Tabelanormal"/>
    <w:next w:val="ListaEscura-Cor3"/>
    <w:uiPriority w:val="61"/>
    <w:rsid w:val="001D3373"/>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M41">
    <w:name w:val="TM 41"/>
    <w:basedOn w:val="Normal"/>
    <w:next w:val="Normal"/>
    <w:autoRedefine/>
    <w:uiPriority w:val="1"/>
    <w:unhideWhenUsed/>
    <w:qFormat/>
    <w:rsid w:val="001D3373"/>
    <w:pPr>
      <w:spacing w:after="100" w:line="259" w:lineRule="auto"/>
      <w:ind w:left="660"/>
    </w:pPr>
    <w:rPr>
      <w:rFonts w:ascii="Calibri" w:eastAsia="Times New Roman" w:hAnsi="Calibri"/>
      <w:sz w:val="22"/>
      <w:szCs w:val="22"/>
    </w:rPr>
  </w:style>
  <w:style w:type="paragraph" w:customStyle="1" w:styleId="TM51">
    <w:name w:val="TM 51"/>
    <w:basedOn w:val="Normal"/>
    <w:next w:val="Normal"/>
    <w:autoRedefine/>
    <w:uiPriority w:val="39"/>
    <w:unhideWhenUsed/>
    <w:rsid w:val="001D3373"/>
    <w:pPr>
      <w:spacing w:after="100" w:line="259" w:lineRule="auto"/>
      <w:ind w:left="880"/>
    </w:pPr>
    <w:rPr>
      <w:rFonts w:ascii="Calibri" w:eastAsia="Times New Roman" w:hAnsi="Calibri"/>
      <w:sz w:val="22"/>
      <w:szCs w:val="22"/>
    </w:rPr>
  </w:style>
  <w:style w:type="paragraph" w:customStyle="1" w:styleId="TM61">
    <w:name w:val="TM 61"/>
    <w:basedOn w:val="Normal"/>
    <w:next w:val="Normal"/>
    <w:autoRedefine/>
    <w:uiPriority w:val="39"/>
    <w:unhideWhenUsed/>
    <w:rsid w:val="001D3373"/>
    <w:pPr>
      <w:spacing w:after="100" w:line="259" w:lineRule="auto"/>
      <w:ind w:left="1100"/>
    </w:pPr>
    <w:rPr>
      <w:rFonts w:ascii="Calibri" w:eastAsia="Times New Roman" w:hAnsi="Calibri"/>
      <w:sz w:val="22"/>
      <w:szCs w:val="22"/>
    </w:rPr>
  </w:style>
  <w:style w:type="paragraph" w:customStyle="1" w:styleId="TM71">
    <w:name w:val="TM 71"/>
    <w:basedOn w:val="Normal"/>
    <w:next w:val="Normal"/>
    <w:autoRedefine/>
    <w:uiPriority w:val="39"/>
    <w:unhideWhenUsed/>
    <w:rsid w:val="001D3373"/>
    <w:pPr>
      <w:spacing w:after="100" w:line="259" w:lineRule="auto"/>
      <w:ind w:left="1320"/>
    </w:pPr>
    <w:rPr>
      <w:rFonts w:ascii="Calibri" w:eastAsia="Times New Roman" w:hAnsi="Calibri"/>
      <w:sz w:val="22"/>
      <w:szCs w:val="22"/>
    </w:rPr>
  </w:style>
  <w:style w:type="paragraph" w:customStyle="1" w:styleId="TM81">
    <w:name w:val="TM 81"/>
    <w:basedOn w:val="Normal"/>
    <w:next w:val="Normal"/>
    <w:autoRedefine/>
    <w:uiPriority w:val="39"/>
    <w:unhideWhenUsed/>
    <w:rsid w:val="001D3373"/>
    <w:pPr>
      <w:spacing w:after="100" w:line="259" w:lineRule="auto"/>
      <w:ind w:left="1540"/>
    </w:pPr>
    <w:rPr>
      <w:rFonts w:ascii="Calibri" w:eastAsia="Times New Roman" w:hAnsi="Calibri"/>
      <w:sz w:val="22"/>
      <w:szCs w:val="22"/>
    </w:rPr>
  </w:style>
  <w:style w:type="paragraph" w:customStyle="1" w:styleId="Rvision1">
    <w:name w:val="Révision1"/>
    <w:next w:val="Tramecouleur-Accent11"/>
    <w:hidden/>
    <w:uiPriority w:val="99"/>
    <w:semiHidden/>
    <w:rsid w:val="001D3373"/>
    <w:pPr>
      <w:spacing w:after="0" w:line="240" w:lineRule="auto"/>
    </w:pPr>
    <w:rPr>
      <w:rFonts w:ascii="Calibri" w:eastAsia="Calibri" w:hAnsi="Calibri" w:cs="Times New Roman"/>
    </w:rPr>
  </w:style>
  <w:style w:type="character" w:customStyle="1" w:styleId="Titre3Car2">
    <w:name w:val="Titre 3 Car2"/>
    <w:uiPriority w:val="9"/>
    <w:semiHidden/>
    <w:rsid w:val="001D3373"/>
    <w:rPr>
      <w:rFonts w:ascii="Calibri Light" w:eastAsia="Yu Gothic Light" w:hAnsi="Calibri Light" w:cs="Times New Roman"/>
      <w:color w:val="1F4D78"/>
      <w:sz w:val="24"/>
      <w:szCs w:val="24"/>
    </w:rPr>
  </w:style>
  <w:style w:type="character" w:customStyle="1" w:styleId="Titre4Car1">
    <w:name w:val="Titre 4 Car1"/>
    <w:uiPriority w:val="9"/>
    <w:semiHidden/>
    <w:rsid w:val="001D3373"/>
    <w:rPr>
      <w:rFonts w:ascii="Calibri Light" w:eastAsia="Yu Gothic Light" w:hAnsi="Calibri Light" w:cs="Times New Roman"/>
      <w:i/>
      <w:iCs/>
      <w:color w:val="2E74B5"/>
    </w:rPr>
  </w:style>
  <w:style w:type="character" w:customStyle="1" w:styleId="Titre5Car1">
    <w:name w:val="Titre 5 Car1"/>
    <w:uiPriority w:val="9"/>
    <w:semiHidden/>
    <w:rsid w:val="001D3373"/>
    <w:rPr>
      <w:rFonts w:ascii="Calibri Light" w:eastAsia="Yu Gothic Light" w:hAnsi="Calibri Light" w:cs="Times New Roman"/>
      <w:color w:val="2E74B5"/>
    </w:rPr>
  </w:style>
  <w:style w:type="table" w:styleId="ListaEscura-Cor3">
    <w:name w:val="Dark List Accent 3"/>
    <w:basedOn w:val="Tabelanormal"/>
    <w:uiPriority w:val="61"/>
    <w:unhideWhenUsed/>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ramecouleur-Accent11">
    <w:name w:val="Trame couleur - Accent 11"/>
    <w:hidden/>
    <w:uiPriority w:val="99"/>
    <w:semiHidden/>
    <w:rsid w:val="001D3373"/>
    <w:pPr>
      <w:spacing w:after="0" w:line="240" w:lineRule="auto"/>
    </w:pPr>
    <w:rPr>
      <w:rFonts w:ascii="Calibri" w:eastAsia="Calibri" w:hAnsi="Calibri" w:cs="Times New Roman"/>
    </w:rPr>
  </w:style>
  <w:style w:type="paragraph" w:customStyle="1" w:styleId="Grillecouleur-Accent11">
    <w:name w:val="Grille couleur - Accent 11"/>
    <w:basedOn w:val="Normal"/>
    <w:next w:val="Normal"/>
    <w:link w:val="Grillecouleur-Accent1Car"/>
    <w:uiPriority w:val="29"/>
    <w:qFormat/>
    <w:rsid w:val="001D3373"/>
    <w:pPr>
      <w:spacing w:after="200" w:line="276" w:lineRule="auto"/>
    </w:pPr>
    <w:rPr>
      <w:rFonts w:ascii="Calibri" w:eastAsia="Times New Roman" w:hAnsi="Calibri"/>
      <w:i/>
      <w:iCs/>
      <w:color w:val="000000"/>
      <w:sz w:val="22"/>
      <w:szCs w:val="22"/>
    </w:rPr>
  </w:style>
  <w:style w:type="character" w:customStyle="1" w:styleId="Grillecouleur-Accent1Car">
    <w:name w:val="Grille couleur - Accent 1 Car"/>
    <w:link w:val="Grillecouleur-Accent11"/>
    <w:uiPriority w:val="29"/>
    <w:rsid w:val="001D3373"/>
    <w:rPr>
      <w:rFonts w:ascii="Calibri" w:eastAsia="Times New Roman" w:hAnsi="Calibri" w:cs="Times New Roman"/>
      <w:i/>
      <w:iCs/>
      <w:color w:val="000000"/>
      <w:lang w:eastAsia="fr-FR"/>
    </w:rPr>
  </w:style>
  <w:style w:type="paragraph" w:customStyle="1" w:styleId="088095CB421E4E02BDC9682AFEE1723A">
    <w:name w:val="088095CB421E4E02BDC9682AFEE1723A"/>
    <w:rsid w:val="001D3373"/>
    <w:pPr>
      <w:spacing w:after="200" w:line="276" w:lineRule="auto"/>
    </w:pPr>
    <w:rPr>
      <w:rFonts w:ascii="Calibri" w:eastAsia="Yu Mincho" w:hAnsi="Calibri" w:cs="Times New Roman"/>
      <w:lang w:eastAsia="fr-FR"/>
    </w:rPr>
  </w:style>
  <w:style w:type="numbering" w:customStyle="1" w:styleId="Style17">
    <w:name w:val="Style17"/>
    <w:uiPriority w:val="99"/>
    <w:rsid w:val="001D3373"/>
    <w:pPr>
      <w:numPr>
        <w:numId w:val="25"/>
      </w:numPr>
    </w:pPr>
  </w:style>
  <w:style w:type="paragraph" w:customStyle="1" w:styleId="Body1">
    <w:name w:val="Body1"/>
    <w:basedOn w:val="Normal"/>
    <w:rsid w:val="001D3373"/>
    <w:pPr>
      <w:spacing w:before="60" w:after="120" w:line="240" w:lineRule="exact"/>
      <w:ind w:left="709"/>
      <w:jc w:val="both"/>
    </w:pPr>
    <w:rPr>
      <w:rFonts w:ascii="Arial" w:eastAsia="Times New Roman" w:hAnsi="Arial" w:cs="Arial"/>
      <w:sz w:val="20"/>
      <w:szCs w:val="20"/>
    </w:rPr>
  </w:style>
  <w:style w:type="paragraph" w:styleId="HTMLpr-formatado">
    <w:name w:val="HTML Preformatted"/>
    <w:basedOn w:val="Normal"/>
    <w:link w:val="HTMLpr-formatadoCarcter"/>
    <w:uiPriority w:val="99"/>
    <w:unhideWhenUsed/>
    <w:rsid w:val="001D3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formatadoCarcter">
    <w:name w:val="HTML pré-formatado Carácter"/>
    <w:basedOn w:val="Tipodeletrapredefinidodopargrafo"/>
    <w:link w:val="HTMLpr-formatado"/>
    <w:uiPriority w:val="99"/>
    <w:rsid w:val="001D3373"/>
    <w:rPr>
      <w:rFonts w:ascii="Courier New" w:eastAsia="Times New Roman" w:hAnsi="Courier New" w:cs="Courier New"/>
      <w:sz w:val="20"/>
      <w:szCs w:val="20"/>
      <w:lang w:eastAsia="fr-FR"/>
    </w:rPr>
  </w:style>
  <w:style w:type="paragraph" w:customStyle="1" w:styleId="Normal10">
    <w:name w:val="Normal1"/>
    <w:basedOn w:val="Normal"/>
    <w:link w:val="normalCar"/>
    <w:rsid w:val="001D3373"/>
    <w:pPr>
      <w:spacing w:before="120"/>
      <w:ind w:left="737"/>
      <w:jc w:val="both"/>
    </w:pPr>
    <w:rPr>
      <w:rFonts w:ascii="Century Gothic" w:eastAsia="Calibri" w:hAnsi="Century Gothic"/>
      <w:sz w:val="20"/>
      <w:szCs w:val="20"/>
      <w:lang w:val="en-GB"/>
    </w:rPr>
  </w:style>
  <w:style w:type="character" w:customStyle="1" w:styleId="normalCar">
    <w:name w:val="normal Car"/>
    <w:link w:val="Normal10"/>
    <w:locked/>
    <w:rsid w:val="001D3373"/>
    <w:rPr>
      <w:rFonts w:ascii="Century Gothic" w:eastAsia="Calibri" w:hAnsi="Century Gothic" w:cs="Times New Roman"/>
      <w:sz w:val="20"/>
      <w:szCs w:val="20"/>
      <w:lang w:val="en-GB" w:eastAsia="fr-FR"/>
    </w:rPr>
  </w:style>
  <w:style w:type="paragraph" w:customStyle="1" w:styleId="Arial">
    <w:name w:val="Arial"/>
    <w:basedOn w:val="Normal"/>
    <w:uiPriority w:val="99"/>
    <w:rsid w:val="001D3373"/>
    <w:rPr>
      <w:rFonts w:eastAsia="Times New Roman"/>
      <w:sz w:val="21"/>
      <w:szCs w:val="21"/>
    </w:rPr>
  </w:style>
  <w:style w:type="table" w:customStyle="1" w:styleId="TableauGrille31">
    <w:name w:val="Tableau Grille 31"/>
    <w:basedOn w:val="Tabelanormal"/>
    <w:uiPriority w:val="48"/>
    <w:rsid w:val="001D3373"/>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Grille3-Accentuation41">
    <w:name w:val="Tableau Grille 3 - Accentuation 41"/>
    <w:basedOn w:val="Tabelanormal"/>
    <w:uiPriority w:val="48"/>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3-Accentuation61">
    <w:name w:val="Tableau Grille 3 - Accentuation 61"/>
    <w:basedOn w:val="Tabelanormal"/>
    <w:uiPriority w:val="48"/>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auGrille41">
    <w:name w:val="Tableau Grille 41"/>
    <w:basedOn w:val="Tabelanormal"/>
    <w:uiPriority w:val="49"/>
    <w:rsid w:val="001D3373"/>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rameclaire-Accent21">
    <w:name w:val="Trame claire - Accent 21"/>
    <w:basedOn w:val="Normal"/>
    <w:next w:val="Normal"/>
    <w:link w:val="Trameclaire-Accent2Car"/>
    <w:uiPriority w:val="30"/>
    <w:qFormat/>
    <w:rsid w:val="001D3373"/>
    <w:pPr>
      <w:pBdr>
        <w:top w:val="single" w:sz="4" w:space="10" w:color="5B9BD5"/>
        <w:bottom w:val="single" w:sz="4" w:space="10" w:color="5B9BD5"/>
      </w:pBdr>
      <w:spacing w:before="360" w:after="360" w:line="276" w:lineRule="auto"/>
      <w:ind w:left="864" w:right="864"/>
      <w:jc w:val="center"/>
    </w:pPr>
    <w:rPr>
      <w:rFonts w:eastAsia="Times New Roman"/>
      <w:b/>
      <w:bCs/>
      <w:i/>
      <w:iCs/>
      <w:color w:val="4F81BD"/>
      <w:lang w:eastAsia="en-US"/>
    </w:rPr>
  </w:style>
  <w:style w:type="table" w:customStyle="1" w:styleId="Tableausimple211">
    <w:name w:val="Tableau simple 211"/>
    <w:basedOn w:val="Tabelanormal"/>
    <w:uiPriority w:val="42"/>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rtetext-column">
    <w:name w:val="rtetext-column"/>
    <w:basedOn w:val="Normal"/>
    <w:rsid w:val="001D3373"/>
    <w:pPr>
      <w:spacing w:before="100" w:beforeAutospacing="1" w:after="100" w:afterAutospacing="1"/>
    </w:pPr>
    <w:rPr>
      <w:rFonts w:eastAsia="Times New Roman"/>
    </w:rPr>
  </w:style>
  <w:style w:type="character" w:customStyle="1" w:styleId="BodyTextIndentChar">
    <w:name w:val="Body Text Indent Char"/>
    <w:uiPriority w:val="99"/>
    <w:semiHidden/>
    <w:rsid w:val="001D3373"/>
    <w:rPr>
      <w:rFonts w:ascii="Times New Roman" w:hAnsi="Times New Roman"/>
      <w:sz w:val="24"/>
      <w:szCs w:val="24"/>
    </w:rPr>
  </w:style>
  <w:style w:type="character" w:customStyle="1" w:styleId="BodyTextChar0">
    <w:name w:val="Body Text Char"/>
    <w:uiPriority w:val="99"/>
    <w:semiHidden/>
    <w:rsid w:val="001D3373"/>
    <w:rPr>
      <w:rFonts w:ascii="Times New Roman" w:hAnsi="Times New Roman"/>
      <w:sz w:val="24"/>
      <w:szCs w:val="24"/>
    </w:rPr>
  </w:style>
  <w:style w:type="character" w:customStyle="1" w:styleId="FootnoteTextChar">
    <w:name w:val="Footnote Text Char"/>
    <w:uiPriority w:val="99"/>
    <w:semiHidden/>
    <w:rsid w:val="001D3373"/>
    <w:rPr>
      <w:rFonts w:ascii="Times New Roman" w:hAnsi="Times New Roman"/>
      <w:sz w:val="20"/>
      <w:szCs w:val="20"/>
    </w:rPr>
  </w:style>
  <w:style w:type="character" w:customStyle="1" w:styleId="HeaderChar">
    <w:name w:val="Header Char"/>
    <w:uiPriority w:val="99"/>
    <w:semiHidden/>
    <w:rsid w:val="001D3373"/>
    <w:rPr>
      <w:rFonts w:ascii="Times New Roman" w:hAnsi="Times New Roman"/>
      <w:sz w:val="24"/>
      <w:szCs w:val="24"/>
    </w:rPr>
  </w:style>
  <w:style w:type="character" w:customStyle="1" w:styleId="FooterChar">
    <w:name w:val="Footer Char"/>
    <w:uiPriority w:val="99"/>
    <w:semiHidden/>
    <w:rsid w:val="001D3373"/>
    <w:rPr>
      <w:rFonts w:ascii="Times New Roman" w:hAnsi="Times New Roman"/>
      <w:sz w:val="24"/>
      <w:szCs w:val="24"/>
    </w:rPr>
  </w:style>
  <w:style w:type="character" w:customStyle="1" w:styleId="shorttext">
    <w:name w:val="short_text"/>
    <w:basedOn w:val="Tipodeletrapredefinidodopargrafo"/>
    <w:rsid w:val="001D3373"/>
  </w:style>
  <w:style w:type="character" w:customStyle="1" w:styleId="DefaultCar">
    <w:name w:val="Default Car"/>
    <w:link w:val="Default"/>
    <w:rsid w:val="001D3373"/>
    <w:rPr>
      <w:rFonts w:ascii="Arial" w:eastAsia="Calibri" w:hAnsi="Arial" w:cs="Arial"/>
      <w:color w:val="000000"/>
      <w:sz w:val="24"/>
      <w:szCs w:val="24"/>
      <w:lang w:eastAsia="fr-FR"/>
    </w:rPr>
  </w:style>
  <w:style w:type="table" w:customStyle="1" w:styleId="TableGrid">
    <w:name w:val="TableGrid"/>
    <w:rsid w:val="001D3373"/>
    <w:pPr>
      <w:spacing w:after="0" w:line="240" w:lineRule="auto"/>
    </w:pPr>
    <w:rPr>
      <w:rFonts w:ascii="Calibri" w:eastAsia="Yu Mincho" w:hAnsi="Calibri" w:cs="Times New Roman"/>
      <w:lang w:eastAsia="fr-FR"/>
    </w:rPr>
    <w:tblPr>
      <w:tblCellMar>
        <w:top w:w="0" w:type="dxa"/>
        <w:left w:w="0" w:type="dxa"/>
        <w:bottom w:w="0" w:type="dxa"/>
        <w:right w:w="0" w:type="dxa"/>
      </w:tblCellMar>
    </w:tblPr>
  </w:style>
  <w:style w:type="paragraph" w:customStyle="1" w:styleId="Alinea">
    <w:name w:val="Alinea"/>
    <w:basedOn w:val="Normal"/>
    <w:rsid w:val="001D3373"/>
    <w:pPr>
      <w:tabs>
        <w:tab w:val="right" w:leader="dot" w:pos="7088"/>
      </w:tabs>
      <w:autoSpaceDE w:val="0"/>
      <w:autoSpaceDN w:val="0"/>
      <w:adjustRightInd w:val="0"/>
      <w:spacing w:before="150"/>
      <w:jc w:val="both"/>
    </w:pPr>
    <w:rPr>
      <w:rFonts w:ascii="Helvetica" w:eastAsia="Times New Roman" w:hAnsi="Helvetica" w:cs="Helvetica"/>
      <w:sz w:val="20"/>
      <w:szCs w:val="20"/>
    </w:rPr>
  </w:style>
  <w:style w:type="paragraph" w:customStyle="1" w:styleId="Tartq">
    <w:name w:val="Tartq"/>
    <w:basedOn w:val="Normal"/>
    <w:rsid w:val="001D3373"/>
    <w:pPr>
      <w:autoSpaceDE w:val="0"/>
      <w:autoSpaceDN w:val="0"/>
      <w:adjustRightInd w:val="0"/>
      <w:spacing w:before="470" w:after="50"/>
      <w:jc w:val="both"/>
    </w:pPr>
    <w:rPr>
      <w:rFonts w:ascii="Helvetica" w:eastAsia="Times New Roman" w:hAnsi="Helvetica" w:cs="Helvetica"/>
      <w:b/>
      <w:bCs/>
    </w:rPr>
  </w:style>
  <w:style w:type="table" w:styleId="ListaClara-Cor3">
    <w:name w:val="Light List Accent 3"/>
    <w:basedOn w:val="Tabelanormal"/>
    <w:uiPriority w:val="61"/>
    <w:unhideWhenUsed/>
    <w:rsid w:val="001D337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itao">
    <w:name w:val="Quote"/>
    <w:basedOn w:val="Normal"/>
    <w:next w:val="Normal"/>
    <w:link w:val="CitaoCarcter"/>
    <w:uiPriority w:val="29"/>
    <w:qFormat/>
    <w:rsid w:val="001D3373"/>
    <w:pPr>
      <w:spacing w:after="200" w:line="276" w:lineRule="auto"/>
    </w:pPr>
    <w:rPr>
      <w:rFonts w:ascii="Calibri" w:eastAsia="Times New Roman" w:hAnsi="Calibri"/>
      <w:i/>
      <w:iCs/>
      <w:color w:val="000000"/>
      <w:sz w:val="22"/>
      <w:szCs w:val="22"/>
    </w:rPr>
  </w:style>
  <w:style w:type="character" w:customStyle="1" w:styleId="CitaoCarcter">
    <w:name w:val="Citação Carácter"/>
    <w:basedOn w:val="Tipodeletrapredefinidodopargrafo"/>
    <w:link w:val="Citao"/>
    <w:uiPriority w:val="29"/>
    <w:rsid w:val="001D3373"/>
    <w:rPr>
      <w:rFonts w:ascii="Calibri" w:eastAsia="Times New Roman" w:hAnsi="Calibri" w:cs="Times New Roman"/>
      <w:i/>
      <w:iCs/>
      <w:color w:val="000000"/>
      <w:lang w:eastAsia="fr-FR"/>
    </w:rPr>
  </w:style>
  <w:style w:type="paragraph" w:styleId="CitaoIntensa">
    <w:name w:val="Intense Quote"/>
    <w:basedOn w:val="Normal"/>
    <w:next w:val="Normal"/>
    <w:link w:val="CitaoIntensaCarcter"/>
    <w:uiPriority w:val="30"/>
    <w:qFormat/>
    <w:rsid w:val="001D3373"/>
    <w:pPr>
      <w:pBdr>
        <w:top w:val="single" w:sz="4" w:space="10" w:color="5B9BD5" w:themeColor="accent1"/>
        <w:bottom w:val="single" w:sz="4" w:space="10" w:color="5B9BD5" w:themeColor="accent1"/>
      </w:pBdr>
      <w:spacing w:before="360" w:after="360" w:line="276" w:lineRule="auto"/>
      <w:ind w:left="864" w:right="864"/>
      <w:jc w:val="center"/>
    </w:pPr>
    <w:rPr>
      <w:rFonts w:eastAsia="Calibri"/>
      <w:i/>
      <w:iCs/>
      <w:color w:val="5B9BD5" w:themeColor="accent1"/>
      <w:szCs w:val="22"/>
      <w:lang w:eastAsia="en-US"/>
    </w:rPr>
  </w:style>
  <w:style w:type="character" w:customStyle="1" w:styleId="CitaoIntensaCarcter">
    <w:name w:val="Citação Intensa Carácter"/>
    <w:basedOn w:val="Tipodeletrapredefinidodopargrafo"/>
    <w:link w:val="CitaoIntensa"/>
    <w:uiPriority w:val="30"/>
    <w:rsid w:val="001D3373"/>
    <w:rPr>
      <w:rFonts w:ascii="Times New Roman" w:eastAsia="Calibri" w:hAnsi="Times New Roman" w:cs="Times New Roman"/>
      <w:i/>
      <w:iCs/>
      <w:color w:val="5B9BD5" w:themeColor="accent1"/>
      <w:sz w:val="24"/>
    </w:rPr>
  </w:style>
  <w:style w:type="paragraph" w:customStyle="1" w:styleId="m8205132091282087500msolistparagraph">
    <w:name w:val="m_8205132091282087500msolistparagraph"/>
    <w:basedOn w:val="Normal"/>
    <w:rsid w:val="001D3373"/>
    <w:pPr>
      <w:spacing w:before="100" w:beforeAutospacing="1" w:after="100" w:afterAutospacing="1"/>
    </w:pPr>
    <w:rPr>
      <w:rFonts w:eastAsia="Times New Roman"/>
    </w:rPr>
  </w:style>
  <w:style w:type="character" w:customStyle="1" w:styleId="goohl4">
    <w:name w:val="goohl4"/>
    <w:basedOn w:val="Tipodeletrapredefinidodopargrafo"/>
    <w:rsid w:val="001D3373"/>
  </w:style>
  <w:style w:type="character" w:customStyle="1" w:styleId="Mentionnonrsolue1">
    <w:name w:val="Mention non résolue1"/>
    <w:basedOn w:val="Tipodeletrapredefinidodopargrafo"/>
    <w:uiPriority w:val="99"/>
    <w:semiHidden/>
    <w:unhideWhenUsed/>
    <w:rsid w:val="001D3373"/>
    <w:rPr>
      <w:color w:val="605E5C"/>
      <w:shd w:val="clear" w:color="auto" w:fill="E1DFDD"/>
    </w:rPr>
  </w:style>
  <w:style w:type="character" w:customStyle="1" w:styleId="lang-en">
    <w:name w:val="lang-en"/>
    <w:basedOn w:val="Tipodeletrapredefinidodopargrafo"/>
    <w:rsid w:val="001D3373"/>
  </w:style>
  <w:style w:type="paragraph" w:customStyle="1" w:styleId="classic">
    <w:name w:val="classic"/>
    <w:basedOn w:val="Normal"/>
    <w:rsid w:val="001D3373"/>
    <w:pPr>
      <w:spacing w:before="100" w:beforeAutospacing="1" w:after="100" w:afterAutospacing="1"/>
    </w:pPr>
  </w:style>
  <w:style w:type="paragraph" w:customStyle="1" w:styleId="Basdepage">
    <w:name w:val="Basdepage"/>
    <w:link w:val="BasdepageCar"/>
    <w:qFormat/>
    <w:rsid w:val="00B15CA5"/>
    <w:pPr>
      <w:pBdr>
        <w:top w:val="single" w:sz="4" w:space="1" w:color="auto"/>
      </w:pBdr>
      <w:spacing w:after="200" w:line="276" w:lineRule="auto"/>
    </w:pPr>
    <w:rPr>
      <w:rFonts w:ascii="Times New Roman" w:eastAsia="Times New Roman" w:hAnsi="Times New Roman" w:cstheme="minorHAnsi"/>
      <w:sz w:val="20"/>
      <w:szCs w:val="20"/>
      <w:lang w:eastAsia="fr-FR"/>
    </w:rPr>
  </w:style>
  <w:style w:type="character" w:customStyle="1" w:styleId="BasdepageCar">
    <w:name w:val="Basdepage Car"/>
    <w:basedOn w:val="RodapCarcter"/>
    <w:link w:val="Basdepage"/>
    <w:rsid w:val="00B15CA5"/>
    <w:rPr>
      <w:rFonts w:ascii="Times New Roman" w:eastAsia="Times New Roman" w:hAnsi="Times New Roman" w:cstheme="minorHAnsi"/>
      <w:sz w:val="20"/>
      <w:szCs w:val="20"/>
      <w:lang w:eastAsia="fr-FR"/>
    </w:rPr>
  </w:style>
  <w:style w:type="character" w:customStyle="1" w:styleId="Mentionnonrsolue11">
    <w:name w:val="Mention non résolue11"/>
    <w:basedOn w:val="Tipodeletrapredefinidodopargrafo"/>
    <w:uiPriority w:val="99"/>
    <w:semiHidden/>
    <w:unhideWhenUsed/>
    <w:rsid w:val="003C6DA9"/>
    <w:rPr>
      <w:color w:val="605E5C"/>
      <w:shd w:val="clear" w:color="auto" w:fill="E1DFDD"/>
    </w:rPr>
  </w:style>
  <w:style w:type="paragraph" w:customStyle="1" w:styleId="SolbaseNormal">
    <w:name w:val="Solbase_Normal"/>
    <w:basedOn w:val="Normal"/>
    <w:qFormat/>
    <w:rsid w:val="00A007E9"/>
    <w:pPr>
      <w:spacing w:after="120"/>
      <w:ind w:left="1134"/>
      <w:jc w:val="both"/>
    </w:pPr>
    <w:rPr>
      <w:rFonts w:ascii="Century Gothic" w:eastAsia="Times New Roman" w:hAnsi="Century Gothic"/>
      <w:sz w:val="20"/>
      <w:szCs w:val="20"/>
    </w:rPr>
  </w:style>
  <w:style w:type="paragraph" w:customStyle="1" w:styleId="BVIfnrCarattereCharCharCharCarattereCharCharCharCharCharChar1CharCharChar">
    <w:name w:val="BVI fnr Carattere Char Char Char Carattere Char Char Char Char Char Char1 Char Char Char"/>
    <w:basedOn w:val="Normal"/>
    <w:link w:val="Refdenotaderodap"/>
    <w:uiPriority w:val="99"/>
    <w:rsid w:val="000C30E3"/>
    <w:pPr>
      <w:spacing w:after="160" w:line="240" w:lineRule="exact"/>
    </w:pPr>
    <w:rPr>
      <w:rFonts w:asciiTheme="minorHAnsi" w:hAnsiTheme="minorHAnsi"/>
      <w:szCs w:val="22"/>
      <w:vertAlign w:val="superscript"/>
      <w:lang w:eastAsia="en-US"/>
    </w:rPr>
  </w:style>
  <w:style w:type="character" w:customStyle="1" w:styleId="NormalWebCarcter">
    <w:name w:val="Normal (Web) Carácter"/>
    <w:link w:val="NormalWeb"/>
    <w:uiPriority w:val="99"/>
    <w:rsid w:val="008B5BDA"/>
    <w:rPr>
      <w:rFonts w:ascii="Times New Roman" w:hAnsi="Times New Roman" w:cs="Times New Roman"/>
      <w:sz w:val="24"/>
      <w:szCs w:val="24"/>
      <w:lang w:eastAsia="fr-FR"/>
    </w:rPr>
  </w:style>
  <w:style w:type="paragraph" w:customStyle="1" w:styleId="Ttulo1">
    <w:name w:val="Título1"/>
    <w:basedOn w:val="Normal"/>
    <w:rsid w:val="00F641A3"/>
    <w:pPr>
      <w:spacing w:before="240" w:line="360" w:lineRule="atLeast"/>
      <w:jc w:val="center"/>
    </w:pPr>
    <w:rPr>
      <w:rFonts w:ascii="Arial" w:eastAsia="Times New Roman" w:hAnsi="Arial"/>
      <w:b/>
      <w:sz w:val="26"/>
      <w:szCs w:val="26"/>
      <w:lang w:eastAsia="en-US"/>
    </w:rPr>
  </w:style>
  <w:style w:type="paragraph" w:customStyle="1" w:styleId="texte0">
    <w:name w:val="texte"/>
    <w:basedOn w:val="Normal"/>
    <w:rsid w:val="007C0EBB"/>
    <w:pPr>
      <w:spacing w:after="200" w:line="276" w:lineRule="auto"/>
      <w:jc w:val="both"/>
    </w:pPr>
    <w:rPr>
      <w:rFonts w:ascii="Arial" w:eastAsia="Calibri" w:hAnsi="Arial" w:cs="Arial"/>
      <w:sz w:val="20"/>
      <w:szCs w:val="20"/>
      <w:lang w:eastAsia="en-US"/>
    </w:rPr>
  </w:style>
  <w:style w:type="paragraph" w:styleId="Lista3">
    <w:name w:val="List 3"/>
    <w:basedOn w:val="Normal"/>
    <w:uiPriority w:val="99"/>
    <w:unhideWhenUsed/>
    <w:rsid w:val="00A05714"/>
    <w:pPr>
      <w:ind w:left="849" w:hanging="283"/>
      <w:contextualSpacing/>
    </w:pPr>
  </w:style>
  <w:style w:type="paragraph" w:styleId="Listadecont">
    <w:name w:val="List Continue"/>
    <w:basedOn w:val="Normal"/>
    <w:uiPriority w:val="99"/>
    <w:unhideWhenUsed/>
    <w:rsid w:val="00A05714"/>
    <w:pPr>
      <w:spacing w:after="120"/>
      <w:ind w:left="283"/>
      <w:contextualSpacing/>
    </w:pPr>
  </w:style>
  <w:style w:type="paragraph" w:styleId="Listadecont2">
    <w:name w:val="List Continue 2"/>
    <w:basedOn w:val="Normal"/>
    <w:uiPriority w:val="99"/>
    <w:unhideWhenUsed/>
    <w:rsid w:val="00A05714"/>
    <w:pPr>
      <w:spacing w:after="120"/>
      <w:ind w:left="566"/>
      <w:contextualSpacing/>
    </w:pPr>
  </w:style>
  <w:style w:type="paragraph" w:styleId="Listadecont4">
    <w:name w:val="List Continue 4"/>
    <w:basedOn w:val="Normal"/>
    <w:uiPriority w:val="99"/>
    <w:unhideWhenUsed/>
    <w:rsid w:val="00A05714"/>
    <w:pPr>
      <w:spacing w:after="120"/>
      <w:ind w:left="1132"/>
      <w:contextualSpacing/>
    </w:pPr>
  </w:style>
  <w:style w:type="paragraph" w:customStyle="1" w:styleId="Grillemoyenne1-Accent21">
    <w:name w:val="Grille moyenne 1 - Accent 21"/>
    <w:aliases w:val="List Paragraph1,Medium Grid 1 - Accent 21,List_Paragraph,Multilevel para_II"/>
    <w:basedOn w:val="Normal"/>
    <w:link w:val="Grillemoyenne1-Accent2Car"/>
    <w:uiPriority w:val="34"/>
    <w:qFormat/>
    <w:rsid w:val="00CE5C45"/>
    <w:pPr>
      <w:ind w:left="720"/>
      <w:contextualSpacing/>
      <w:jc w:val="both"/>
    </w:pPr>
    <w:rPr>
      <w:rFonts w:eastAsia="Times New Roman"/>
      <w:lang w:eastAsia="en-US"/>
    </w:rPr>
  </w:style>
  <w:style w:type="table" w:customStyle="1" w:styleId="TableauGrille3-Accentuation31">
    <w:name w:val="Tableau Grille 3 - Accentuation 31"/>
    <w:basedOn w:val="Tabelanormal"/>
    <w:uiPriority w:val="48"/>
    <w:rsid w:val="001D352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auGrille3-Accentuation62">
    <w:name w:val="Tableau Grille 3 - Accentuation 62"/>
    <w:basedOn w:val="Tabelanormal"/>
    <w:uiPriority w:val="48"/>
    <w:rsid w:val="001D352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lledutableau2">
    <w:name w:val="Grille du tableau2"/>
    <w:basedOn w:val="Tabelanormal"/>
    <w:next w:val="Tabelacomgrelha"/>
    <w:uiPriority w:val="39"/>
    <w:rsid w:val="00681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3">
    <w:name w:val="Tableau Grille 1 Clair3"/>
    <w:basedOn w:val="Tabelanormal"/>
    <w:next w:val="TableauGrille1Clair4"/>
    <w:uiPriority w:val="46"/>
    <w:rsid w:val="00681EC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4">
    <w:name w:val="Tableau Grille 1 Clair4"/>
    <w:basedOn w:val="Tabelanormal"/>
    <w:uiPriority w:val="99"/>
    <w:rsid w:val="00681E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8">
    <w:name w:val="A8"/>
    <w:uiPriority w:val="99"/>
    <w:rsid w:val="002B6283"/>
    <w:rPr>
      <w:color w:val="000000"/>
      <w:sz w:val="20"/>
      <w:szCs w:val="20"/>
    </w:rPr>
  </w:style>
  <w:style w:type="character" w:customStyle="1" w:styleId="UnresolvedMention1">
    <w:name w:val="Unresolved Mention1"/>
    <w:basedOn w:val="Tipodeletrapredefinidodopargrafo"/>
    <w:uiPriority w:val="99"/>
    <w:rsid w:val="004414ED"/>
    <w:rPr>
      <w:color w:val="605E5C"/>
      <w:shd w:val="clear" w:color="auto" w:fill="E1DFDD"/>
    </w:rPr>
  </w:style>
  <w:style w:type="character" w:customStyle="1" w:styleId="Mentionnonrsolue2">
    <w:name w:val="Mention non résolue2"/>
    <w:basedOn w:val="Tipodeletrapredefinidodopargrafo"/>
    <w:uiPriority w:val="99"/>
    <w:semiHidden/>
    <w:unhideWhenUsed/>
    <w:rsid w:val="00D40E0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qFormat="1"/>
    <w:lsdException w:name="caption" w:uiPriority="0" w:qFormat="1"/>
    <w:lsdException w:name="footnote reference" w:qFormat="1"/>
    <w:lsdException w:name="annotation reference" w:uiPriority="0"/>
    <w:lsdException w:name="page number" w:uiPriority="0"/>
    <w:lsdException w:name="endnote text" w:uiPriority="0"/>
    <w:lsdException w:name="macro" w:uiPriority="0"/>
    <w:lsdException w:name="List"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9"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34"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23"/>
    <w:pPr>
      <w:spacing w:after="0" w:line="240" w:lineRule="auto"/>
    </w:pPr>
    <w:rPr>
      <w:rFonts w:ascii="Times New Roman" w:hAnsi="Times New Roman" w:cs="Times New Roman"/>
      <w:sz w:val="24"/>
      <w:szCs w:val="24"/>
      <w:lang w:eastAsia="fr-FR"/>
    </w:rPr>
  </w:style>
  <w:style w:type="paragraph" w:styleId="Cabealho1">
    <w:name w:val="heading 1"/>
    <w:aliases w:val=" Main Heading,Main Heading,TCI 1.  Heading,Main Heading 1,Heading 11,Heading 11 Car,Titre 11,An_Über 1,TITRE 1 + Droite :  8,5 cm,Avant : 25 pt,Après : 12 pt,Haut: (Simp...,Chapitre,Chapitre1,Chapitre2,Chapitre3,Chapitre4,Chapitre5,Chapitre6"/>
    <w:basedOn w:val="Normal"/>
    <w:next w:val="Normal"/>
    <w:link w:val="Cabealho1Carcter"/>
    <w:uiPriority w:val="9"/>
    <w:qFormat/>
    <w:rsid w:val="00A45EEC"/>
    <w:pPr>
      <w:keepNext/>
      <w:numPr>
        <w:numId w:val="23"/>
      </w:numPr>
      <w:spacing w:before="240" w:after="60"/>
      <w:outlineLvl w:val="0"/>
    </w:pPr>
    <w:rPr>
      <w:rFonts w:ascii="Cambria" w:hAnsi="Cambria"/>
      <w:b/>
      <w:bCs/>
      <w:kern w:val="32"/>
      <w:sz w:val="32"/>
      <w:szCs w:val="32"/>
    </w:rPr>
  </w:style>
  <w:style w:type="paragraph" w:styleId="Cabealho2">
    <w:name w:val="heading 2"/>
    <w:aliases w:val="Paranum,Chpt,Titolo 2,alec2,STitre 2,an_Über 2,Titre secondaire (2),sous-chapitre,Tend_Überschrift 2,Titre 2 tamarins,Titre Article,Titre 22,Kiyombo T2,Reset numbering,Major,Heading 2 Char,Chapitre 2,an,(1.1)"/>
    <w:basedOn w:val="Normal"/>
    <w:next w:val="Normal"/>
    <w:link w:val="Cabealho2Carcter"/>
    <w:qFormat/>
    <w:rsid w:val="00A45EEC"/>
    <w:pPr>
      <w:keepNext/>
      <w:numPr>
        <w:ilvl w:val="1"/>
        <w:numId w:val="23"/>
      </w:numPr>
      <w:spacing w:before="240" w:after="60"/>
      <w:outlineLvl w:val="1"/>
    </w:pPr>
    <w:rPr>
      <w:rFonts w:ascii="Cambria" w:hAnsi="Cambria"/>
      <w:b/>
      <w:bCs/>
      <w:i/>
      <w:iCs/>
      <w:sz w:val="28"/>
      <w:szCs w:val="28"/>
    </w:rPr>
  </w:style>
  <w:style w:type="paragraph" w:styleId="Cabealho3">
    <w:name w:val="heading 3"/>
    <w:aliases w:val="Centered, Centered,Titolo 3,Heading 3 (BM revised),centered"/>
    <w:basedOn w:val="Normal"/>
    <w:next w:val="Normal"/>
    <w:link w:val="Cabealho3Carcter"/>
    <w:qFormat/>
    <w:rsid w:val="00A45EEC"/>
    <w:pPr>
      <w:keepNext/>
      <w:numPr>
        <w:ilvl w:val="2"/>
        <w:numId w:val="23"/>
      </w:numPr>
      <w:spacing w:before="240" w:after="60"/>
      <w:outlineLvl w:val="2"/>
    </w:pPr>
    <w:rPr>
      <w:rFonts w:ascii="Cambria" w:hAnsi="Cambria"/>
      <w:b/>
      <w:bCs/>
      <w:sz w:val="26"/>
      <w:szCs w:val="26"/>
    </w:rPr>
  </w:style>
  <w:style w:type="paragraph" w:styleId="Cabealho4">
    <w:name w:val="heading 4"/>
    <w:aliases w:val="Sub-Clause Sub-paragraph, Sub-Clause Sub-paragraph"/>
    <w:basedOn w:val="Normal"/>
    <w:next w:val="Normal"/>
    <w:link w:val="Cabealho4Carcter"/>
    <w:qFormat/>
    <w:rsid w:val="00A45EEC"/>
    <w:pPr>
      <w:keepNext/>
      <w:numPr>
        <w:ilvl w:val="3"/>
        <w:numId w:val="23"/>
      </w:numPr>
      <w:spacing w:before="240" w:after="60"/>
      <w:outlineLvl w:val="3"/>
    </w:pPr>
    <w:rPr>
      <w:rFonts w:ascii="Calibri" w:hAnsi="Calibri"/>
      <w:b/>
      <w:bCs/>
      <w:sz w:val="28"/>
      <w:szCs w:val="28"/>
    </w:rPr>
  </w:style>
  <w:style w:type="paragraph" w:styleId="Cabealho5">
    <w:name w:val="heading 5"/>
    <w:aliases w:val="Side"/>
    <w:basedOn w:val="Normal"/>
    <w:next w:val="Normal"/>
    <w:link w:val="Cabealho5Carcter"/>
    <w:qFormat/>
    <w:rsid w:val="00A45EEC"/>
    <w:pPr>
      <w:keepNext/>
      <w:keepLines/>
      <w:numPr>
        <w:ilvl w:val="4"/>
        <w:numId w:val="23"/>
      </w:numPr>
      <w:spacing w:before="200" w:line="276" w:lineRule="auto"/>
      <w:outlineLvl w:val="4"/>
    </w:pPr>
    <w:rPr>
      <w:rFonts w:ascii="Cambria" w:hAnsi="Cambria"/>
      <w:color w:val="243F60"/>
      <w:sz w:val="20"/>
      <w:szCs w:val="20"/>
    </w:rPr>
  </w:style>
  <w:style w:type="paragraph" w:styleId="Cabealho6">
    <w:name w:val="heading 6"/>
    <w:basedOn w:val="Normal"/>
    <w:next w:val="Normal"/>
    <w:link w:val="Cabealho6Carcter"/>
    <w:qFormat/>
    <w:rsid w:val="00A45EEC"/>
    <w:pPr>
      <w:keepNext/>
      <w:keepLines/>
      <w:numPr>
        <w:ilvl w:val="5"/>
        <w:numId w:val="23"/>
      </w:numPr>
      <w:spacing w:before="200" w:line="276" w:lineRule="auto"/>
      <w:outlineLvl w:val="5"/>
    </w:pPr>
    <w:rPr>
      <w:rFonts w:ascii="Cambria" w:eastAsia="MS Gothic" w:hAnsi="Cambria"/>
      <w:i/>
      <w:iCs/>
      <w:color w:val="243F60"/>
      <w:sz w:val="20"/>
      <w:szCs w:val="20"/>
    </w:rPr>
  </w:style>
  <w:style w:type="paragraph" w:styleId="Cabealho7">
    <w:name w:val="heading 7"/>
    <w:basedOn w:val="Normal"/>
    <w:next w:val="Normal"/>
    <w:link w:val="Cabealho7Carcter"/>
    <w:qFormat/>
    <w:rsid w:val="00A45EEC"/>
    <w:pPr>
      <w:keepNext/>
      <w:numPr>
        <w:ilvl w:val="6"/>
        <w:numId w:val="23"/>
      </w:numPr>
      <w:jc w:val="both"/>
      <w:outlineLvl w:val="6"/>
    </w:pPr>
    <w:rPr>
      <w:b/>
      <w:bCs/>
      <w:sz w:val="20"/>
      <w:lang w:val="en-US" w:eastAsia="en-US"/>
    </w:rPr>
  </w:style>
  <w:style w:type="paragraph" w:styleId="Cabealho8">
    <w:name w:val="heading 8"/>
    <w:basedOn w:val="Normal"/>
    <w:next w:val="Normal"/>
    <w:link w:val="Cabealho8Carcter"/>
    <w:qFormat/>
    <w:rsid w:val="00A45EEC"/>
    <w:pPr>
      <w:keepNext/>
      <w:numPr>
        <w:ilvl w:val="7"/>
        <w:numId w:val="23"/>
      </w:numPr>
      <w:jc w:val="both"/>
      <w:outlineLvl w:val="7"/>
    </w:pPr>
    <w:rPr>
      <w:b/>
      <w:bCs/>
      <w:sz w:val="20"/>
      <w:lang w:val="en-US" w:eastAsia="en-US"/>
    </w:rPr>
  </w:style>
  <w:style w:type="paragraph" w:styleId="Cabealho9">
    <w:name w:val="heading 9"/>
    <w:aliases w:val="Listes"/>
    <w:basedOn w:val="Normal"/>
    <w:next w:val="Normal"/>
    <w:link w:val="Cabealho9Carcter"/>
    <w:qFormat/>
    <w:rsid w:val="00A45EEC"/>
    <w:pPr>
      <w:keepNext/>
      <w:numPr>
        <w:ilvl w:val="8"/>
        <w:numId w:val="23"/>
      </w:numPr>
      <w:spacing w:before="240" w:after="240"/>
      <w:jc w:val="center"/>
      <w:outlineLvl w:val="8"/>
    </w:pPr>
    <w:rPr>
      <w:b/>
      <w:sz w:val="28"/>
      <w:lang w:val="en-GB" w:eastAsia="it-I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Guidelines,En-tête CV,En-tête client,Kopfzeile Char Char, Char Char Char,heading 3 after h2,h,ContentsHeader,KPMG,Kopfzeile Angebot,alize,STYLE NORMAL,Heade,En-tête1,h3+,hd,he,*Header,Section Header,E.e,Cover Page,normal3,En-tête11,E.e1"/>
    <w:basedOn w:val="Normal"/>
    <w:link w:val="CabealhoCarcter"/>
    <w:unhideWhenUsed/>
    <w:qFormat/>
    <w:rsid w:val="00A45EEC"/>
    <w:pPr>
      <w:tabs>
        <w:tab w:val="center" w:pos="4536"/>
        <w:tab w:val="right" w:pos="9072"/>
      </w:tabs>
      <w:spacing w:after="200" w:line="276" w:lineRule="auto"/>
    </w:pPr>
    <w:rPr>
      <w:rFonts w:ascii="Calibri" w:eastAsia="Calibri" w:hAnsi="Calibri"/>
      <w:sz w:val="20"/>
      <w:szCs w:val="20"/>
    </w:rPr>
  </w:style>
  <w:style w:type="character" w:customStyle="1" w:styleId="CabealhoCarcter">
    <w:name w:val="Cabeçalho Carácter"/>
    <w:aliases w:val="Guidelines Carácter,En-tête CV Carácter,En-tête client Carácter,Kopfzeile Char Char Carácter, Char Char Char Carácter,heading 3 after h2 Carácter,h Carácter,ContentsHeader Carácter,KPMG Carácter,Kopfzeile Angebot Carácter,h3+ Carácter"/>
    <w:basedOn w:val="Tipodeletrapredefinidodopargrafo"/>
    <w:link w:val="Cabealho"/>
    <w:rsid w:val="00A45EEC"/>
    <w:rPr>
      <w:rFonts w:ascii="Calibri" w:eastAsia="Calibri" w:hAnsi="Calibri" w:cs="Times New Roman"/>
      <w:sz w:val="20"/>
      <w:szCs w:val="20"/>
      <w:lang w:eastAsia="fr-FR"/>
    </w:rPr>
  </w:style>
  <w:style w:type="paragraph" w:styleId="Textodebalo">
    <w:name w:val="Balloon Text"/>
    <w:basedOn w:val="Normal"/>
    <w:link w:val="TextodebaloCarcter"/>
    <w:uiPriority w:val="99"/>
    <w:semiHidden/>
    <w:unhideWhenUsed/>
    <w:rsid w:val="00A45EEC"/>
    <w:rPr>
      <w:rFonts w:ascii="Lucida Grande" w:hAnsi="Lucida Grande"/>
      <w:sz w:val="18"/>
      <w:szCs w:val="18"/>
    </w:rPr>
  </w:style>
  <w:style w:type="character" w:customStyle="1" w:styleId="TextodebaloCarcter">
    <w:name w:val="Texto de balão Carácter"/>
    <w:basedOn w:val="Tipodeletrapredefinidodopargrafo"/>
    <w:link w:val="Textodebalo"/>
    <w:uiPriority w:val="99"/>
    <w:semiHidden/>
    <w:rsid w:val="00A45EEC"/>
    <w:rPr>
      <w:rFonts w:ascii="Lucida Grande" w:eastAsia="Times New Roman" w:hAnsi="Lucida Grande" w:cs="Times New Roman"/>
      <w:sz w:val="18"/>
      <w:szCs w:val="18"/>
      <w:lang w:eastAsia="fr-FR"/>
    </w:rPr>
  </w:style>
  <w:style w:type="paragraph" w:styleId="Rodap">
    <w:name w:val="footer"/>
    <w:aliases w:val="puces points"/>
    <w:basedOn w:val="Normal"/>
    <w:link w:val="RodapCarcter"/>
    <w:uiPriority w:val="99"/>
    <w:unhideWhenUsed/>
    <w:rsid w:val="00A45EEC"/>
    <w:pPr>
      <w:tabs>
        <w:tab w:val="center" w:pos="4536"/>
        <w:tab w:val="right" w:pos="9072"/>
      </w:tabs>
    </w:pPr>
  </w:style>
  <w:style w:type="character" w:customStyle="1" w:styleId="RodapCarcter">
    <w:name w:val="Rodapé Carácter"/>
    <w:aliases w:val="puces points Carácter"/>
    <w:basedOn w:val="Tipodeletrapredefinidodopargrafo"/>
    <w:link w:val="Rodap"/>
    <w:uiPriority w:val="99"/>
    <w:rsid w:val="00A45EEC"/>
    <w:rPr>
      <w:rFonts w:ascii="Times New Roman" w:eastAsia="Times New Roman" w:hAnsi="Times New Roman" w:cs="Times New Roman"/>
      <w:sz w:val="24"/>
      <w:szCs w:val="24"/>
      <w:lang w:eastAsia="fr-FR"/>
    </w:rPr>
  </w:style>
  <w:style w:type="paragraph" w:customStyle="1" w:styleId="NormalWeb1">
    <w:name w:val="Normal (Web)1"/>
    <w:basedOn w:val="Normal"/>
    <w:next w:val="NormalWeb"/>
    <w:uiPriority w:val="99"/>
    <w:unhideWhenUsed/>
    <w:rsid w:val="00A45EEC"/>
    <w:pPr>
      <w:spacing w:before="100" w:beforeAutospacing="1" w:after="100" w:afterAutospacing="1"/>
    </w:pPr>
  </w:style>
  <w:style w:type="paragraph" w:styleId="NormalWeb">
    <w:name w:val="Normal (Web)"/>
    <w:basedOn w:val="Normal"/>
    <w:link w:val="NormalWebCarcter"/>
    <w:uiPriority w:val="99"/>
    <w:unhideWhenUsed/>
    <w:rsid w:val="00A45EEC"/>
  </w:style>
  <w:style w:type="character" w:customStyle="1" w:styleId="Cabealho1Carcter">
    <w:name w:val="Cabeçalho 1 Carácter"/>
    <w:aliases w:val=" Main Heading Carácter,Main Heading Carácter,TCI 1.  Heading Carácter,Main Heading 1 Carácter,Heading 11 Carácter,Heading 11 Car Carácter,Titre 11 Carácter,An_Über 1 Carácter,TITRE 1 + Droite :  8 Carácter,5 cm Carácter"/>
    <w:basedOn w:val="Tipodeletrapredefinidodopargrafo"/>
    <w:link w:val="Cabealho1"/>
    <w:uiPriority w:val="9"/>
    <w:rsid w:val="00A45EEC"/>
    <w:rPr>
      <w:rFonts w:ascii="Cambria" w:hAnsi="Cambria" w:cs="Times New Roman"/>
      <w:b/>
      <w:bCs/>
      <w:kern w:val="32"/>
      <w:sz w:val="32"/>
      <w:szCs w:val="32"/>
      <w:lang w:eastAsia="fr-FR"/>
    </w:rPr>
  </w:style>
  <w:style w:type="character" w:customStyle="1" w:styleId="Cabealho2Carcter">
    <w:name w:val="Cabeçalho 2 Carácter"/>
    <w:aliases w:val="Paranum Carácter,Chpt Carácter,Titolo 2 Carácter,alec2 Carácter,STitre 2 Carácter,an_Über 2 Carácter,Titre secondaire (2) Carácter,sous-chapitre Carácter,Tend_Überschrift 2 Carácter,Titre 2 tamarins Carácter,Titre Article Carácter"/>
    <w:basedOn w:val="Tipodeletrapredefinidodopargrafo"/>
    <w:link w:val="Cabealho2"/>
    <w:rsid w:val="00A45EEC"/>
    <w:rPr>
      <w:rFonts w:ascii="Cambria" w:hAnsi="Cambria" w:cs="Times New Roman"/>
      <w:b/>
      <w:bCs/>
      <w:i/>
      <w:iCs/>
      <w:sz w:val="28"/>
      <w:szCs w:val="28"/>
      <w:lang w:eastAsia="fr-FR"/>
    </w:rPr>
  </w:style>
  <w:style w:type="character" w:customStyle="1" w:styleId="Cabealho3Carcter">
    <w:name w:val="Cabeçalho 3 Carácter"/>
    <w:aliases w:val="Centered Carácter, Centered Carácter,Titolo 3 Carácter,Heading 3 (BM revised) Carácter,centered Carácter"/>
    <w:basedOn w:val="Tipodeletrapredefinidodopargrafo"/>
    <w:link w:val="Cabealho3"/>
    <w:rsid w:val="00A45EEC"/>
    <w:rPr>
      <w:rFonts w:ascii="Cambria" w:hAnsi="Cambria" w:cs="Times New Roman"/>
      <w:b/>
      <w:bCs/>
      <w:sz w:val="26"/>
      <w:szCs w:val="26"/>
      <w:lang w:eastAsia="fr-FR"/>
    </w:rPr>
  </w:style>
  <w:style w:type="character" w:customStyle="1" w:styleId="Cabealho4Carcter">
    <w:name w:val="Cabeçalho 4 Carácter"/>
    <w:aliases w:val="Sub-Clause Sub-paragraph Carácter, Sub-Clause Sub-paragraph Carácter"/>
    <w:basedOn w:val="Tipodeletrapredefinidodopargrafo"/>
    <w:link w:val="Cabealho4"/>
    <w:rsid w:val="00A45EEC"/>
    <w:rPr>
      <w:rFonts w:ascii="Calibri" w:hAnsi="Calibri" w:cs="Times New Roman"/>
      <w:b/>
      <w:bCs/>
      <w:sz w:val="28"/>
      <w:szCs w:val="28"/>
      <w:lang w:eastAsia="fr-FR"/>
    </w:rPr>
  </w:style>
  <w:style w:type="character" w:customStyle="1" w:styleId="Cabealho5Carcter">
    <w:name w:val="Cabeçalho 5 Carácter"/>
    <w:aliases w:val="Side Carácter"/>
    <w:basedOn w:val="Tipodeletrapredefinidodopargrafo"/>
    <w:link w:val="Cabealho5"/>
    <w:rsid w:val="00A45EEC"/>
    <w:rPr>
      <w:rFonts w:ascii="Cambria" w:hAnsi="Cambria" w:cs="Times New Roman"/>
      <w:color w:val="243F60"/>
      <w:sz w:val="20"/>
      <w:szCs w:val="20"/>
      <w:lang w:eastAsia="fr-FR"/>
    </w:rPr>
  </w:style>
  <w:style w:type="character" w:customStyle="1" w:styleId="Cabealho6Carcter">
    <w:name w:val="Cabeçalho 6 Carácter"/>
    <w:basedOn w:val="Tipodeletrapredefinidodopargrafo"/>
    <w:link w:val="Cabealho6"/>
    <w:rsid w:val="00A45EEC"/>
    <w:rPr>
      <w:rFonts w:ascii="Cambria" w:eastAsia="MS Gothic" w:hAnsi="Cambria" w:cs="Times New Roman"/>
      <w:i/>
      <w:iCs/>
      <w:color w:val="243F60"/>
      <w:sz w:val="20"/>
      <w:szCs w:val="20"/>
      <w:lang w:eastAsia="fr-FR"/>
    </w:rPr>
  </w:style>
  <w:style w:type="character" w:customStyle="1" w:styleId="Cabealho7Carcter">
    <w:name w:val="Cabeçalho 7 Carácter"/>
    <w:basedOn w:val="Tipodeletrapredefinidodopargrafo"/>
    <w:link w:val="Cabealho7"/>
    <w:rsid w:val="00A45EEC"/>
    <w:rPr>
      <w:rFonts w:ascii="Times New Roman" w:hAnsi="Times New Roman" w:cs="Times New Roman"/>
      <w:b/>
      <w:bCs/>
      <w:sz w:val="20"/>
      <w:szCs w:val="24"/>
      <w:lang w:val="en-US"/>
    </w:rPr>
  </w:style>
  <w:style w:type="character" w:customStyle="1" w:styleId="Cabealho8Carcter">
    <w:name w:val="Cabeçalho 8 Carácter"/>
    <w:basedOn w:val="Tipodeletrapredefinidodopargrafo"/>
    <w:link w:val="Cabealho8"/>
    <w:rsid w:val="00A45EEC"/>
    <w:rPr>
      <w:rFonts w:ascii="Times New Roman" w:hAnsi="Times New Roman" w:cs="Times New Roman"/>
      <w:b/>
      <w:bCs/>
      <w:sz w:val="20"/>
      <w:szCs w:val="24"/>
      <w:lang w:val="en-US"/>
    </w:rPr>
  </w:style>
  <w:style w:type="character" w:customStyle="1" w:styleId="Cabealho9Carcter">
    <w:name w:val="Cabeçalho 9 Carácter"/>
    <w:aliases w:val="Listes Carácter"/>
    <w:basedOn w:val="Tipodeletrapredefinidodopargrafo"/>
    <w:link w:val="Cabealho9"/>
    <w:rsid w:val="00A45EEC"/>
    <w:rPr>
      <w:rFonts w:ascii="Times New Roman" w:hAnsi="Times New Roman" w:cs="Times New Roman"/>
      <w:b/>
      <w:sz w:val="28"/>
      <w:szCs w:val="24"/>
      <w:lang w:val="en-GB" w:eastAsia="it-IT"/>
    </w:rPr>
  </w:style>
  <w:style w:type="character" w:styleId="Refdenotaderodap">
    <w:name w:val="footnote reference"/>
    <w:aliases w:val="ftref,(NECG) Footnote Reference,16 Point,Superscript 6 Point,Ref,de nota al pie,referencia nota al pie,Error-Fußnotenzeichen5,Error-Fußnotenzeichen6,Error-Fußnotenzeichen3,BVI fnr,Footnote Reference Number,Footnote Reference_LVL6"/>
    <w:link w:val="BVIfnrCarattereCharCharCharCarattereCharCharCharCharCharChar1CharCharChar"/>
    <w:uiPriority w:val="99"/>
    <w:qFormat/>
    <w:rsid w:val="00A45EEC"/>
    <w:rPr>
      <w:sz w:val="24"/>
      <w:vertAlign w:val="superscript"/>
    </w:rPr>
  </w:style>
  <w:style w:type="paragraph" w:styleId="Textodenotaderodap">
    <w:name w:val="footnote text"/>
    <w:aliases w:val=" Car1,Footnote Text Char1 Char,Footnote Text Char Char Char1,Footnote Text Char1 Char Char Char1,Footnote Text Char1 Char1 Char,Footnote Text Char Char Char Char,Footnote Text Char1 Char Char Char Char,ALTS FOOTNOT,ALTS FOOTNOTE"/>
    <w:basedOn w:val="Normal"/>
    <w:link w:val="TextodenotaderodapCarcter"/>
    <w:uiPriority w:val="99"/>
    <w:qFormat/>
    <w:rsid w:val="00A45EEC"/>
    <w:pPr>
      <w:keepNext/>
      <w:keepLines/>
      <w:spacing w:after="120"/>
      <w:ind w:left="432" w:hanging="432"/>
    </w:pPr>
    <w:rPr>
      <w:sz w:val="20"/>
      <w:szCs w:val="20"/>
    </w:rPr>
  </w:style>
  <w:style w:type="character" w:customStyle="1" w:styleId="TextodenotaderodapCarcter">
    <w:name w:val="Texto de nota de rodapé Carácter"/>
    <w:aliases w:val=" Car1 Carácter,Footnote Text Char1 Char Carácter,Footnote Text Char Char Char1 Carácter,Footnote Text Char1 Char Char Char1 Carácter,Footnote Text Char1 Char1 Char Carácter,Footnote Text Char Char Char Char Carácter"/>
    <w:basedOn w:val="Tipodeletrapredefinidodopargrafo"/>
    <w:link w:val="Textodenotaderodap"/>
    <w:uiPriority w:val="99"/>
    <w:qFormat/>
    <w:rsid w:val="00A45EEC"/>
    <w:rPr>
      <w:rFonts w:ascii="Times New Roman" w:eastAsia="Times New Roman" w:hAnsi="Times New Roman" w:cs="Times New Roman"/>
      <w:sz w:val="20"/>
      <w:szCs w:val="20"/>
      <w:lang w:eastAsia="fr-FR"/>
    </w:rPr>
  </w:style>
  <w:style w:type="character" w:customStyle="1" w:styleId="Tramecouleur-Accent3Car">
    <w:name w:val="Trame couleur - Accent 3 Car"/>
    <w:link w:val="SombreadoColorido-Cor3"/>
    <w:uiPriority w:val="34"/>
    <w:rsid w:val="00A45EEC"/>
    <w:rPr>
      <w:rFonts w:ascii="Times New Roman" w:eastAsia="Times New Roman" w:hAnsi="Times New Roman"/>
      <w:sz w:val="24"/>
      <w:szCs w:val="24"/>
    </w:rPr>
  </w:style>
  <w:style w:type="table" w:styleId="SombreadoColorido-Cor3">
    <w:name w:val="Colorful Shading Accent 3"/>
    <w:basedOn w:val="Tabelanormal"/>
    <w:link w:val="Tramecouleur-Accent3Car"/>
    <w:uiPriority w:val="34"/>
    <w:rsid w:val="00A45EEC"/>
    <w:pPr>
      <w:spacing w:after="0" w:line="240" w:lineRule="auto"/>
    </w:pPr>
    <w:rPr>
      <w:rFonts w:ascii="Times New Roman" w:eastAsia="Times New Roman" w:hAnsi="Times New Roman"/>
      <w:sz w:val="24"/>
      <w:szCs w:val="24"/>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customStyle="1" w:styleId="Default">
    <w:name w:val="Default"/>
    <w:link w:val="DefaultCar"/>
    <w:rsid w:val="00A45EEC"/>
    <w:pPr>
      <w:autoSpaceDE w:val="0"/>
      <w:autoSpaceDN w:val="0"/>
      <w:adjustRightInd w:val="0"/>
      <w:spacing w:after="0" w:line="240" w:lineRule="auto"/>
    </w:pPr>
    <w:rPr>
      <w:rFonts w:ascii="Arial" w:eastAsia="Calibri" w:hAnsi="Arial" w:cs="Arial"/>
      <w:color w:val="000000"/>
      <w:sz w:val="24"/>
      <w:szCs w:val="24"/>
      <w:lang w:eastAsia="fr-FR"/>
    </w:rPr>
  </w:style>
  <w:style w:type="paragraph" w:styleId="Corpodetexto">
    <w:name w:val="Body Text"/>
    <w:aliases w:val="Corps de texte Car Car Car,Corps de texte Car Car Car Car Car"/>
    <w:basedOn w:val="Normal"/>
    <w:link w:val="CorpodetextoCarcter"/>
    <w:unhideWhenUsed/>
    <w:rsid w:val="00A45EEC"/>
    <w:pPr>
      <w:spacing w:before="120" w:after="120"/>
      <w:ind w:left="720"/>
    </w:pPr>
    <w:rPr>
      <w:rFonts w:ascii="Gill Sans MT" w:hAnsi="Gill Sans MT"/>
      <w:spacing w:val="-5"/>
    </w:rPr>
  </w:style>
  <w:style w:type="character" w:customStyle="1" w:styleId="CorpodetextoCarcter">
    <w:name w:val="Corpo de texto Carácter"/>
    <w:aliases w:val="Corps de texte Car Car Car Carácter,Corps de texte Car Car Car Car Car Carácter"/>
    <w:basedOn w:val="Tipodeletrapredefinidodopargrafo"/>
    <w:link w:val="Corpodetexto"/>
    <w:rsid w:val="00A45EEC"/>
    <w:rPr>
      <w:rFonts w:ascii="Gill Sans MT" w:eastAsia="Times New Roman" w:hAnsi="Gill Sans MT" w:cs="Times New Roman"/>
      <w:spacing w:val="-5"/>
      <w:sz w:val="24"/>
      <w:szCs w:val="24"/>
      <w:lang w:eastAsia="fr-FR"/>
    </w:rPr>
  </w:style>
  <w:style w:type="table" w:styleId="Tabelacomgrelha">
    <w:name w:val="Table Grid"/>
    <w:basedOn w:val="Tabelanormal"/>
    <w:uiPriority w:val="59"/>
    <w:rsid w:val="00A45EEC"/>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Style5Noir">
    <w:name w:val="Style Style5 + Noir"/>
    <w:basedOn w:val="Normal"/>
    <w:autoRedefine/>
    <w:rsid w:val="00A45EEC"/>
    <w:pPr>
      <w:ind w:left="1080" w:hanging="720"/>
    </w:pPr>
    <w:rPr>
      <w:b/>
      <w:bCs/>
      <w:kern w:val="32"/>
      <w:lang w:eastAsia="wo-SN"/>
    </w:rPr>
  </w:style>
  <w:style w:type="paragraph" w:customStyle="1" w:styleId="Sansinterligne1">
    <w:name w:val="Sans interligne1"/>
    <w:uiPriority w:val="1"/>
    <w:qFormat/>
    <w:rsid w:val="00A45EEC"/>
    <w:pPr>
      <w:spacing w:after="0" w:line="240" w:lineRule="auto"/>
    </w:pPr>
    <w:rPr>
      <w:rFonts w:ascii="Calibri" w:eastAsia="Calibri" w:hAnsi="Calibri" w:cs="Times New Roman"/>
    </w:rPr>
  </w:style>
  <w:style w:type="paragraph" w:styleId="Lista">
    <w:name w:val="List"/>
    <w:basedOn w:val="Normal"/>
    <w:rsid w:val="00A45EEC"/>
    <w:pPr>
      <w:ind w:left="283" w:hanging="283"/>
    </w:pPr>
  </w:style>
  <w:style w:type="paragraph" w:styleId="Primeiroavanodecorpodetexto">
    <w:name w:val="Body Text First Indent"/>
    <w:basedOn w:val="Corpodetexto"/>
    <w:link w:val="PrimeiroavanodecorpodetextoCarcter"/>
    <w:uiPriority w:val="99"/>
    <w:semiHidden/>
    <w:unhideWhenUsed/>
    <w:rsid w:val="00A45EEC"/>
    <w:pPr>
      <w:spacing w:before="0" w:after="0"/>
      <w:ind w:left="0" w:firstLine="360"/>
    </w:pPr>
    <w:rPr>
      <w:rFonts w:ascii="Times New Roman" w:hAnsi="Times New Roman"/>
    </w:rPr>
  </w:style>
  <w:style w:type="character" w:customStyle="1" w:styleId="PrimeiroavanodecorpodetextoCarcter">
    <w:name w:val="Primeiro avanço de corpo de texto Carácter"/>
    <w:basedOn w:val="CorpodetextoCarcter"/>
    <w:link w:val="Primeiroavanodecorpodetexto"/>
    <w:uiPriority w:val="99"/>
    <w:semiHidden/>
    <w:rsid w:val="00A45EEC"/>
    <w:rPr>
      <w:rFonts w:ascii="Times New Roman" w:eastAsia="Times New Roman" w:hAnsi="Times New Roman" w:cs="Times New Roman"/>
      <w:spacing w:val="-5"/>
      <w:sz w:val="24"/>
      <w:szCs w:val="24"/>
      <w:lang w:eastAsia="fr-FR"/>
    </w:rPr>
  </w:style>
  <w:style w:type="character" w:styleId="Forte">
    <w:name w:val="Strong"/>
    <w:uiPriority w:val="22"/>
    <w:qFormat/>
    <w:rsid w:val="00A45EEC"/>
    <w:rPr>
      <w:b/>
      <w:bCs/>
    </w:rPr>
  </w:style>
  <w:style w:type="character" w:styleId="nfase">
    <w:name w:val="Emphasis"/>
    <w:uiPriority w:val="20"/>
    <w:qFormat/>
    <w:rsid w:val="00A45EEC"/>
    <w:rPr>
      <w:i/>
      <w:iCs/>
    </w:rPr>
  </w:style>
  <w:style w:type="paragraph" w:customStyle="1" w:styleId="xl33">
    <w:name w:val="xl33"/>
    <w:basedOn w:val="Normal"/>
    <w:rsid w:val="00A45EEC"/>
    <w:pPr>
      <w:spacing w:before="100" w:beforeAutospacing="1" w:after="100" w:afterAutospacing="1"/>
    </w:pPr>
  </w:style>
  <w:style w:type="paragraph" w:styleId="Listacommarcas2">
    <w:name w:val="List Bullet 2"/>
    <w:basedOn w:val="Normal"/>
    <w:link w:val="Listacommarcas2Carcter"/>
    <w:rsid w:val="00A45EEC"/>
    <w:pPr>
      <w:widowControl w:val="0"/>
      <w:numPr>
        <w:numId w:val="1"/>
      </w:numPr>
      <w:adjustRightInd w:val="0"/>
      <w:spacing w:line="360" w:lineRule="auto"/>
      <w:jc w:val="both"/>
      <w:textAlignment w:val="baseline"/>
    </w:pPr>
    <w:rPr>
      <w:rFonts w:ascii="Arial" w:hAnsi="Arial"/>
      <w:sz w:val="20"/>
      <w:lang w:val="en-US" w:bidi="en-US"/>
    </w:rPr>
  </w:style>
  <w:style w:type="character" w:customStyle="1" w:styleId="Listacommarcas2Carcter">
    <w:name w:val="Lista com marcas 2 Carácter"/>
    <w:link w:val="Listacommarcas2"/>
    <w:rsid w:val="00A45EEC"/>
    <w:rPr>
      <w:rFonts w:ascii="Arial" w:hAnsi="Arial" w:cs="Times New Roman"/>
      <w:sz w:val="20"/>
      <w:szCs w:val="24"/>
      <w:lang w:val="en-US" w:eastAsia="fr-FR" w:bidi="en-US"/>
    </w:rPr>
  </w:style>
  <w:style w:type="character" w:customStyle="1" w:styleId="Rfrenceple1">
    <w:name w:val="Référence pâle1"/>
    <w:uiPriority w:val="31"/>
    <w:qFormat/>
    <w:rsid w:val="00A45EEC"/>
    <w:rPr>
      <w:smallCaps/>
      <w:color w:val="C0504D"/>
      <w:u w:val="single"/>
    </w:rPr>
  </w:style>
  <w:style w:type="character" w:customStyle="1" w:styleId="Tramemoyenne2-Accent3Car">
    <w:name w:val="Trame moyenne 2 - Accent 3 Car"/>
    <w:link w:val="SombreadoMdio2-Cor3"/>
    <w:uiPriority w:val="69"/>
    <w:rsid w:val="00A45EEC"/>
    <w:rPr>
      <w:rFonts w:ascii="Times New Roman" w:eastAsia="Times New Roman" w:hAnsi="Times New Roman"/>
      <w:b/>
      <w:bCs/>
      <w:i/>
      <w:iCs/>
      <w:color w:val="4F81BD"/>
      <w:sz w:val="24"/>
      <w:szCs w:val="24"/>
    </w:rPr>
  </w:style>
  <w:style w:type="table" w:styleId="SombreadoMdio2-Cor3">
    <w:name w:val="Medium Shading 2 Accent 3"/>
    <w:basedOn w:val="Tabelanormal"/>
    <w:link w:val="Tramemoyenne2-Accent3Car"/>
    <w:uiPriority w:val="69"/>
    <w:rsid w:val="00A45EEC"/>
    <w:pPr>
      <w:spacing w:after="0" w:line="240" w:lineRule="auto"/>
    </w:pPr>
    <w:rPr>
      <w:rFonts w:ascii="Times New Roman" w:eastAsia="Times New Roman" w:hAnsi="Times New Roman"/>
      <w:b/>
      <w:bCs/>
      <w:i/>
      <w:iCs/>
      <w:color w:val="4F81BD"/>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character" w:customStyle="1" w:styleId="Grilleclaire-Accent3Car1">
    <w:name w:val="Grille claire - Accent 3 Car1"/>
    <w:link w:val="GrelhaClara-Cor3"/>
    <w:uiPriority w:val="34"/>
    <w:rsid w:val="00A45EEC"/>
    <w:rPr>
      <w:rFonts w:ascii="Calibri" w:eastAsia="Calibri" w:hAnsi="Calibri" w:cs="Times New Roman"/>
      <w:sz w:val="22"/>
      <w:szCs w:val="22"/>
      <w:lang w:eastAsia="en-US"/>
    </w:rPr>
  </w:style>
  <w:style w:type="table" w:styleId="GrelhaClara-Cor3">
    <w:name w:val="Light Grid Accent 3"/>
    <w:basedOn w:val="Tabelanormal"/>
    <w:link w:val="Grilleclaire-Accent3Car1"/>
    <w:uiPriority w:val="34"/>
    <w:rsid w:val="00A45EE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Legenda">
    <w:name w:val="caption"/>
    <w:aliases w:val=" Car Car Car,Légende Car,Car Car Car, Char Char Char Char Char, Char Char Char Char Char Char, Char Char Char Char, Car,Légende-Tableau,Légende dak,Car Car,Car Car Car Car Car,Car,Car Car Car Car Car Car Car Car Car,M,Car Car Car Car Car Car Car"/>
    <w:basedOn w:val="Normal"/>
    <w:next w:val="Normal"/>
    <w:link w:val="LegendaCarcter"/>
    <w:qFormat/>
    <w:rsid w:val="00A45EEC"/>
    <w:rPr>
      <w:b/>
      <w:bCs/>
      <w:sz w:val="20"/>
      <w:szCs w:val="20"/>
    </w:rPr>
  </w:style>
  <w:style w:type="character" w:customStyle="1" w:styleId="LegendaCarcter">
    <w:name w:val="Legenda Carácter"/>
    <w:aliases w:val=" Car Car Car Carácter,Légende Car Carácter,Car Car Car Carácter, Char Char Char Char Char Carácter, Char Char Char Char Char Char Carácter, Char Char Char Char Carácter, Car Carácter,Légende-Tableau Carácter,Légende dak Carácter"/>
    <w:link w:val="Legenda"/>
    <w:uiPriority w:val="35"/>
    <w:qFormat/>
    <w:rsid w:val="00A45EEC"/>
    <w:rPr>
      <w:rFonts w:ascii="Times New Roman" w:eastAsia="Times New Roman" w:hAnsi="Times New Roman" w:cs="Times New Roman"/>
      <w:b/>
      <w:bCs/>
      <w:sz w:val="20"/>
      <w:szCs w:val="20"/>
      <w:lang w:eastAsia="fr-FR"/>
    </w:rPr>
  </w:style>
  <w:style w:type="paragraph" w:customStyle="1" w:styleId="En-ttedetabledesmatires1">
    <w:name w:val="En-tête de table des matières1"/>
    <w:basedOn w:val="Cabealho1"/>
    <w:next w:val="Normal"/>
    <w:unhideWhenUsed/>
    <w:qFormat/>
    <w:rsid w:val="00A45EEC"/>
    <w:pPr>
      <w:keepLines/>
      <w:numPr>
        <w:numId w:val="0"/>
      </w:numPr>
      <w:spacing w:before="480" w:after="0" w:line="276" w:lineRule="auto"/>
      <w:outlineLvl w:val="9"/>
    </w:pPr>
    <w:rPr>
      <w:color w:val="365F91"/>
      <w:kern w:val="0"/>
      <w:sz w:val="28"/>
      <w:szCs w:val="28"/>
      <w:lang w:eastAsia="en-US"/>
    </w:rPr>
  </w:style>
  <w:style w:type="paragraph" w:styleId="ndice1">
    <w:name w:val="toc 1"/>
    <w:basedOn w:val="Normal"/>
    <w:next w:val="Normal"/>
    <w:autoRedefine/>
    <w:uiPriority w:val="39"/>
    <w:unhideWhenUsed/>
    <w:qFormat/>
    <w:rsid w:val="00FB409C"/>
    <w:pPr>
      <w:tabs>
        <w:tab w:val="left" w:pos="480"/>
        <w:tab w:val="right" w:leader="dot" w:pos="10206"/>
      </w:tabs>
    </w:pPr>
    <w:rPr>
      <w:b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tyle>
  <w:style w:type="paragraph" w:styleId="ndice2">
    <w:name w:val="toc 2"/>
    <w:basedOn w:val="Normal"/>
    <w:next w:val="Normal"/>
    <w:autoRedefine/>
    <w:uiPriority w:val="39"/>
    <w:unhideWhenUsed/>
    <w:qFormat/>
    <w:rsid w:val="0001641A"/>
    <w:pPr>
      <w:tabs>
        <w:tab w:val="right" w:leader="dot" w:pos="9913"/>
      </w:tabs>
      <w:ind w:left="240"/>
    </w:pPr>
    <w:rPr>
      <w:rFonts w:asciiTheme="minorHAnsi" w:hAnsiTheme="minorHAnsi"/>
      <w:b/>
      <w:bCs/>
      <w:sz w:val="22"/>
      <w:szCs w:val="22"/>
    </w:rPr>
  </w:style>
  <w:style w:type="paragraph" w:styleId="ndice3">
    <w:name w:val="toc 3"/>
    <w:basedOn w:val="Normal"/>
    <w:next w:val="Normal"/>
    <w:autoRedefine/>
    <w:uiPriority w:val="39"/>
    <w:unhideWhenUsed/>
    <w:qFormat/>
    <w:rsid w:val="00A45EEC"/>
    <w:pPr>
      <w:ind w:left="480"/>
    </w:pPr>
    <w:rPr>
      <w:rFonts w:asciiTheme="minorHAnsi" w:hAnsiTheme="minorHAnsi"/>
      <w:sz w:val="22"/>
      <w:szCs w:val="22"/>
    </w:rPr>
  </w:style>
  <w:style w:type="character" w:styleId="Hiperligao">
    <w:name w:val="Hyperlink"/>
    <w:uiPriority w:val="99"/>
    <w:unhideWhenUsed/>
    <w:rsid w:val="00A45EEC"/>
    <w:rPr>
      <w:color w:val="0000FF"/>
      <w:u w:val="single"/>
    </w:rPr>
  </w:style>
  <w:style w:type="paragraph" w:styleId="ndice4">
    <w:name w:val="toc 4"/>
    <w:basedOn w:val="Normal"/>
    <w:next w:val="Normal"/>
    <w:autoRedefine/>
    <w:uiPriority w:val="39"/>
    <w:unhideWhenUsed/>
    <w:rsid w:val="00A45EEC"/>
    <w:pPr>
      <w:ind w:left="720"/>
    </w:pPr>
    <w:rPr>
      <w:rFonts w:asciiTheme="minorHAnsi" w:hAnsiTheme="minorHAnsi"/>
      <w:sz w:val="20"/>
      <w:szCs w:val="20"/>
    </w:rPr>
  </w:style>
  <w:style w:type="paragraph" w:styleId="ndice5">
    <w:name w:val="toc 5"/>
    <w:basedOn w:val="Normal"/>
    <w:next w:val="Normal"/>
    <w:autoRedefine/>
    <w:uiPriority w:val="39"/>
    <w:unhideWhenUsed/>
    <w:rsid w:val="00A45EEC"/>
    <w:pPr>
      <w:ind w:left="960"/>
    </w:pPr>
    <w:rPr>
      <w:rFonts w:asciiTheme="minorHAnsi" w:hAnsiTheme="minorHAnsi"/>
      <w:sz w:val="20"/>
      <w:szCs w:val="20"/>
    </w:rPr>
  </w:style>
  <w:style w:type="paragraph" w:styleId="ndice6">
    <w:name w:val="toc 6"/>
    <w:basedOn w:val="Normal"/>
    <w:next w:val="Normal"/>
    <w:autoRedefine/>
    <w:uiPriority w:val="39"/>
    <w:unhideWhenUsed/>
    <w:rsid w:val="00A45EEC"/>
    <w:pPr>
      <w:ind w:left="1200"/>
    </w:pPr>
    <w:rPr>
      <w:rFonts w:asciiTheme="minorHAnsi" w:hAnsiTheme="minorHAnsi"/>
      <w:sz w:val="20"/>
      <w:szCs w:val="20"/>
    </w:rPr>
  </w:style>
  <w:style w:type="paragraph" w:styleId="ndice7">
    <w:name w:val="toc 7"/>
    <w:basedOn w:val="Normal"/>
    <w:next w:val="Normal"/>
    <w:autoRedefine/>
    <w:uiPriority w:val="39"/>
    <w:unhideWhenUsed/>
    <w:rsid w:val="00A45EEC"/>
    <w:pPr>
      <w:ind w:left="1440"/>
    </w:pPr>
    <w:rPr>
      <w:rFonts w:asciiTheme="minorHAnsi" w:hAnsiTheme="minorHAnsi"/>
      <w:sz w:val="20"/>
      <w:szCs w:val="20"/>
    </w:rPr>
  </w:style>
  <w:style w:type="paragraph" w:styleId="ndice8">
    <w:name w:val="toc 8"/>
    <w:basedOn w:val="Normal"/>
    <w:next w:val="Normal"/>
    <w:autoRedefine/>
    <w:uiPriority w:val="39"/>
    <w:unhideWhenUsed/>
    <w:rsid w:val="00A45EEC"/>
    <w:pPr>
      <w:ind w:left="1680"/>
    </w:pPr>
    <w:rPr>
      <w:rFonts w:asciiTheme="minorHAnsi" w:hAnsiTheme="minorHAnsi"/>
      <w:sz w:val="20"/>
      <w:szCs w:val="20"/>
    </w:rPr>
  </w:style>
  <w:style w:type="paragraph" w:styleId="ndice9">
    <w:name w:val="toc 9"/>
    <w:basedOn w:val="Normal"/>
    <w:next w:val="Normal"/>
    <w:autoRedefine/>
    <w:uiPriority w:val="39"/>
    <w:unhideWhenUsed/>
    <w:rsid w:val="00A45EEC"/>
    <w:pPr>
      <w:ind w:left="1920"/>
    </w:pPr>
    <w:rPr>
      <w:rFonts w:asciiTheme="minorHAnsi" w:hAnsiTheme="minorHAnsi"/>
      <w:sz w:val="20"/>
      <w:szCs w:val="20"/>
    </w:rPr>
  </w:style>
  <w:style w:type="paragraph" w:styleId="ndicedeilustraes">
    <w:name w:val="table of figures"/>
    <w:basedOn w:val="Normal"/>
    <w:next w:val="Normal"/>
    <w:uiPriority w:val="99"/>
    <w:unhideWhenUsed/>
    <w:rsid w:val="00A45EEC"/>
  </w:style>
  <w:style w:type="paragraph" w:customStyle="1" w:styleId="Listecouleur-Accent11">
    <w:name w:val="Liste couleur - Accent 11"/>
    <w:basedOn w:val="Normal"/>
    <w:uiPriority w:val="34"/>
    <w:qFormat/>
    <w:rsid w:val="00A45EEC"/>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rsid w:val="00A45EEC"/>
  </w:style>
  <w:style w:type="paragraph" w:styleId="PargrafodaLista">
    <w:name w:val="List Paragraph"/>
    <w:aliases w:val="Paragraphe  revu,Bullets,Bullet L1,References,Liste 1,Numbered List Paragraph,ReferencesCxSpLast,List Paragraph (numbered (a)),List Paragraph nowy,figure,Colorful List - Accent 11,I..1,Puces,Paragraphe de liste1,itens,Bullet1,RM1,1"/>
    <w:basedOn w:val="Normal"/>
    <w:link w:val="PargrafodaListaCarcter"/>
    <w:uiPriority w:val="34"/>
    <w:qFormat/>
    <w:rsid w:val="00A45EEC"/>
    <w:pPr>
      <w:spacing w:after="200" w:line="276" w:lineRule="auto"/>
      <w:ind w:left="720"/>
      <w:contextualSpacing/>
    </w:pPr>
    <w:rPr>
      <w:rFonts w:ascii="Calibri" w:eastAsia="Calibri" w:hAnsi="Calibri"/>
      <w:sz w:val="20"/>
      <w:szCs w:val="20"/>
    </w:rPr>
  </w:style>
  <w:style w:type="character" w:customStyle="1" w:styleId="PargrafodaListaCarcter">
    <w:name w:val="Parágrafo da Lista Carácter"/>
    <w:aliases w:val="Paragraphe  revu Carácter,Bullets Carácter,Bullet L1 Carácter,References Carácter,Liste 1 Carácter,Numbered List Paragraph Carácter,ReferencesCxSpLast Carácter,List Paragraph (numbered (a)) Carácter,figure Carácter,1 Carácter"/>
    <w:link w:val="PargrafodaLista"/>
    <w:uiPriority w:val="34"/>
    <w:qFormat/>
    <w:rsid w:val="00A45EEC"/>
    <w:rPr>
      <w:rFonts w:ascii="Calibri" w:eastAsia="Calibri" w:hAnsi="Calibri" w:cs="Times New Roman"/>
      <w:sz w:val="20"/>
      <w:szCs w:val="20"/>
      <w:lang w:eastAsia="fr-FR"/>
    </w:rPr>
  </w:style>
  <w:style w:type="paragraph" w:styleId="Avanodecorpodetexto">
    <w:name w:val="Body Text Indent"/>
    <w:basedOn w:val="Normal"/>
    <w:link w:val="AvanodecorpodetextoCarcter"/>
    <w:unhideWhenUsed/>
    <w:rsid w:val="00A45EEC"/>
    <w:pPr>
      <w:spacing w:after="120"/>
      <w:ind w:left="360"/>
    </w:pPr>
  </w:style>
  <w:style w:type="character" w:customStyle="1" w:styleId="AvanodecorpodetextoCarcter">
    <w:name w:val="Avanço de corpo de texto Carácter"/>
    <w:basedOn w:val="Tipodeletrapredefinidodopargrafo"/>
    <w:link w:val="Avanodecorpodetexto"/>
    <w:rsid w:val="00A45EEC"/>
    <w:rPr>
      <w:rFonts w:ascii="Times New Roman" w:eastAsia="Times New Roman" w:hAnsi="Times New Roman" w:cs="Times New Roman"/>
      <w:sz w:val="24"/>
      <w:szCs w:val="24"/>
      <w:lang w:eastAsia="fr-FR"/>
    </w:rPr>
  </w:style>
  <w:style w:type="paragraph" w:styleId="Corpodetexto3">
    <w:name w:val="Body Text 3"/>
    <w:basedOn w:val="Normal"/>
    <w:link w:val="Corpodetexto3Carcter"/>
    <w:rsid w:val="00A45EEC"/>
    <w:pPr>
      <w:spacing w:after="120"/>
    </w:pPr>
    <w:rPr>
      <w:sz w:val="16"/>
      <w:szCs w:val="16"/>
    </w:rPr>
  </w:style>
  <w:style w:type="character" w:customStyle="1" w:styleId="Corpodetexto3Carcter">
    <w:name w:val="Corpo de texto 3 Carácter"/>
    <w:basedOn w:val="Tipodeletrapredefinidodopargrafo"/>
    <w:link w:val="Corpodetexto3"/>
    <w:rsid w:val="00A45EEC"/>
    <w:rPr>
      <w:rFonts w:ascii="Times New Roman" w:eastAsia="Times New Roman" w:hAnsi="Times New Roman" w:cs="Times New Roman"/>
      <w:sz w:val="16"/>
      <w:szCs w:val="16"/>
      <w:lang w:eastAsia="fr-FR"/>
    </w:rPr>
  </w:style>
  <w:style w:type="paragraph" w:customStyle="1" w:styleId="Outline">
    <w:name w:val="Outline"/>
    <w:basedOn w:val="Normal"/>
    <w:rsid w:val="00A45EEC"/>
    <w:pPr>
      <w:spacing w:before="240"/>
    </w:pPr>
    <w:rPr>
      <w:kern w:val="28"/>
      <w:szCs w:val="20"/>
      <w:lang w:val="en-US" w:eastAsia="en-US"/>
    </w:rPr>
  </w:style>
  <w:style w:type="paragraph" w:customStyle="1" w:styleId="Spacebetweennumberedparas">
    <w:name w:val="Space between numbered paras"/>
    <w:basedOn w:val="Normal"/>
    <w:next w:val="Cabealho1"/>
    <w:rsid w:val="00A45EEC"/>
    <w:pPr>
      <w:overflowPunct w:val="0"/>
      <w:autoSpaceDE w:val="0"/>
      <w:autoSpaceDN w:val="0"/>
      <w:adjustRightInd w:val="0"/>
      <w:textAlignment w:val="baseline"/>
    </w:pPr>
    <w:rPr>
      <w:sz w:val="22"/>
      <w:szCs w:val="20"/>
      <w:lang w:val="en-US" w:eastAsia="en-US"/>
    </w:rPr>
  </w:style>
  <w:style w:type="character" w:customStyle="1" w:styleId="Rfrenceintense1">
    <w:name w:val="Référence intense1"/>
    <w:uiPriority w:val="32"/>
    <w:qFormat/>
    <w:rsid w:val="00A45EEC"/>
    <w:rPr>
      <w:b/>
      <w:bCs/>
      <w:smallCaps/>
      <w:color w:val="C0504D"/>
      <w:spacing w:val="5"/>
      <w:u w:val="single"/>
    </w:rPr>
  </w:style>
  <w:style w:type="character" w:customStyle="1" w:styleId="Grillemoyenne1-Accent2Car1">
    <w:name w:val="Grille moyenne 1 - Accent 2 Car1"/>
    <w:link w:val="GrelhaMdia1-Cor2"/>
    <w:rsid w:val="00A45EEC"/>
    <w:rPr>
      <w:rFonts w:ascii="Calibri" w:eastAsia="Times New Roman" w:hAnsi="Calibri" w:cs="Times New Roman"/>
    </w:rPr>
  </w:style>
  <w:style w:type="table" w:styleId="GrelhaMdia1-Cor2">
    <w:name w:val="Medium Grid 1 Accent 2"/>
    <w:basedOn w:val="Tabelanormal"/>
    <w:link w:val="Grillemoyenne1-Accent2Car1"/>
    <w:rsid w:val="00A45EEC"/>
    <w:pPr>
      <w:spacing w:after="0" w:line="240" w:lineRule="auto"/>
    </w:pPr>
    <w:rPr>
      <w:rFonts w:ascii="Calibri" w:eastAsia="Times New Roman"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Grillemoyenne1-Accent2Car">
    <w:name w:val="Grille moyenne 1 - Accent 2 Car"/>
    <w:aliases w:val="Medium Grid 1 - Accent 21 Car"/>
    <w:link w:val="Grillemoyenne1-Accent21"/>
    <w:uiPriority w:val="34"/>
    <w:qFormat/>
    <w:rsid w:val="00A45EEC"/>
    <w:rPr>
      <w:rFonts w:ascii="Times New Roman" w:eastAsia="Times New Roman" w:hAnsi="Times New Roman"/>
      <w:sz w:val="24"/>
      <w:szCs w:val="24"/>
    </w:rPr>
  </w:style>
  <w:style w:type="character" w:customStyle="1" w:styleId="Trameclaire-Accent2Car">
    <w:name w:val="Trame claire - Accent 2 Car"/>
    <w:link w:val="Trameclaire-Accent21"/>
    <w:uiPriority w:val="69"/>
    <w:rsid w:val="00A45EEC"/>
    <w:rPr>
      <w:rFonts w:ascii="Times New Roman" w:eastAsia="Times New Roman" w:hAnsi="Times New Roman"/>
      <w:b/>
      <w:bCs/>
      <w:i/>
      <w:iCs/>
      <w:color w:val="4F81BD"/>
      <w:sz w:val="24"/>
      <w:szCs w:val="24"/>
    </w:rPr>
  </w:style>
  <w:style w:type="character" w:customStyle="1" w:styleId="Listecouleur-Accent1Car1">
    <w:name w:val="Liste couleur - Accent 1 Car1"/>
    <w:uiPriority w:val="34"/>
    <w:qFormat/>
    <w:rsid w:val="00A45EEC"/>
    <w:rPr>
      <w:rFonts w:ascii="Calibri" w:eastAsia="Calibri" w:hAnsi="Calibri" w:cs="Times New Roman"/>
      <w:sz w:val="22"/>
      <w:szCs w:val="22"/>
      <w:lang w:eastAsia="en-US"/>
    </w:rPr>
  </w:style>
  <w:style w:type="character" w:customStyle="1" w:styleId="Listecouleur-Accent1Car">
    <w:name w:val="Liste couleur - Accent 1 Car"/>
    <w:aliases w:val="Parágrafo da Lista s/espaço Car,RM1 Car,Citation List Car,List Bullet-OpsManual Car,Title Style 1 Car,List_Paragraph Car,Multilevel para_II Car,List Paragraph1 Car,Paragraphe de liste Car,Premier Car,Tableau Adere Car,I..1 C"/>
    <w:link w:val="ListaColorida-Cor1"/>
    <w:uiPriority w:val="34"/>
    <w:qFormat/>
    <w:rsid w:val="00A45EEC"/>
    <w:rPr>
      <w:rFonts w:ascii="Calibri" w:eastAsia="Times New Roman" w:hAnsi="Calibri" w:cs="Times New Roman"/>
    </w:rPr>
  </w:style>
  <w:style w:type="table" w:styleId="ListaColorida-Cor1">
    <w:name w:val="Colorful List Accent 1"/>
    <w:basedOn w:val="Tabelanormal"/>
    <w:link w:val="Listecouleur-Accent1Car"/>
    <w:qFormat/>
    <w:rsid w:val="00A45EEC"/>
    <w:pPr>
      <w:spacing w:after="0" w:line="240" w:lineRule="auto"/>
    </w:pPr>
    <w:rPr>
      <w:rFonts w:ascii="Calibri" w:eastAsia="Times New Roman"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GrelhaMdia3-Cor2">
    <w:name w:val="Medium Grid 3 Accent 2"/>
    <w:basedOn w:val="Tabelanormal"/>
    <w:uiPriority w:val="69"/>
    <w:rsid w:val="00A45EEC"/>
    <w:pPr>
      <w:spacing w:after="0" w:line="240" w:lineRule="auto"/>
    </w:pPr>
    <w:rPr>
      <w:rFonts w:ascii="Times New Roman" w:eastAsia="Times New Roman" w:hAnsi="Times New Roman" w:cs="Times New Roman"/>
      <w:b/>
      <w:bCs/>
      <w:i/>
      <w:iCs/>
      <w:color w:val="4F81BD"/>
      <w:sz w:val="24"/>
      <w:szCs w:val="24"/>
      <w:lang w:eastAsia="fr-FR"/>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acommarcas4">
    <w:name w:val="List Bullet 4"/>
    <w:basedOn w:val="Normal"/>
    <w:uiPriority w:val="99"/>
    <w:semiHidden/>
    <w:unhideWhenUsed/>
    <w:rsid w:val="00A45EEC"/>
    <w:pPr>
      <w:numPr>
        <w:numId w:val="2"/>
      </w:numPr>
      <w:contextualSpacing/>
    </w:pPr>
  </w:style>
  <w:style w:type="paragraph" w:styleId="SemEspaamento">
    <w:name w:val="No Spacing"/>
    <w:aliases w:val="INTRO"/>
    <w:link w:val="SemEspaamentoCarcter"/>
    <w:uiPriority w:val="1"/>
    <w:qFormat/>
    <w:rsid w:val="00A45EEC"/>
    <w:pPr>
      <w:spacing w:after="0" w:line="240" w:lineRule="auto"/>
    </w:pPr>
    <w:rPr>
      <w:rFonts w:ascii="Times New Roman" w:eastAsia="Times New Roman" w:hAnsi="Times New Roman" w:cs="Times New Roman"/>
      <w:sz w:val="24"/>
      <w:szCs w:val="24"/>
      <w:lang w:eastAsia="fr-FR"/>
    </w:rPr>
  </w:style>
  <w:style w:type="paragraph" w:customStyle="1" w:styleId="BankNormal">
    <w:name w:val="BankNormal"/>
    <w:basedOn w:val="Normal"/>
    <w:rsid w:val="00A45EEC"/>
    <w:pPr>
      <w:spacing w:after="240"/>
    </w:pPr>
    <w:rPr>
      <w:szCs w:val="20"/>
      <w:lang w:eastAsia="en-US"/>
    </w:rPr>
  </w:style>
  <w:style w:type="paragraph" w:styleId="Subttulo">
    <w:name w:val="Subtitle"/>
    <w:basedOn w:val="Normal"/>
    <w:next w:val="Normal"/>
    <w:link w:val="SubttuloCarcter"/>
    <w:qFormat/>
    <w:rsid w:val="00A45EEC"/>
    <w:pPr>
      <w:spacing w:after="60"/>
      <w:jc w:val="center"/>
      <w:outlineLvl w:val="1"/>
    </w:pPr>
    <w:rPr>
      <w:rFonts w:ascii="Cambria" w:hAnsi="Cambria"/>
    </w:rPr>
  </w:style>
  <w:style w:type="character" w:customStyle="1" w:styleId="SubttuloCarcter">
    <w:name w:val="Subtítulo Carácter"/>
    <w:basedOn w:val="Tipodeletrapredefinidodopargrafo"/>
    <w:link w:val="Subttulo"/>
    <w:rsid w:val="00A45EEC"/>
    <w:rPr>
      <w:rFonts w:ascii="Cambria" w:eastAsia="Times New Roman" w:hAnsi="Cambria" w:cs="Times New Roman"/>
      <w:sz w:val="24"/>
      <w:szCs w:val="24"/>
      <w:lang w:eastAsia="fr-FR"/>
    </w:rPr>
  </w:style>
  <w:style w:type="character" w:styleId="Refdecomentrio">
    <w:name w:val="annotation reference"/>
    <w:semiHidden/>
    <w:unhideWhenUsed/>
    <w:rsid w:val="00A45EEC"/>
    <w:rPr>
      <w:sz w:val="16"/>
      <w:szCs w:val="16"/>
    </w:rPr>
  </w:style>
  <w:style w:type="paragraph" w:styleId="Textodecomentrio">
    <w:name w:val="annotation text"/>
    <w:basedOn w:val="Normal"/>
    <w:link w:val="TextodecomentrioCarcter"/>
    <w:unhideWhenUsed/>
    <w:rsid w:val="00A45EEC"/>
    <w:rPr>
      <w:sz w:val="20"/>
      <w:szCs w:val="20"/>
    </w:rPr>
  </w:style>
  <w:style w:type="character" w:customStyle="1" w:styleId="TextodecomentrioCarcter">
    <w:name w:val="Texto de comentário Carácter"/>
    <w:basedOn w:val="Tipodeletrapredefinidodopargrafo"/>
    <w:link w:val="Textodecomentrio"/>
    <w:rsid w:val="00A45EEC"/>
    <w:rPr>
      <w:rFonts w:ascii="Times New Roman" w:eastAsia="Times New Roman" w:hAnsi="Times New Roman" w:cs="Times New Roman"/>
      <w:sz w:val="20"/>
      <w:szCs w:val="20"/>
      <w:lang w:eastAsia="fr-FR"/>
    </w:rPr>
  </w:style>
  <w:style w:type="paragraph" w:styleId="Assuntodecomentrio">
    <w:name w:val="annotation subject"/>
    <w:basedOn w:val="Textodecomentrio"/>
    <w:next w:val="Textodecomentrio"/>
    <w:link w:val="AssuntodecomentrioCarcter"/>
    <w:uiPriority w:val="99"/>
    <w:semiHidden/>
    <w:unhideWhenUsed/>
    <w:rsid w:val="00A45EEC"/>
    <w:rPr>
      <w:b/>
      <w:bCs/>
    </w:rPr>
  </w:style>
  <w:style w:type="character" w:customStyle="1" w:styleId="AssuntodecomentrioCarcter">
    <w:name w:val="Assunto de comentário Carácter"/>
    <w:basedOn w:val="TextodecomentrioCarcter"/>
    <w:link w:val="Assuntodecomentrio"/>
    <w:uiPriority w:val="99"/>
    <w:semiHidden/>
    <w:rsid w:val="00A45EEC"/>
    <w:rPr>
      <w:rFonts w:ascii="Times New Roman" w:eastAsia="Times New Roman" w:hAnsi="Times New Roman" w:cs="Times New Roman"/>
      <w:b/>
      <w:bCs/>
      <w:sz w:val="20"/>
      <w:szCs w:val="20"/>
      <w:lang w:eastAsia="fr-FR"/>
    </w:rPr>
  </w:style>
  <w:style w:type="paragraph" w:styleId="Ttulodondice">
    <w:name w:val="TOC Heading"/>
    <w:basedOn w:val="Cabealho1"/>
    <w:next w:val="Normal"/>
    <w:uiPriority w:val="39"/>
    <w:unhideWhenUsed/>
    <w:qFormat/>
    <w:rsid w:val="00A45EEC"/>
    <w:pPr>
      <w:keepLines/>
      <w:numPr>
        <w:numId w:val="0"/>
      </w:numPr>
      <w:spacing w:before="480" w:after="0" w:line="276" w:lineRule="auto"/>
      <w:outlineLvl w:val="9"/>
    </w:pPr>
    <w:rPr>
      <w:color w:val="365F91"/>
      <w:kern w:val="0"/>
      <w:sz w:val="28"/>
      <w:szCs w:val="28"/>
      <w:lang w:eastAsia="en-US"/>
    </w:rPr>
  </w:style>
  <w:style w:type="character" w:customStyle="1" w:styleId="Avanodecorpodetexto2Carcter">
    <w:name w:val="Avanço de corpo de texto 2 Carácter"/>
    <w:basedOn w:val="Tipodeletrapredefinidodopargrafo"/>
    <w:link w:val="Avanodecorpodetexto2"/>
    <w:rsid w:val="00A45EEC"/>
    <w:rPr>
      <w:rFonts w:ascii="Times New Roman" w:eastAsia="Calibri" w:hAnsi="Times New Roman" w:cs="Times New Roman"/>
      <w:sz w:val="24"/>
    </w:rPr>
  </w:style>
  <w:style w:type="paragraph" w:styleId="Avanodecorpodetexto2">
    <w:name w:val="Body Text Indent 2"/>
    <w:basedOn w:val="Normal"/>
    <w:link w:val="Avanodecorpodetexto2Carcter"/>
    <w:unhideWhenUsed/>
    <w:rsid w:val="00A45EEC"/>
    <w:pPr>
      <w:spacing w:after="120" w:line="480" w:lineRule="auto"/>
      <w:ind w:left="283"/>
    </w:pPr>
    <w:rPr>
      <w:rFonts w:eastAsia="Calibri"/>
      <w:szCs w:val="22"/>
      <w:lang w:eastAsia="en-US"/>
    </w:rPr>
  </w:style>
  <w:style w:type="character" w:customStyle="1" w:styleId="Retraitcorpsdetexte2Car1">
    <w:name w:val="Retrait corps de texte 2 Car1"/>
    <w:basedOn w:val="Tipodeletrapredefinidodopargrafo"/>
    <w:rsid w:val="00A45EEC"/>
    <w:rPr>
      <w:rFonts w:ascii="Times New Roman" w:eastAsia="Times New Roman" w:hAnsi="Times New Roman" w:cs="Times New Roman"/>
      <w:sz w:val="24"/>
      <w:szCs w:val="24"/>
      <w:lang w:eastAsia="fr-FR"/>
    </w:rPr>
  </w:style>
  <w:style w:type="character" w:customStyle="1" w:styleId="a">
    <w:name w:val="a"/>
    <w:rsid w:val="00A45EEC"/>
  </w:style>
  <w:style w:type="character" w:customStyle="1" w:styleId="l6">
    <w:name w:val="l6"/>
    <w:rsid w:val="00A45EEC"/>
  </w:style>
  <w:style w:type="character" w:customStyle="1" w:styleId="l7">
    <w:name w:val="l7"/>
    <w:rsid w:val="00A45EEC"/>
  </w:style>
  <w:style w:type="table" w:customStyle="1" w:styleId="Grilledutableau5">
    <w:name w:val="Grille du tableau5"/>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elanormal"/>
    <w:uiPriority w:val="39"/>
    <w:rsid w:val="00A45EE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elanormal"/>
    <w:uiPriority w:val="39"/>
    <w:rsid w:val="00A45E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locked/>
    <w:rsid w:val="00A45EEC"/>
    <w:rPr>
      <w:rFonts w:ascii="Arial Narrow" w:eastAsia="Times" w:hAnsi="Arial Narrow" w:cs="Angsana New"/>
      <w:sz w:val="19"/>
      <w:szCs w:val="20"/>
      <w:lang w:val="en-AU"/>
    </w:rPr>
  </w:style>
  <w:style w:type="paragraph" w:customStyle="1" w:styleId="Tabletext">
    <w:name w:val="Table text"/>
    <w:basedOn w:val="Normal"/>
    <w:link w:val="TabletextChar"/>
    <w:rsid w:val="00A45EEC"/>
    <w:pPr>
      <w:spacing w:after="60" w:line="300" w:lineRule="atLeast"/>
    </w:pPr>
    <w:rPr>
      <w:rFonts w:ascii="Arial Narrow" w:eastAsia="Times" w:hAnsi="Arial Narrow" w:cs="Angsana New"/>
      <w:sz w:val="19"/>
      <w:szCs w:val="20"/>
      <w:lang w:val="en-AU" w:eastAsia="en-US"/>
    </w:rPr>
  </w:style>
  <w:style w:type="table" w:customStyle="1" w:styleId="ESTableStyle">
    <w:name w:val="ES Table Style"/>
    <w:basedOn w:val="Tabelaprofissional"/>
    <w:uiPriority w:val="99"/>
    <w:rsid w:val="00A45EEC"/>
    <w:pPr>
      <w:adjustRightInd w:val="0"/>
      <w:snapToGrid w:val="0"/>
      <w:spacing w:after="120" w:line="240" w:lineRule="atLeast"/>
      <w:jc w:val="both"/>
    </w:pPr>
    <w:rPr>
      <w:rFonts w:ascii="Myriad Web Pro" w:eastAsiaTheme="minorEastAsia"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shd w:val="clear" w:color="auto" w:fill="auto"/>
    </w:tcPr>
    <w:tblStylePr w:type="firstRow">
      <w:rPr>
        <w:rFonts w:ascii="AMERICAN TYPEWRITER SEMIBOLD" w:hAnsi="AMERICAN TYPEWRITER SEMIBOLD" w:hint="default"/>
        <w:b/>
        <w:bCs/>
        <w:color w:val="auto"/>
        <w:sz w:val="18"/>
        <w:szCs w:val="18"/>
      </w:rPr>
      <w:tblPr/>
      <w:tcPr>
        <w:tcBorders>
          <w:tl2br w:val="none" w:sz="0" w:space="0" w:color="auto"/>
          <w:tr2bl w:val="none" w:sz="0" w:space="0" w:color="auto"/>
        </w:tcBorders>
        <w:shd w:val="clear" w:color="auto" w:fill="D5DCE4" w:themeFill="text2" w:themeFillTint="33"/>
      </w:tcPr>
    </w:tblStylePr>
  </w:style>
  <w:style w:type="table" w:styleId="Tabelaprofissional">
    <w:name w:val="Table Professional"/>
    <w:basedOn w:val="Tabelanormal"/>
    <w:uiPriority w:val="99"/>
    <w:semiHidden/>
    <w:unhideWhenUsed/>
    <w:rsid w:val="00A45EEC"/>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Grilledutableau1">
    <w:name w:val="Grille du tableau1"/>
    <w:basedOn w:val="Tabelanormal"/>
    <w:uiPriority w:val="59"/>
    <w:rsid w:val="00A45EE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ableCar">
    <w:name w:val="Table Car"/>
    <w:aliases w:val="LVT Table Heading Car,Légende Car Car Car,Légende Car1 Car,tableau 3. Car,tableau 6. Car,tableau 7. Car,Char Car,Fig Car,Table Caption Car,Figure Car,headings Car,CPR Caption Car,CPR Caption Char Car,Table1 Car,Figure1 Car,headings1 Char Car"/>
    <w:qFormat/>
    <w:locked/>
    <w:rsid w:val="00A45EEC"/>
    <w:rPr>
      <w:b/>
      <w:bCs/>
      <w:color w:val="4F81BD"/>
      <w:sz w:val="18"/>
      <w:szCs w:val="18"/>
    </w:rPr>
  </w:style>
  <w:style w:type="paragraph" w:customStyle="1" w:styleId="Clauses">
    <w:name w:val="Clauses"/>
    <w:basedOn w:val="Normal"/>
    <w:rsid w:val="00A45EEC"/>
    <w:pPr>
      <w:keepLines/>
      <w:numPr>
        <w:numId w:val="5"/>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A45EEC"/>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A45EEC"/>
    <w:pPr>
      <w:numPr>
        <w:ilvl w:val="3"/>
      </w:numPr>
      <w:tabs>
        <w:tab w:val="clear" w:pos="1418"/>
        <w:tab w:val="num" w:pos="1712"/>
        <w:tab w:val="left" w:pos="1843"/>
      </w:tabs>
      <w:ind w:left="1418" w:hanging="426"/>
    </w:pPr>
  </w:style>
  <w:style w:type="paragraph" w:customStyle="1" w:styleId="Normal1">
    <w:name w:val="Normal(1)"/>
    <w:basedOn w:val="Normal"/>
    <w:rsid w:val="00A45EEC"/>
    <w:pPr>
      <w:tabs>
        <w:tab w:val="num" w:pos="709"/>
      </w:tabs>
      <w:spacing w:after="120"/>
      <w:ind w:left="709" w:hanging="709"/>
      <w:jc w:val="both"/>
    </w:pPr>
    <w:rPr>
      <w:szCs w:val="20"/>
      <w:lang w:val="en-GB" w:eastAsia="en-GB"/>
    </w:rPr>
  </w:style>
  <w:style w:type="paragraph" w:styleId="Ttulo">
    <w:name w:val="Title"/>
    <w:basedOn w:val="Normal"/>
    <w:link w:val="TtuloCarcter"/>
    <w:qFormat/>
    <w:rsid w:val="00A45EEC"/>
    <w:pPr>
      <w:tabs>
        <w:tab w:val="right" w:leader="dot" w:pos="8640"/>
      </w:tabs>
      <w:jc w:val="center"/>
    </w:pPr>
    <w:rPr>
      <w:b/>
      <w:sz w:val="36"/>
      <w:szCs w:val="20"/>
      <w:lang w:val="en-US" w:eastAsia="en-US"/>
    </w:rPr>
  </w:style>
  <w:style w:type="character" w:customStyle="1" w:styleId="TitreCar">
    <w:name w:val="Titre Car"/>
    <w:basedOn w:val="Tipodeletrapredefinidodopargrafo"/>
    <w:rsid w:val="00A45EEC"/>
    <w:rPr>
      <w:rFonts w:asciiTheme="majorHAnsi" w:eastAsiaTheme="majorEastAsia" w:hAnsiTheme="majorHAnsi" w:cstheme="majorBidi"/>
      <w:spacing w:val="-10"/>
      <w:kern w:val="28"/>
      <w:sz w:val="56"/>
      <w:szCs w:val="56"/>
      <w:lang w:eastAsia="fr-FR"/>
    </w:rPr>
  </w:style>
  <w:style w:type="character" w:customStyle="1" w:styleId="TtuloCarcter">
    <w:name w:val="Título Carácter"/>
    <w:link w:val="Ttulo"/>
    <w:rsid w:val="00A45EEC"/>
    <w:rPr>
      <w:rFonts w:ascii="Times New Roman" w:eastAsia="Times New Roman" w:hAnsi="Times New Roman" w:cs="Times New Roman"/>
      <w:b/>
      <w:sz w:val="36"/>
      <w:szCs w:val="20"/>
      <w:lang w:val="en-US"/>
    </w:rPr>
  </w:style>
  <w:style w:type="character" w:customStyle="1" w:styleId="InciodecartaCarcter">
    <w:name w:val="Início de carta Carácter"/>
    <w:basedOn w:val="Tipodeletrapredefinidodopargrafo"/>
    <w:link w:val="Inciodecarta"/>
    <w:semiHidden/>
    <w:rsid w:val="00A45EEC"/>
    <w:rPr>
      <w:rFonts w:ascii="Times New Roman" w:eastAsia="Times New Roman" w:hAnsi="Times New Roman" w:cs="Times New Roman"/>
      <w:sz w:val="24"/>
      <w:szCs w:val="24"/>
      <w:lang w:val="en-US"/>
    </w:rPr>
  </w:style>
  <w:style w:type="paragraph" w:styleId="Inciodecarta">
    <w:name w:val="Salutation"/>
    <w:basedOn w:val="Normal"/>
    <w:next w:val="Normal"/>
    <w:link w:val="InciodecartaCarcter"/>
    <w:semiHidden/>
    <w:rsid w:val="00A45EEC"/>
    <w:rPr>
      <w:lang w:val="en-US" w:eastAsia="en-US"/>
    </w:rPr>
  </w:style>
  <w:style w:type="character" w:customStyle="1" w:styleId="SalutationsCar1">
    <w:name w:val="Salutations Car1"/>
    <w:basedOn w:val="Tipodeletrapredefinidodopargrafo"/>
    <w:uiPriority w:val="99"/>
    <w:semiHidden/>
    <w:rsid w:val="00A45EEC"/>
    <w:rPr>
      <w:rFonts w:ascii="Times New Roman" w:eastAsia="Times New Roman" w:hAnsi="Times New Roman" w:cs="Times New Roman"/>
      <w:sz w:val="24"/>
      <w:szCs w:val="24"/>
      <w:lang w:eastAsia="fr-FR"/>
    </w:rPr>
  </w:style>
  <w:style w:type="paragraph" w:styleId="Avanonormal">
    <w:name w:val="Normal Indent"/>
    <w:basedOn w:val="Normal"/>
    <w:rsid w:val="00A45EEC"/>
    <w:pPr>
      <w:ind w:left="708"/>
    </w:pPr>
    <w:rPr>
      <w:lang w:val="en-US" w:eastAsia="en-US"/>
    </w:rPr>
  </w:style>
  <w:style w:type="character" w:customStyle="1" w:styleId="Avanodecorpodetexto3Carcter">
    <w:name w:val="Avanço de corpo de texto 3 Carácter"/>
    <w:basedOn w:val="Tipodeletrapredefinidodopargrafo"/>
    <w:link w:val="Avanodecorpodetexto3"/>
    <w:semiHidden/>
    <w:rsid w:val="00A45EEC"/>
    <w:rPr>
      <w:rFonts w:ascii="Times New Roman" w:eastAsia="Times New Roman" w:hAnsi="Times New Roman" w:cs="Times New Roman"/>
      <w:sz w:val="24"/>
      <w:szCs w:val="24"/>
      <w:lang w:val="en-US"/>
    </w:rPr>
  </w:style>
  <w:style w:type="paragraph" w:styleId="Avanodecorpodetexto3">
    <w:name w:val="Body Text Indent 3"/>
    <w:basedOn w:val="Normal"/>
    <w:link w:val="Avanodecorpodetexto3Carcter"/>
    <w:semiHidden/>
    <w:rsid w:val="00A45EEC"/>
    <w:pPr>
      <w:ind w:left="1854" w:hanging="414"/>
      <w:jc w:val="both"/>
    </w:pPr>
    <w:rPr>
      <w:lang w:val="en-US" w:eastAsia="en-US"/>
    </w:rPr>
  </w:style>
  <w:style w:type="character" w:customStyle="1" w:styleId="Retraitcorpsdetexte3Car1">
    <w:name w:val="Retrait corps de texte 3 Car1"/>
    <w:basedOn w:val="Tipodeletrapredefinidodopargrafo"/>
    <w:uiPriority w:val="99"/>
    <w:semiHidden/>
    <w:rsid w:val="00A45EEC"/>
    <w:rPr>
      <w:rFonts w:ascii="Times New Roman" w:eastAsia="Times New Roman" w:hAnsi="Times New Roman" w:cs="Times New Roman"/>
      <w:sz w:val="16"/>
      <w:szCs w:val="16"/>
      <w:lang w:eastAsia="fr-FR"/>
    </w:rPr>
  </w:style>
  <w:style w:type="paragraph" w:customStyle="1" w:styleId="xl26">
    <w:name w:val="xl26"/>
    <w:basedOn w:val="Normal"/>
    <w:rsid w:val="00A45EEC"/>
    <w:pPr>
      <w:spacing w:before="100" w:beforeAutospacing="1" w:after="100" w:afterAutospacing="1"/>
    </w:pPr>
    <w:rPr>
      <w:b/>
      <w:bCs/>
      <w:lang w:val="it-IT" w:eastAsia="it-IT"/>
    </w:rPr>
  </w:style>
  <w:style w:type="paragraph" w:customStyle="1" w:styleId="xl143">
    <w:name w:val="xl143"/>
    <w:basedOn w:val="Normal"/>
    <w:rsid w:val="00A45EEC"/>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Nmerodepgina">
    <w:name w:val="page number"/>
    <w:rsid w:val="00A45EEC"/>
    <w:rPr>
      <w:rFonts w:cs="Times New Roman"/>
    </w:rPr>
  </w:style>
  <w:style w:type="paragraph" w:customStyle="1" w:styleId="xl41">
    <w:name w:val="xl41"/>
    <w:basedOn w:val="Normal"/>
    <w:rsid w:val="00A45EEC"/>
    <w:pPr>
      <w:spacing w:before="100" w:beforeAutospacing="1" w:after="100" w:afterAutospacing="1"/>
    </w:pPr>
    <w:rPr>
      <w:sz w:val="20"/>
      <w:szCs w:val="20"/>
      <w:lang w:val="it-IT" w:eastAsia="it-IT"/>
    </w:rPr>
  </w:style>
  <w:style w:type="paragraph" w:customStyle="1" w:styleId="A1-Heading1">
    <w:name w:val="A1-Heading1"/>
    <w:basedOn w:val="Cabealho1"/>
    <w:rsid w:val="00A45EEC"/>
    <w:pPr>
      <w:keepNext w:val="0"/>
      <w:numPr>
        <w:numId w:val="0"/>
      </w:numPr>
      <w:spacing w:after="240"/>
      <w:jc w:val="center"/>
    </w:pPr>
    <w:rPr>
      <w:rFonts w:ascii="Times New Roman" w:hAnsi="Times New Roman"/>
      <w:bCs w:val="0"/>
      <w:kern w:val="0"/>
      <w:szCs w:val="20"/>
      <w:lang w:val="en-US" w:eastAsia="en-US"/>
    </w:rPr>
  </w:style>
  <w:style w:type="paragraph" w:customStyle="1" w:styleId="A1-Heading2">
    <w:name w:val="A1-Heading2"/>
    <w:basedOn w:val="Cabealho2"/>
    <w:link w:val="A1-Heading2Char"/>
    <w:rsid w:val="00A45EEC"/>
    <w:pPr>
      <w:keepNext w:val="0"/>
      <w:numPr>
        <w:ilvl w:val="0"/>
        <w:numId w:val="0"/>
      </w:numPr>
      <w:tabs>
        <w:tab w:val="left" w:pos="360"/>
      </w:tabs>
      <w:spacing w:before="0" w:after="0"/>
      <w:ind w:left="720" w:hanging="360"/>
      <w:contextualSpacing/>
      <w:jc w:val="center"/>
    </w:pPr>
    <w:rPr>
      <w:rFonts w:ascii="Times New Roman" w:hAnsi="Times New Roman"/>
      <w:i w:val="0"/>
      <w:iCs w:val="0"/>
      <w:smallCaps/>
      <w:sz w:val="24"/>
      <w:szCs w:val="24"/>
      <w:lang w:val="en-GB" w:eastAsia="en-US"/>
    </w:rPr>
  </w:style>
  <w:style w:type="character" w:customStyle="1" w:styleId="A1-Heading2Char">
    <w:name w:val="A1-Heading2 Char"/>
    <w:link w:val="A1-Heading2"/>
    <w:rsid w:val="00A45EEC"/>
    <w:rPr>
      <w:rFonts w:ascii="Times New Roman" w:eastAsia="Times New Roman" w:hAnsi="Times New Roman" w:cs="Times New Roman"/>
      <w:b/>
      <w:bCs/>
      <w:smallCaps/>
      <w:sz w:val="24"/>
      <w:szCs w:val="24"/>
      <w:lang w:val="en-GB"/>
    </w:rPr>
  </w:style>
  <w:style w:type="paragraph" w:customStyle="1" w:styleId="A2-Heading1">
    <w:name w:val="A2-Heading 1"/>
    <w:basedOn w:val="Cabealho1"/>
    <w:rsid w:val="00A45EEC"/>
    <w:pPr>
      <w:keepNext w:val="0"/>
      <w:numPr>
        <w:ilvl w:val="12"/>
        <w:numId w:val="0"/>
      </w:numPr>
      <w:spacing w:before="0" w:after="0"/>
      <w:jc w:val="center"/>
    </w:pPr>
    <w:rPr>
      <w:rFonts w:ascii="Times New Roman Bold" w:hAnsi="Times New Roman Bold"/>
      <w:bCs w:val="0"/>
      <w:kern w:val="0"/>
      <w:szCs w:val="24"/>
      <w:lang w:val="en-US" w:eastAsia="en-US"/>
    </w:rPr>
  </w:style>
  <w:style w:type="paragraph" w:customStyle="1" w:styleId="A2-Heading2">
    <w:name w:val="A2-Heading 2"/>
    <w:basedOn w:val="Cabealho2"/>
    <w:rsid w:val="00A45EEC"/>
    <w:pPr>
      <w:keepNext w:val="0"/>
      <w:numPr>
        <w:ilvl w:val="0"/>
        <w:numId w:val="0"/>
      </w:numPr>
      <w:tabs>
        <w:tab w:val="num" w:pos="360"/>
      </w:tabs>
      <w:spacing w:before="0" w:after="0"/>
      <w:ind w:left="720" w:hanging="720"/>
      <w:contextualSpacing/>
      <w:jc w:val="center"/>
    </w:pPr>
    <w:rPr>
      <w:rFonts w:ascii="Times New Roman" w:hAnsi="Times New Roman"/>
      <w:i w:val="0"/>
      <w:iCs w:val="0"/>
      <w:smallCaps/>
      <w:sz w:val="24"/>
      <w:szCs w:val="24"/>
      <w:lang w:val="en-GB" w:eastAsia="en-US"/>
    </w:rPr>
  </w:style>
  <w:style w:type="paragraph" w:customStyle="1" w:styleId="A1-Heading3">
    <w:name w:val="A1-Heading 3"/>
    <w:basedOn w:val="Cabealho3"/>
    <w:rsid w:val="00A45EEC"/>
    <w:pPr>
      <w:keepNext w:val="0"/>
      <w:numPr>
        <w:ilvl w:val="0"/>
        <w:numId w:val="0"/>
      </w:numPr>
      <w:tabs>
        <w:tab w:val="left" w:pos="540"/>
      </w:tabs>
      <w:spacing w:before="0" w:after="0"/>
      <w:ind w:left="533" w:right="-29" w:hanging="533"/>
      <w:contextualSpacing/>
    </w:pPr>
    <w:rPr>
      <w:rFonts w:ascii="Times New Roman" w:hAnsi="Times New Roman"/>
      <w:sz w:val="24"/>
      <w:szCs w:val="24"/>
      <w:lang w:val="en-GB" w:eastAsia="en-US"/>
    </w:rPr>
  </w:style>
  <w:style w:type="paragraph" w:customStyle="1" w:styleId="A1-Heading4">
    <w:name w:val="A1-Heading 4"/>
    <w:basedOn w:val="Cabealho4"/>
    <w:rsid w:val="00A45EEC"/>
    <w:pPr>
      <w:keepNext w:val="0"/>
      <w:numPr>
        <w:ilvl w:val="0"/>
        <w:numId w:val="0"/>
      </w:numPr>
      <w:tabs>
        <w:tab w:val="left" w:pos="720"/>
        <w:tab w:val="left" w:pos="1062"/>
        <w:tab w:val="right" w:leader="dot" w:pos="8640"/>
      </w:tabs>
      <w:spacing w:before="0" w:after="0"/>
      <w:ind w:left="1062" w:hanging="720"/>
    </w:pPr>
    <w:rPr>
      <w:rFonts w:ascii="Times New Roman" w:hAnsi="Times New Roman"/>
      <w:sz w:val="24"/>
      <w:szCs w:val="24"/>
      <w:lang w:val="en-US" w:eastAsia="en-US"/>
    </w:rPr>
  </w:style>
  <w:style w:type="paragraph" w:customStyle="1" w:styleId="A2-Heading3">
    <w:name w:val="A2-Heading 3"/>
    <w:basedOn w:val="Cabealho3"/>
    <w:rsid w:val="00A45EEC"/>
    <w:pPr>
      <w:keepNext w:val="0"/>
      <w:numPr>
        <w:ilvl w:val="0"/>
        <w:numId w:val="0"/>
      </w:numPr>
      <w:tabs>
        <w:tab w:val="left" w:pos="540"/>
      </w:tabs>
      <w:spacing w:before="0" w:after="0"/>
      <w:ind w:left="539" w:right="-34" w:hanging="539"/>
      <w:contextualSpacing/>
    </w:pPr>
    <w:rPr>
      <w:rFonts w:ascii="Times New Roman" w:hAnsi="Times New Roman"/>
      <w:sz w:val="24"/>
      <w:szCs w:val="24"/>
      <w:lang w:val="en-GB" w:eastAsia="en-US"/>
    </w:rPr>
  </w:style>
  <w:style w:type="character" w:customStyle="1" w:styleId="TextodenotadefimCarcter">
    <w:name w:val="Texto de nota de fim Carácter"/>
    <w:basedOn w:val="Tipodeletrapredefinidodopargrafo"/>
    <w:link w:val="Textodenotadefim"/>
    <w:semiHidden/>
    <w:rsid w:val="00A45EEC"/>
    <w:rPr>
      <w:rFonts w:ascii="Times New Roman" w:eastAsia="Times New Roman" w:hAnsi="Times New Roman" w:cs="Times New Roman"/>
      <w:sz w:val="20"/>
      <w:szCs w:val="20"/>
      <w:lang w:val="en-US"/>
    </w:rPr>
  </w:style>
  <w:style w:type="paragraph" w:styleId="Textodenotadefim">
    <w:name w:val="endnote text"/>
    <w:basedOn w:val="Normal"/>
    <w:link w:val="TextodenotadefimCarcter"/>
    <w:semiHidden/>
    <w:rsid w:val="00A45EEC"/>
    <w:rPr>
      <w:sz w:val="20"/>
      <w:szCs w:val="20"/>
      <w:lang w:val="en-US" w:eastAsia="en-US"/>
    </w:rPr>
  </w:style>
  <w:style w:type="character" w:customStyle="1" w:styleId="NotedefinCar1">
    <w:name w:val="Note de fin Car1"/>
    <w:basedOn w:val="Tipodeletrapredefinidodopargrafo"/>
    <w:uiPriority w:val="99"/>
    <w:semiHidden/>
    <w:rsid w:val="00A45EEC"/>
    <w:rPr>
      <w:rFonts w:ascii="Times New Roman" w:eastAsia="Times New Roman" w:hAnsi="Times New Roman" w:cs="Times New Roman"/>
      <w:sz w:val="20"/>
      <w:szCs w:val="20"/>
      <w:lang w:eastAsia="fr-FR"/>
    </w:rPr>
  </w:style>
  <w:style w:type="paragraph" w:customStyle="1" w:styleId="Section3-Heading1">
    <w:name w:val="Section 3 - Heading 1"/>
    <w:basedOn w:val="Normal"/>
    <w:rsid w:val="00A45EEC"/>
    <w:pPr>
      <w:pBdr>
        <w:bottom w:val="single" w:sz="4" w:space="1" w:color="auto"/>
      </w:pBdr>
      <w:spacing w:after="240"/>
      <w:jc w:val="center"/>
    </w:pPr>
    <w:rPr>
      <w:rFonts w:ascii="Times New Roman Bold" w:hAnsi="Times New Roman Bold"/>
      <w:b/>
      <w:sz w:val="32"/>
      <w:lang w:val="en-US" w:eastAsia="en-US"/>
    </w:rPr>
  </w:style>
  <w:style w:type="paragraph" w:customStyle="1" w:styleId="CharChar">
    <w:name w:val="Char Char"/>
    <w:basedOn w:val="Normal"/>
    <w:rsid w:val="00A45EEC"/>
    <w:pPr>
      <w:autoSpaceDE w:val="0"/>
      <w:autoSpaceDN w:val="0"/>
      <w:spacing w:after="160" w:line="240" w:lineRule="exact"/>
    </w:pPr>
    <w:rPr>
      <w:rFonts w:ascii="Arial" w:hAnsi="Arial" w:cs="Arial"/>
      <w:b/>
      <w:sz w:val="20"/>
      <w:szCs w:val="20"/>
      <w:lang w:val="en-US" w:eastAsia="de-DE"/>
    </w:rPr>
  </w:style>
  <w:style w:type="character" w:customStyle="1" w:styleId="GaramondTimesNewRoman">
    <w:name w:val="Стиль Стиль Garamond + Times New Roman"/>
    <w:rsid w:val="00A45EEC"/>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rsid w:val="00A45EEC"/>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Cabealho"/>
    <w:rsid w:val="00A45EEC"/>
    <w:pPr>
      <w:numPr>
        <w:numId w:val="6"/>
      </w:numPr>
      <w:tabs>
        <w:tab w:val="clear" w:pos="4536"/>
        <w:tab w:val="clear" w:pos="9072"/>
      </w:tabs>
      <w:spacing w:after="0" w:line="240" w:lineRule="auto"/>
      <w:ind w:right="-88"/>
      <w:jc w:val="both"/>
    </w:pPr>
    <w:rPr>
      <w:rFonts w:ascii="Arial" w:eastAsia="Times New Roman" w:hAnsi="Arial" w:cs="Arial"/>
      <w:bCs/>
      <w:sz w:val="22"/>
      <w:szCs w:val="24"/>
      <w:lang w:val="en-GB" w:eastAsia="en-US"/>
    </w:rPr>
  </w:style>
  <w:style w:type="paragraph" w:customStyle="1" w:styleId="Subtitulos">
    <w:name w:val="Subtitulos"/>
    <w:basedOn w:val="Cabealho2"/>
    <w:rsid w:val="00A45EEC"/>
    <w:pPr>
      <w:keepNext w:val="0"/>
      <w:numPr>
        <w:ilvl w:val="0"/>
        <w:numId w:val="0"/>
      </w:numPr>
      <w:tabs>
        <w:tab w:val="left" w:pos="360"/>
      </w:tabs>
      <w:spacing w:before="120" w:after="120"/>
      <w:contextualSpacing/>
    </w:pPr>
    <w:rPr>
      <w:rFonts w:ascii="Times New Roman Bold" w:hAnsi="Times New Roman Bold"/>
      <w:bCs w:val="0"/>
      <w:i w:val="0"/>
      <w:iCs w:val="0"/>
      <w:sz w:val="24"/>
      <w:szCs w:val="20"/>
      <w:lang w:val="es-ES_tradnl" w:eastAsia="en-US"/>
    </w:rPr>
  </w:style>
  <w:style w:type="paragraph" w:customStyle="1" w:styleId="41Autolist4">
    <w:name w:val="4.1 Autolist4"/>
    <w:basedOn w:val="Normal"/>
    <w:next w:val="Normal"/>
    <w:rsid w:val="00A45EEC"/>
    <w:pPr>
      <w:keepNext/>
      <w:spacing w:before="120" w:after="120"/>
      <w:jc w:val="both"/>
    </w:pPr>
    <w:rPr>
      <w:szCs w:val="20"/>
      <w:lang w:val="en-US" w:eastAsia="en-US"/>
    </w:rPr>
  </w:style>
  <w:style w:type="paragraph" w:customStyle="1" w:styleId="iAutoList">
    <w:name w:val="(i) AutoList"/>
    <w:basedOn w:val="Normal"/>
    <w:next w:val="Normal"/>
    <w:rsid w:val="00A45EEC"/>
    <w:pPr>
      <w:spacing w:before="120" w:after="120"/>
      <w:ind w:left="720" w:hanging="360"/>
      <w:jc w:val="both"/>
    </w:pPr>
    <w:rPr>
      <w:snapToGrid w:val="0"/>
      <w:szCs w:val="20"/>
      <w:lang w:val="es-ES_tradnl" w:eastAsia="en-US"/>
    </w:rPr>
  </w:style>
  <w:style w:type="paragraph" w:styleId="Corpodetexto2">
    <w:name w:val="Body Text 2"/>
    <w:basedOn w:val="Normal"/>
    <w:link w:val="Corpodetexto2Carcter"/>
    <w:unhideWhenUsed/>
    <w:rsid w:val="00A45EEC"/>
    <w:pPr>
      <w:spacing w:after="120" w:line="480" w:lineRule="auto"/>
    </w:pPr>
    <w:rPr>
      <w:lang w:val="en-US" w:eastAsia="en-US"/>
    </w:rPr>
  </w:style>
  <w:style w:type="character" w:customStyle="1" w:styleId="Corpsdetexte2Car">
    <w:name w:val="Corps de texte 2 Car"/>
    <w:basedOn w:val="Tipodeletrapredefinidodopargrafo"/>
    <w:rsid w:val="00A45EEC"/>
    <w:rPr>
      <w:rFonts w:ascii="Times New Roman" w:eastAsia="Times New Roman" w:hAnsi="Times New Roman" w:cs="Times New Roman"/>
      <w:sz w:val="24"/>
      <w:szCs w:val="24"/>
      <w:lang w:eastAsia="fr-FR"/>
    </w:rPr>
  </w:style>
  <w:style w:type="character" w:customStyle="1" w:styleId="Corpodetexto2Carcter">
    <w:name w:val="Corpo de texto 2 Carácter"/>
    <w:link w:val="Corpodetexto2"/>
    <w:rsid w:val="00A45EEC"/>
    <w:rPr>
      <w:rFonts w:ascii="Times New Roman" w:eastAsia="Times New Roman" w:hAnsi="Times New Roman" w:cs="Times New Roman"/>
      <w:sz w:val="24"/>
      <w:szCs w:val="24"/>
      <w:lang w:val="en-US"/>
    </w:rPr>
  </w:style>
  <w:style w:type="paragraph" w:customStyle="1" w:styleId="Section4-Heading1">
    <w:name w:val="Section 4 - Heading 1"/>
    <w:basedOn w:val="Section3-Heading1"/>
    <w:rsid w:val="00A45EEC"/>
  </w:style>
  <w:style w:type="paragraph" w:customStyle="1" w:styleId="Header1-Clauses">
    <w:name w:val="Header 1 - Clauses"/>
    <w:basedOn w:val="Normal"/>
    <w:rsid w:val="00A45EEC"/>
    <w:pPr>
      <w:numPr>
        <w:numId w:val="7"/>
      </w:numPr>
    </w:pPr>
    <w:rPr>
      <w:b/>
      <w:szCs w:val="20"/>
      <w:lang w:val="es-ES_tradnl" w:eastAsia="en-US"/>
    </w:rPr>
  </w:style>
  <w:style w:type="paragraph" w:customStyle="1" w:styleId="Header2-SubClauses">
    <w:name w:val="Header 2 - SubClauses"/>
    <w:basedOn w:val="Normal"/>
    <w:rsid w:val="00A45EEC"/>
    <w:pPr>
      <w:numPr>
        <w:ilvl w:val="1"/>
        <w:numId w:val="7"/>
      </w:numPr>
      <w:tabs>
        <w:tab w:val="left" w:pos="619"/>
      </w:tabs>
      <w:spacing w:after="200"/>
      <w:jc w:val="both"/>
    </w:pPr>
    <w:rPr>
      <w:szCs w:val="20"/>
      <w:lang w:val="es-ES_tradnl" w:eastAsia="en-US"/>
    </w:rPr>
  </w:style>
  <w:style w:type="paragraph" w:customStyle="1" w:styleId="P3Header1-Clauses">
    <w:name w:val="P3 Header1-Clauses"/>
    <w:basedOn w:val="Header1-Clauses"/>
    <w:rsid w:val="00A45EEC"/>
    <w:pPr>
      <w:numPr>
        <w:ilvl w:val="2"/>
      </w:numPr>
    </w:pPr>
  </w:style>
  <w:style w:type="character" w:customStyle="1" w:styleId="DeltaViewInsertion">
    <w:name w:val="DeltaView Insertion"/>
    <w:rsid w:val="00A45EEC"/>
    <w:rPr>
      <w:color w:val="0000FF"/>
      <w:u w:val="double"/>
    </w:rPr>
  </w:style>
  <w:style w:type="paragraph" w:customStyle="1" w:styleId="Section8Heading1">
    <w:name w:val="Section 8. Heading1"/>
    <w:basedOn w:val="A1-Heading2"/>
    <w:qFormat/>
    <w:rsid w:val="00A45EEC"/>
    <w:pPr>
      <w:numPr>
        <w:numId w:val="11"/>
      </w:numPr>
      <w:tabs>
        <w:tab w:val="clear" w:pos="360"/>
      </w:tabs>
      <w:spacing w:before="120" w:after="240"/>
      <w:ind w:left="928"/>
      <w:contextualSpacing w:val="0"/>
    </w:pPr>
    <w:rPr>
      <w:sz w:val="28"/>
      <w:lang w:val="en-US"/>
    </w:rPr>
  </w:style>
  <w:style w:type="paragraph" w:customStyle="1" w:styleId="Section8Heading2">
    <w:name w:val="Section 8. Heading2"/>
    <w:next w:val="Normal"/>
    <w:qFormat/>
    <w:rsid w:val="00A45EEC"/>
    <w:pPr>
      <w:numPr>
        <w:numId w:val="12"/>
      </w:numPr>
      <w:spacing w:after="200" w:line="240" w:lineRule="auto"/>
    </w:pPr>
    <w:rPr>
      <w:rFonts w:ascii="Times New Roman" w:eastAsia="Times New Roman" w:hAnsi="Times New Roman" w:cs="Times New Roman"/>
      <w:b/>
      <w:bCs/>
      <w:sz w:val="24"/>
      <w:szCs w:val="24"/>
      <w:lang w:val="en-US"/>
    </w:rPr>
  </w:style>
  <w:style w:type="paragraph" w:customStyle="1" w:styleId="Section8Header1">
    <w:name w:val="Section 8. Header1"/>
    <w:qFormat/>
    <w:rsid w:val="00A45EEC"/>
    <w:pPr>
      <w:numPr>
        <w:numId w:val="13"/>
      </w:numPr>
      <w:spacing w:before="240" w:after="240" w:line="240" w:lineRule="auto"/>
      <w:jc w:val="center"/>
    </w:pPr>
    <w:rPr>
      <w:rFonts w:ascii="Times New Roman" w:eastAsia="Times New Roman" w:hAnsi="Times New Roman" w:cs="Times New Roman"/>
      <w:b/>
      <w:sz w:val="32"/>
      <w:szCs w:val="20"/>
      <w:lang w:val="en-US"/>
    </w:rPr>
  </w:style>
  <w:style w:type="paragraph" w:customStyle="1" w:styleId="Section8Heading3">
    <w:name w:val="Section 8. Heading3"/>
    <w:qFormat/>
    <w:rsid w:val="00A45EEC"/>
    <w:pPr>
      <w:spacing w:after="0" w:line="240" w:lineRule="auto"/>
      <w:ind w:hanging="534"/>
    </w:pPr>
    <w:rPr>
      <w:rFonts w:ascii="Times New Roman" w:eastAsia="Times New Roman" w:hAnsi="Times New Roman" w:cs="Times New Roman"/>
      <w:b/>
      <w:bCs/>
      <w:sz w:val="24"/>
      <w:szCs w:val="24"/>
      <w:lang w:val="en-US"/>
    </w:rPr>
  </w:style>
  <w:style w:type="paragraph" w:customStyle="1" w:styleId="Document1">
    <w:name w:val="Document 1"/>
    <w:rsid w:val="00A45EEC"/>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xtBoxFramed">
    <w:name w:val="Text Box Framed"/>
    <w:basedOn w:val="Normal"/>
    <w:rsid w:val="00A45EEC"/>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paragraph" w:customStyle="1" w:styleId="p7">
    <w:name w:val="p7"/>
    <w:basedOn w:val="Normal"/>
    <w:rsid w:val="00A45EEC"/>
    <w:pPr>
      <w:widowControl w:val="0"/>
      <w:spacing w:line="360" w:lineRule="atLeast"/>
      <w:ind w:left="720" w:hanging="720"/>
    </w:pPr>
    <w:rPr>
      <w:rFonts w:ascii="Chicago" w:hAnsi="Chicago"/>
      <w:snapToGrid w:val="0"/>
      <w:szCs w:val="20"/>
      <w:lang w:val="en-US" w:eastAsia="en-US"/>
    </w:rPr>
  </w:style>
  <w:style w:type="paragraph" w:customStyle="1" w:styleId="p3">
    <w:name w:val="p3"/>
    <w:basedOn w:val="Normal"/>
    <w:rsid w:val="00A45EEC"/>
    <w:pPr>
      <w:widowControl w:val="0"/>
      <w:tabs>
        <w:tab w:val="left" w:pos="0"/>
      </w:tabs>
      <w:spacing w:line="240" w:lineRule="atLeast"/>
      <w:jc w:val="both"/>
      <w:outlineLvl w:val="1"/>
    </w:pPr>
    <w:rPr>
      <w:rFonts w:ascii="Arial" w:hAnsi="Arial" w:cs="Arial"/>
      <w:b/>
      <w:bCs/>
      <w:snapToGrid w:val="0"/>
      <w:sz w:val="20"/>
      <w:szCs w:val="20"/>
      <w:lang w:eastAsia="en-US"/>
    </w:rPr>
  </w:style>
  <w:style w:type="paragraph" w:customStyle="1" w:styleId="p4">
    <w:name w:val="p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18">
    <w:name w:val="p18"/>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13">
    <w:name w:val="p13"/>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38">
    <w:name w:val="p38"/>
    <w:basedOn w:val="Normal"/>
    <w:rsid w:val="00A45EEC"/>
    <w:pPr>
      <w:widowControl w:val="0"/>
      <w:spacing w:line="240" w:lineRule="atLeast"/>
      <w:ind w:left="700" w:hanging="700"/>
    </w:pPr>
    <w:rPr>
      <w:rFonts w:ascii="Chicago" w:hAnsi="Chicago"/>
      <w:snapToGrid w:val="0"/>
      <w:szCs w:val="20"/>
      <w:lang w:val="en-US" w:eastAsia="en-US"/>
    </w:rPr>
  </w:style>
  <w:style w:type="paragraph" w:customStyle="1" w:styleId="p33">
    <w:name w:val="p33"/>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26">
    <w:name w:val="p26"/>
    <w:basedOn w:val="Normal"/>
    <w:rsid w:val="00A45EEC"/>
    <w:pPr>
      <w:widowControl w:val="0"/>
      <w:tabs>
        <w:tab w:val="left" w:pos="0"/>
      </w:tabs>
      <w:spacing w:line="240" w:lineRule="atLeast"/>
      <w:ind w:firstLine="720"/>
    </w:pPr>
    <w:rPr>
      <w:rFonts w:ascii="Chicago" w:hAnsi="Chicago"/>
      <w:snapToGrid w:val="0"/>
      <w:szCs w:val="20"/>
      <w:lang w:val="en-US" w:eastAsia="en-US"/>
    </w:rPr>
  </w:style>
  <w:style w:type="paragraph" w:customStyle="1" w:styleId="p17">
    <w:name w:val="p17"/>
    <w:basedOn w:val="Normal"/>
    <w:rsid w:val="00A45EEC"/>
    <w:pPr>
      <w:widowControl w:val="0"/>
      <w:tabs>
        <w:tab w:val="left" w:pos="720"/>
      </w:tabs>
      <w:spacing w:line="240" w:lineRule="atLeast"/>
      <w:jc w:val="both"/>
    </w:pPr>
    <w:rPr>
      <w:rFonts w:ascii="Chicago" w:hAnsi="Chicago"/>
      <w:snapToGrid w:val="0"/>
      <w:szCs w:val="20"/>
      <w:lang w:val="en-US" w:eastAsia="en-US"/>
    </w:rPr>
  </w:style>
  <w:style w:type="paragraph" w:customStyle="1" w:styleId="p46">
    <w:name w:val="p46"/>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35">
    <w:name w:val="p35"/>
    <w:basedOn w:val="Normal"/>
    <w:rsid w:val="00A45EEC"/>
    <w:pPr>
      <w:widowControl w:val="0"/>
      <w:tabs>
        <w:tab w:val="left" w:pos="720"/>
      </w:tabs>
      <w:spacing w:line="360" w:lineRule="atLeast"/>
    </w:pPr>
    <w:rPr>
      <w:rFonts w:ascii="Chicago" w:hAnsi="Chicago"/>
      <w:snapToGrid w:val="0"/>
      <w:szCs w:val="20"/>
      <w:lang w:val="en-US" w:eastAsia="en-US"/>
    </w:rPr>
  </w:style>
  <w:style w:type="paragraph" w:customStyle="1" w:styleId="p51">
    <w:name w:val="p51"/>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54">
    <w:name w:val="p5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23">
    <w:name w:val="p23"/>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En-ttetitre-chapitre">
    <w:name w:val="En-tête titre-chapitre"/>
    <w:basedOn w:val="Cabealho"/>
    <w:rsid w:val="00A45EEC"/>
    <w:pPr>
      <w:widowControl w:val="0"/>
      <w:pBdr>
        <w:bottom w:val="single" w:sz="18" w:space="4" w:color="auto"/>
      </w:pBdr>
      <w:tabs>
        <w:tab w:val="clear" w:pos="4536"/>
        <w:tab w:val="clear" w:pos="9072"/>
      </w:tabs>
      <w:spacing w:after="0" w:line="240" w:lineRule="auto"/>
      <w:ind w:left="-992" w:right="1134" w:firstLine="851"/>
      <w:jc w:val="right"/>
    </w:pPr>
    <w:rPr>
      <w:rFonts w:ascii="Arial Narrow" w:eastAsia="Times New Roman" w:hAnsi="Arial Narrow"/>
      <w:b/>
      <w:smallCaps/>
      <w:sz w:val="28"/>
    </w:rPr>
  </w:style>
  <w:style w:type="paragraph" w:styleId="Listacommarcas3">
    <w:name w:val="List Bullet 3"/>
    <w:basedOn w:val="Normal"/>
    <w:autoRedefine/>
    <w:semiHidden/>
    <w:rsid w:val="00490E6E"/>
    <w:pPr>
      <w:numPr>
        <w:numId w:val="43"/>
      </w:numPr>
    </w:pPr>
    <w:rPr>
      <w:b/>
    </w:rPr>
  </w:style>
  <w:style w:type="paragraph" w:styleId="Listanumerada2">
    <w:name w:val="List Number 2"/>
    <w:basedOn w:val="Normal"/>
    <w:semiHidden/>
    <w:rsid w:val="00A45EEC"/>
    <w:pPr>
      <w:numPr>
        <w:numId w:val="15"/>
      </w:numPr>
      <w:tabs>
        <w:tab w:val="num" w:pos="1080"/>
      </w:tabs>
      <w:spacing w:before="120" w:after="120" w:line="300" w:lineRule="auto"/>
      <w:ind w:left="1080"/>
      <w:jc w:val="both"/>
    </w:pPr>
    <w:rPr>
      <w:rFonts w:ascii="Arial" w:eastAsia="Calibri" w:hAnsi="Arial"/>
      <w:sz w:val="20"/>
      <w:lang w:val="en-GB" w:eastAsia="en-US"/>
    </w:rPr>
  </w:style>
  <w:style w:type="paragraph" w:customStyle="1" w:styleId="AATitre3">
    <w:name w:val="AA Titre 3"/>
    <w:basedOn w:val="Normal"/>
    <w:rsid w:val="00A45EEC"/>
    <w:pPr>
      <w:numPr>
        <w:numId w:val="16"/>
      </w:numPr>
      <w:suppressAutoHyphens/>
      <w:spacing w:before="120" w:after="120"/>
      <w:jc w:val="both"/>
    </w:pPr>
    <w:rPr>
      <w:sz w:val="22"/>
      <w:szCs w:val="20"/>
      <w:lang w:eastAsia="ar-SA"/>
    </w:rPr>
  </w:style>
  <w:style w:type="paragraph" w:customStyle="1" w:styleId="ListAlpha2">
    <w:name w:val="List Alpha 2"/>
    <w:basedOn w:val="Normal"/>
    <w:next w:val="Normal"/>
    <w:rsid w:val="00A45EEC"/>
    <w:pPr>
      <w:numPr>
        <w:ilvl w:val="1"/>
        <w:numId w:val="17"/>
      </w:numPr>
      <w:tabs>
        <w:tab w:val="left" w:pos="50"/>
      </w:tabs>
      <w:spacing w:after="200" w:line="288" w:lineRule="auto"/>
      <w:jc w:val="both"/>
    </w:pPr>
    <w:rPr>
      <w:rFonts w:ascii="CG Times" w:hAnsi="CG Times"/>
      <w:color w:val="000000"/>
      <w:sz w:val="22"/>
      <w:szCs w:val="22"/>
      <w:lang w:val="en-GB"/>
    </w:rPr>
  </w:style>
  <w:style w:type="paragraph" w:customStyle="1" w:styleId="ListAlpha3">
    <w:name w:val="List Alpha 3"/>
    <w:basedOn w:val="Normal"/>
    <w:next w:val="Normal"/>
    <w:rsid w:val="00A45EEC"/>
    <w:pPr>
      <w:numPr>
        <w:numId w:val="17"/>
      </w:numPr>
      <w:tabs>
        <w:tab w:val="left" w:pos="68"/>
      </w:tabs>
      <w:spacing w:after="200" w:line="288" w:lineRule="auto"/>
      <w:jc w:val="both"/>
    </w:pPr>
    <w:rPr>
      <w:rFonts w:ascii="CG Times" w:hAnsi="CG Times"/>
      <w:color w:val="000000"/>
      <w:sz w:val="22"/>
      <w:szCs w:val="22"/>
      <w:lang w:val="en-GB"/>
    </w:rPr>
  </w:style>
  <w:style w:type="paragraph" w:customStyle="1" w:styleId="LISTALPHACAPS2">
    <w:name w:val="LIST ALPHA CAPS 2"/>
    <w:basedOn w:val="Normal"/>
    <w:next w:val="Normal"/>
    <w:rsid w:val="00A45EEC"/>
    <w:pPr>
      <w:numPr>
        <w:ilvl w:val="2"/>
        <w:numId w:val="17"/>
      </w:numPr>
      <w:tabs>
        <w:tab w:val="left" w:pos="50"/>
      </w:tabs>
      <w:spacing w:after="200" w:line="288" w:lineRule="auto"/>
      <w:jc w:val="both"/>
    </w:pPr>
    <w:rPr>
      <w:rFonts w:ascii="CG Times" w:hAnsi="CG Times"/>
      <w:color w:val="000000"/>
      <w:sz w:val="22"/>
      <w:szCs w:val="22"/>
      <w:lang w:val="en-GB"/>
    </w:rPr>
  </w:style>
  <w:style w:type="character" w:customStyle="1" w:styleId="NotedebasdepageCar2">
    <w:name w:val="Note de bas de page Car2"/>
    <w:locked/>
    <w:rsid w:val="00A45EEC"/>
    <w:rPr>
      <w:lang w:val="en-US" w:eastAsia="en-US"/>
    </w:rPr>
  </w:style>
  <w:style w:type="paragraph" w:customStyle="1" w:styleId="Paragraphedeliste2">
    <w:name w:val="Paragraphe de liste2"/>
    <w:basedOn w:val="Normal"/>
    <w:qFormat/>
    <w:rsid w:val="00A45EEC"/>
    <w:pPr>
      <w:ind w:left="720"/>
    </w:pPr>
    <w:rPr>
      <w:lang w:val="en-US" w:eastAsia="en-US"/>
    </w:rPr>
  </w:style>
  <w:style w:type="paragraph" w:customStyle="1" w:styleId="En-ttedetabledesmatires11">
    <w:name w:val="En-tête de table des matières11"/>
    <w:basedOn w:val="Cabealho1"/>
    <w:next w:val="Normal"/>
    <w:unhideWhenUsed/>
    <w:qFormat/>
    <w:rsid w:val="00A45EEC"/>
    <w:pPr>
      <w:keepLines/>
      <w:numPr>
        <w:numId w:val="0"/>
      </w:numPr>
      <w:spacing w:before="480" w:after="0" w:line="276" w:lineRule="auto"/>
      <w:outlineLvl w:val="9"/>
    </w:pPr>
    <w:rPr>
      <w:color w:val="365F91"/>
      <w:kern w:val="0"/>
      <w:sz w:val="28"/>
      <w:szCs w:val="28"/>
      <w:lang w:val="en-US" w:eastAsia="en-US"/>
    </w:rPr>
  </w:style>
  <w:style w:type="paragraph" w:customStyle="1" w:styleId="BodyText21">
    <w:name w:val="Body Text 21"/>
    <w:basedOn w:val="Normal"/>
    <w:rsid w:val="00A45EEC"/>
    <w:rPr>
      <w:kern w:val="24"/>
      <w:sz w:val="22"/>
      <w:szCs w:val="20"/>
      <w:lang w:val="en-US" w:eastAsia="en-US"/>
    </w:rPr>
  </w:style>
  <w:style w:type="paragraph" w:customStyle="1" w:styleId="IanBodytext">
    <w:name w:val="Ian Body text"/>
    <w:basedOn w:val="Normal"/>
    <w:rsid w:val="00A45EEC"/>
    <w:pPr>
      <w:widowControl w:val="0"/>
      <w:tabs>
        <w:tab w:val="left" w:pos="567"/>
        <w:tab w:val="left" w:pos="1134"/>
        <w:tab w:val="left" w:pos="1701"/>
        <w:tab w:val="left" w:pos="2268"/>
        <w:tab w:val="left" w:pos="2835"/>
        <w:tab w:val="right" w:pos="9639"/>
      </w:tabs>
      <w:spacing w:before="120" w:after="120"/>
      <w:jc w:val="both"/>
    </w:pPr>
    <w:rPr>
      <w:rFonts w:ascii="Arial" w:hAnsi="Arial"/>
      <w:sz w:val="22"/>
      <w:lang w:val="en-AU" w:eastAsia="en-US"/>
    </w:rPr>
  </w:style>
  <w:style w:type="paragraph" w:customStyle="1" w:styleId="A1-Heading20">
    <w:name w:val="A1-Heading 2"/>
    <w:basedOn w:val="Cabealho2"/>
    <w:next w:val="Normal"/>
    <w:rsid w:val="00A45EEC"/>
    <w:pPr>
      <w:keepNext w:val="0"/>
      <w:numPr>
        <w:ilvl w:val="0"/>
        <w:numId w:val="0"/>
      </w:numPr>
      <w:spacing w:before="0" w:after="200"/>
      <w:ind w:left="720" w:hanging="720"/>
      <w:contextualSpacing/>
      <w:jc w:val="center"/>
    </w:pPr>
    <w:rPr>
      <w:rFonts w:ascii="Times New Roman" w:hAnsi="Times New Roman"/>
      <w:i w:val="0"/>
      <w:iCs w:val="0"/>
      <w:smallCaps/>
      <w:szCs w:val="24"/>
      <w:lang w:val="en-US" w:eastAsia="en-US"/>
    </w:rPr>
  </w:style>
  <w:style w:type="paragraph" w:customStyle="1" w:styleId="Section2-Heading1">
    <w:name w:val="Section 2 - Heading 1"/>
    <w:basedOn w:val="Normal"/>
    <w:rsid w:val="00A45EEC"/>
    <w:pPr>
      <w:tabs>
        <w:tab w:val="left" w:pos="360"/>
      </w:tabs>
      <w:spacing w:after="200"/>
      <w:ind w:left="360" w:hanging="360"/>
    </w:pPr>
    <w:rPr>
      <w:b/>
      <w:lang w:val="en-GB" w:eastAsia="en-US"/>
    </w:rPr>
  </w:style>
  <w:style w:type="paragraph" w:customStyle="1" w:styleId="Section2-Heading2">
    <w:name w:val="Section 2 - Heading 2"/>
    <w:basedOn w:val="Normal"/>
    <w:rsid w:val="00A45EEC"/>
    <w:pPr>
      <w:spacing w:after="200"/>
      <w:ind w:left="360"/>
    </w:pPr>
    <w:rPr>
      <w:b/>
      <w:lang w:val="en-GB" w:eastAsia="en-US"/>
    </w:rPr>
  </w:style>
  <w:style w:type="paragraph" w:customStyle="1" w:styleId="Section3-Heading2">
    <w:name w:val="Section 3 - Heading 2"/>
    <w:basedOn w:val="Normal"/>
    <w:next w:val="Normal"/>
    <w:rsid w:val="00A45EEC"/>
    <w:pPr>
      <w:spacing w:after="200"/>
      <w:jc w:val="center"/>
    </w:pPr>
    <w:rPr>
      <w:b/>
      <w:sz w:val="28"/>
      <w:lang w:val="en-US" w:eastAsia="en-US"/>
    </w:rPr>
  </w:style>
  <w:style w:type="paragraph" w:customStyle="1" w:styleId="c5">
    <w:name w:val="c5"/>
    <w:basedOn w:val="Normal"/>
    <w:rsid w:val="00A45EEC"/>
    <w:pPr>
      <w:widowControl w:val="0"/>
      <w:spacing w:line="240" w:lineRule="atLeast"/>
      <w:jc w:val="center"/>
    </w:pPr>
    <w:rPr>
      <w:rFonts w:ascii="Chicago" w:hAnsi="Chicago"/>
      <w:snapToGrid w:val="0"/>
      <w:szCs w:val="20"/>
      <w:lang w:val="en-US" w:eastAsia="en-US"/>
    </w:rPr>
  </w:style>
  <w:style w:type="paragraph" w:customStyle="1" w:styleId="p6">
    <w:name w:val="p6"/>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8">
    <w:name w:val="p8"/>
    <w:basedOn w:val="Normal"/>
    <w:rsid w:val="00A45EEC"/>
    <w:pPr>
      <w:widowControl w:val="0"/>
      <w:tabs>
        <w:tab w:val="left" w:pos="0"/>
        <w:tab w:val="left" w:pos="920"/>
      </w:tabs>
      <w:spacing w:line="240" w:lineRule="atLeast"/>
      <w:ind w:left="200" w:firstLine="720"/>
    </w:pPr>
    <w:rPr>
      <w:rFonts w:ascii="Chicago" w:hAnsi="Chicago"/>
      <w:snapToGrid w:val="0"/>
      <w:szCs w:val="20"/>
      <w:lang w:val="en-US" w:eastAsia="en-US"/>
    </w:rPr>
  </w:style>
  <w:style w:type="paragraph" w:customStyle="1" w:styleId="p11">
    <w:name w:val="p11"/>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p16">
    <w:name w:val="p16"/>
    <w:basedOn w:val="Normal"/>
    <w:rsid w:val="00A45EEC"/>
    <w:pPr>
      <w:widowControl w:val="0"/>
      <w:tabs>
        <w:tab w:val="left" w:pos="0"/>
      </w:tabs>
      <w:spacing w:line="240" w:lineRule="atLeast"/>
      <w:ind w:firstLine="720"/>
      <w:jc w:val="both"/>
    </w:pPr>
    <w:rPr>
      <w:rFonts w:ascii="Chicago" w:hAnsi="Chicago"/>
      <w:snapToGrid w:val="0"/>
      <w:szCs w:val="20"/>
      <w:lang w:val="en-US" w:eastAsia="en-US"/>
    </w:rPr>
  </w:style>
  <w:style w:type="paragraph" w:customStyle="1" w:styleId="p32">
    <w:name w:val="p32"/>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4">
    <w:name w:val="p34"/>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7">
    <w:name w:val="p37"/>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40">
    <w:name w:val="p40"/>
    <w:basedOn w:val="Normal"/>
    <w:rsid w:val="00A45EEC"/>
    <w:pPr>
      <w:widowControl w:val="0"/>
      <w:tabs>
        <w:tab w:val="left" w:pos="0"/>
      </w:tabs>
      <w:spacing w:line="240" w:lineRule="atLeast"/>
      <w:ind w:left="4160" w:hanging="1780"/>
    </w:pPr>
    <w:rPr>
      <w:rFonts w:ascii="Chicago" w:hAnsi="Chicago"/>
      <w:snapToGrid w:val="0"/>
      <w:szCs w:val="20"/>
      <w:lang w:val="en-US" w:eastAsia="en-US"/>
    </w:rPr>
  </w:style>
  <w:style w:type="paragraph" w:customStyle="1" w:styleId="p42">
    <w:name w:val="p42"/>
    <w:basedOn w:val="Normal"/>
    <w:rsid w:val="00A45EEC"/>
    <w:pPr>
      <w:widowControl w:val="0"/>
      <w:tabs>
        <w:tab w:val="left" w:pos="0"/>
        <w:tab w:val="left" w:pos="900"/>
      </w:tabs>
      <w:spacing w:line="360" w:lineRule="atLeast"/>
      <w:ind w:firstLine="180"/>
    </w:pPr>
    <w:rPr>
      <w:rFonts w:ascii="Chicago" w:hAnsi="Chicago"/>
      <w:snapToGrid w:val="0"/>
      <w:szCs w:val="20"/>
      <w:lang w:val="en-US" w:eastAsia="en-US"/>
    </w:rPr>
  </w:style>
  <w:style w:type="paragraph" w:customStyle="1" w:styleId="p12">
    <w:name w:val="p12"/>
    <w:basedOn w:val="Normal"/>
    <w:rsid w:val="00A45EEC"/>
    <w:pPr>
      <w:widowControl w:val="0"/>
      <w:tabs>
        <w:tab w:val="left" w:pos="720"/>
      </w:tabs>
      <w:spacing w:line="240" w:lineRule="atLeast"/>
    </w:pPr>
    <w:rPr>
      <w:rFonts w:ascii="Chicago" w:hAnsi="Chicago"/>
      <w:snapToGrid w:val="0"/>
      <w:szCs w:val="20"/>
      <w:lang w:val="en-US" w:eastAsia="en-US"/>
    </w:rPr>
  </w:style>
  <w:style w:type="paragraph" w:customStyle="1" w:styleId="p36">
    <w:name w:val="p36"/>
    <w:basedOn w:val="Normal"/>
    <w:rsid w:val="00A45EEC"/>
    <w:pPr>
      <w:widowControl w:val="0"/>
      <w:tabs>
        <w:tab w:val="left" w:pos="720"/>
      </w:tabs>
      <w:spacing w:line="240" w:lineRule="atLeast"/>
      <w:jc w:val="both"/>
    </w:pPr>
    <w:rPr>
      <w:rFonts w:ascii="Chicago" w:hAnsi="Chicago"/>
      <w:snapToGrid w:val="0"/>
      <w:szCs w:val="20"/>
      <w:lang w:val="en-US" w:eastAsia="en-US"/>
    </w:rPr>
  </w:style>
  <w:style w:type="paragraph" w:customStyle="1" w:styleId="p48">
    <w:name w:val="p48"/>
    <w:basedOn w:val="Normal"/>
    <w:rsid w:val="00A45EEC"/>
    <w:pPr>
      <w:widowControl w:val="0"/>
      <w:spacing w:line="240" w:lineRule="atLeast"/>
      <w:ind w:left="720" w:hanging="720"/>
    </w:pPr>
    <w:rPr>
      <w:rFonts w:ascii="Chicago" w:hAnsi="Chicago"/>
      <w:snapToGrid w:val="0"/>
      <w:szCs w:val="20"/>
      <w:lang w:val="en-US" w:eastAsia="en-US"/>
    </w:rPr>
  </w:style>
  <w:style w:type="paragraph" w:customStyle="1" w:styleId="ArialBodyTextCharCharCharChar">
    <w:name w:val="Arial Body Text Char Char Char Char"/>
    <w:basedOn w:val="Normal"/>
    <w:rsid w:val="00A45EEC"/>
    <w:pPr>
      <w:spacing w:before="120" w:after="60"/>
      <w:ind w:left="1418"/>
      <w:jc w:val="both"/>
    </w:pPr>
    <w:rPr>
      <w:rFonts w:ascii="Arial" w:hAnsi="Arial" w:cs="Arial"/>
      <w:sz w:val="22"/>
      <w:szCs w:val="22"/>
      <w:lang w:val="de-DE" w:eastAsia="de-CH"/>
    </w:rPr>
  </w:style>
  <w:style w:type="paragraph" w:customStyle="1" w:styleId="MainParanoChapter">
    <w:name w:val="Main Para no Chapter #"/>
    <w:basedOn w:val="Normal"/>
    <w:rsid w:val="00A45EEC"/>
    <w:pPr>
      <w:numPr>
        <w:ilvl w:val="1"/>
        <w:numId w:val="18"/>
      </w:numPr>
      <w:spacing w:after="240"/>
      <w:outlineLvl w:val="1"/>
    </w:pPr>
    <w:rPr>
      <w:lang w:val="en-US" w:eastAsia="en-US"/>
    </w:rPr>
  </w:style>
  <w:style w:type="paragraph" w:customStyle="1" w:styleId="Sub-Para1underX">
    <w:name w:val="Sub-Para 1 under X."/>
    <w:basedOn w:val="Normal"/>
    <w:rsid w:val="00A45EEC"/>
    <w:pPr>
      <w:numPr>
        <w:ilvl w:val="2"/>
        <w:numId w:val="20"/>
      </w:numPr>
      <w:spacing w:after="240"/>
      <w:outlineLvl w:val="2"/>
    </w:pPr>
    <w:rPr>
      <w:lang w:val="en-US" w:eastAsia="en-US"/>
    </w:rPr>
  </w:style>
  <w:style w:type="paragraph" w:customStyle="1" w:styleId="Sub-Para2underX">
    <w:name w:val="Sub-Para 2 under X."/>
    <w:basedOn w:val="Normal"/>
    <w:rsid w:val="00A45EEC"/>
    <w:pPr>
      <w:numPr>
        <w:ilvl w:val="3"/>
        <w:numId w:val="20"/>
      </w:numPr>
      <w:spacing w:after="240"/>
      <w:outlineLvl w:val="3"/>
    </w:pPr>
    <w:rPr>
      <w:lang w:val="en-US" w:eastAsia="en-US"/>
    </w:rPr>
  </w:style>
  <w:style w:type="paragraph" w:customStyle="1" w:styleId="Sub-Para3underX">
    <w:name w:val="Sub-Para 3 under X."/>
    <w:basedOn w:val="Normal"/>
    <w:rsid w:val="00A45EEC"/>
    <w:pPr>
      <w:numPr>
        <w:ilvl w:val="4"/>
        <w:numId w:val="20"/>
      </w:numPr>
      <w:spacing w:after="240"/>
      <w:outlineLvl w:val="4"/>
    </w:pPr>
    <w:rPr>
      <w:lang w:val="en-US" w:eastAsia="en-US"/>
    </w:rPr>
  </w:style>
  <w:style w:type="paragraph" w:customStyle="1" w:styleId="Sub-Para4underX">
    <w:name w:val="Sub-Para 4 under X."/>
    <w:basedOn w:val="Normal"/>
    <w:rsid w:val="00A45EEC"/>
    <w:pPr>
      <w:numPr>
        <w:ilvl w:val="5"/>
        <w:numId w:val="20"/>
      </w:numPr>
      <w:spacing w:after="240"/>
      <w:outlineLvl w:val="5"/>
    </w:pPr>
    <w:rPr>
      <w:lang w:val="en-US" w:eastAsia="en-US"/>
    </w:rPr>
  </w:style>
  <w:style w:type="paragraph" w:customStyle="1" w:styleId="StyleMainParanoChapter11ptBold">
    <w:name w:val="Style Main Para no Chapter # + 11 pt Bold"/>
    <w:basedOn w:val="MainParanoChapter"/>
    <w:rsid w:val="00A45EEC"/>
    <w:pPr>
      <w:numPr>
        <w:ilvl w:val="0"/>
        <w:numId w:val="20"/>
      </w:numPr>
      <w:tabs>
        <w:tab w:val="clear" w:pos="360"/>
        <w:tab w:val="num" w:pos="1440"/>
      </w:tabs>
      <w:ind w:left="720" w:hanging="720"/>
    </w:pPr>
    <w:rPr>
      <w:b/>
      <w:bCs/>
      <w:spacing w:val="-2"/>
      <w:sz w:val="22"/>
    </w:rPr>
  </w:style>
  <w:style w:type="paragraph" w:customStyle="1" w:styleId="ModelNrmlSingle">
    <w:name w:val="ModelNrmlSingle"/>
    <w:basedOn w:val="Normal"/>
    <w:rsid w:val="00A45EEC"/>
    <w:pPr>
      <w:spacing w:after="240"/>
      <w:ind w:firstLine="720"/>
      <w:jc w:val="both"/>
    </w:pPr>
    <w:rPr>
      <w:sz w:val="22"/>
      <w:szCs w:val="20"/>
      <w:lang w:val="en-US" w:eastAsia="en-US"/>
    </w:rPr>
  </w:style>
  <w:style w:type="paragraph" w:customStyle="1" w:styleId="Paragraphedeliste11">
    <w:name w:val="Paragraphe de liste11"/>
    <w:basedOn w:val="Normal"/>
    <w:qFormat/>
    <w:rsid w:val="00A45EEC"/>
    <w:pPr>
      <w:ind w:left="720"/>
    </w:pPr>
  </w:style>
  <w:style w:type="paragraph" w:customStyle="1" w:styleId="Bullet">
    <w:name w:val="Bullet"/>
    <w:basedOn w:val="Normal"/>
    <w:rsid w:val="00A45EEC"/>
    <w:pPr>
      <w:numPr>
        <w:numId w:val="19"/>
      </w:numPr>
    </w:pPr>
    <w:rPr>
      <w:lang w:val="fr-CA"/>
    </w:rPr>
  </w:style>
  <w:style w:type="paragraph" w:customStyle="1" w:styleId="ParaWB">
    <w:name w:val="Para WB"/>
    <w:basedOn w:val="Normal"/>
    <w:rsid w:val="00A45EEC"/>
    <w:pPr>
      <w:numPr>
        <w:numId w:val="8"/>
      </w:numPr>
      <w:spacing w:before="120" w:after="120"/>
      <w:jc w:val="both"/>
    </w:pPr>
  </w:style>
  <w:style w:type="paragraph" w:styleId="ndiceremissivo1">
    <w:name w:val="index 1"/>
    <w:basedOn w:val="Normal"/>
    <w:next w:val="Normal"/>
    <w:autoRedefine/>
    <w:semiHidden/>
    <w:rsid w:val="00A45EEC"/>
    <w:pPr>
      <w:numPr>
        <w:numId w:val="10"/>
      </w:numPr>
      <w:ind w:left="1980" w:hanging="540"/>
      <w:jc w:val="both"/>
    </w:pPr>
  </w:style>
  <w:style w:type="paragraph" w:customStyle="1" w:styleId="Outline4">
    <w:name w:val="Outline4"/>
    <w:basedOn w:val="Normal"/>
    <w:rsid w:val="00A45EEC"/>
    <w:pPr>
      <w:numPr>
        <w:ilvl w:val="3"/>
        <w:numId w:val="9"/>
      </w:numPr>
      <w:tabs>
        <w:tab w:val="num" w:pos="1872"/>
      </w:tabs>
      <w:spacing w:before="240"/>
      <w:ind w:left="1872" w:hanging="504"/>
    </w:pPr>
    <w:rPr>
      <w:kern w:val="28"/>
      <w:lang w:val="en-US"/>
    </w:rPr>
  </w:style>
  <w:style w:type="paragraph" w:customStyle="1" w:styleId="titre4">
    <w:name w:val="titre 4"/>
    <w:basedOn w:val="Normal"/>
    <w:autoRedefine/>
    <w:rsid w:val="00A45EEC"/>
    <w:pPr>
      <w:numPr>
        <w:ilvl w:val="2"/>
        <w:numId w:val="12"/>
      </w:numPr>
      <w:spacing w:before="120" w:after="120"/>
      <w:jc w:val="both"/>
    </w:pPr>
    <w:rPr>
      <w:rFonts w:ascii="Century Schoolbook" w:hAnsi="Century Schoolbook"/>
      <w:b/>
      <w:bCs/>
    </w:rPr>
  </w:style>
  <w:style w:type="paragraph" w:customStyle="1" w:styleId="Outline1">
    <w:name w:val="Outline1"/>
    <w:basedOn w:val="Outline"/>
    <w:next w:val="Outline2"/>
    <w:rsid w:val="00A45EEC"/>
    <w:pPr>
      <w:keepNext/>
    </w:pPr>
    <w:rPr>
      <w:sz w:val="22"/>
      <w:szCs w:val="22"/>
      <w:lang w:val="fr-CA" w:eastAsia="fr-FR"/>
    </w:rPr>
  </w:style>
  <w:style w:type="paragraph" w:customStyle="1" w:styleId="Outline2">
    <w:name w:val="Outline2"/>
    <w:basedOn w:val="Normal"/>
    <w:rsid w:val="00A45EEC"/>
    <w:pPr>
      <w:numPr>
        <w:ilvl w:val="1"/>
        <w:numId w:val="9"/>
      </w:numPr>
      <w:tabs>
        <w:tab w:val="clear" w:pos="1080"/>
        <w:tab w:val="num" w:pos="864"/>
      </w:tabs>
      <w:spacing w:before="240"/>
      <w:ind w:left="864" w:hanging="504"/>
    </w:pPr>
    <w:rPr>
      <w:kern w:val="28"/>
      <w:sz w:val="22"/>
      <w:szCs w:val="22"/>
      <w:lang w:val="fr-CA"/>
    </w:rPr>
  </w:style>
  <w:style w:type="paragraph" w:customStyle="1" w:styleId="Outline3">
    <w:name w:val="Outline3"/>
    <w:basedOn w:val="Normal"/>
    <w:rsid w:val="00A45EEC"/>
    <w:pPr>
      <w:numPr>
        <w:ilvl w:val="2"/>
        <w:numId w:val="9"/>
      </w:numPr>
      <w:tabs>
        <w:tab w:val="num" w:pos="1368"/>
      </w:tabs>
      <w:spacing w:before="240"/>
      <w:ind w:left="1368" w:hanging="504"/>
    </w:pPr>
    <w:rPr>
      <w:kern w:val="28"/>
      <w:sz w:val="22"/>
      <w:szCs w:val="22"/>
      <w:lang w:val="fr-CA"/>
    </w:rPr>
  </w:style>
  <w:style w:type="paragraph" w:customStyle="1" w:styleId="TextBox">
    <w:name w:val="Text Box"/>
    <w:basedOn w:val="Normal"/>
    <w:rsid w:val="00A45EEC"/>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sz w:val="20"/>
      <w:szCs w:val="20"/>
      <w:lang w:eastAsia="en-US"/>
    </w:rPr>
  </w:style>
  <w:style w:type="paragraph" w:customStyle="1" w:styleId="TextBoxdots">
    <w:name w:val="Text Box (dots)"/>
    <w:basedOn w:val="Normal"/>
    <w:rsid w:val="00A45EEC"/>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szCs w:val="20"/>
      <w:lang w:eastAsia="en-US"/>
    </w:rPr>
  </w:style>
  <w:style w:type="paragraph" w:customStyle="1" w:styleId="TextBoxUnframed">
    <w:name w:val="Text Box Unframed"/>
    <w:basedOn w:val="Normal"/>
    <w:rsid w:val="00A45EEC"/>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character" w:customStyle="1" w:styleId="TextodemacroCarcter">
    <w:name w:val="Texto de macro Carácter"/>
    <w:basedOn w:val="Tipodeletrapredefinidodopargrafo"/>
    <w:link w:val="Textodemacro"/>
    <w:semiHidden/>
    <w:rsid w:val="00A45EEC"/>
    <w:rPr>
      <w:rFonts w:ascii="Times New Roman" w:eastAsia="Times New Roman" w:hAnsi="Times New Roman" w:cs="Times New Roman"/>
      <w:sz w:val="24"/>
      <w:szCs w:val="20"/>
      <w:lang w:val="en-US"/>
    </w:rPr>
  </w:style>
  <w:style w:type="paragraph" w:styleId="Textodemacro">
    <w:name w:val="macro"/>
    <w:link w:val="TextodemacroCarcter"/>
    <w:semiHidden/>
    <w:rsid w:val="00A45EE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0"/>
      <w:lang w:val="en-US"/>
    </w:rPr>
  </w:style>
  <w:style w:type="character" w:customStyle="1" w:styleId="TextedemacroCar1">
    <w:name w:val="Texte de macro Car1"/>
    <w:basedOn w:val="Tipodeletrapredefinidodopargrafo"/>
    <w:uiPriority w:val="99"/>
    <w:semiHidden/>
    <w:rsid w:val="00A45EEC"/>
    <w:rPr>
      <w:rFonts w:ascii="Consolas" w:eastAsia="Times New Roman" w:hAnsi="Consolas" w:cs="Times New Roman"/>
      <w:sz w:val="20"/>
      <w:szCs w:val="20"/>
      <w:lang w:eastAsia="fr-FR"/>
    </w:rPr>
  </w:style>
  <w:style w:type="paragraph" w:customStyle="1" w:styleId="BoxCaption">
    <w:name w:val="Box Caption"/>
    <w:basedOn w:val="TextBox"/>
    <w:rsid w:val="00A45EEC"/>
    <w:pPr>
      <w:framePr w:wrap="auto"/>
    </w:pPr>
    <w:rPr>
      <w:rFonts w:ascii="Arial" w:hAnsi="Arial"/>
      <w:b/>
    </w:rPr>
  </w:style>
  <w:style w:type="paragraph" w:customStyle="1" w:styleId="CaptionBox">
    <w:name w:val="Caption Box"/>
    <w:basedOn w:val="BoxCaption"/>
    <w:rsid w:val="00A45EEC"/>
    <w:pPr>
      <w:framePr w:wrap="auto"/>
    </w:pPr>
  </w:style>
  <w:style w:type="paragraph" w:customStyle="1" w:styleId="TextBoxIndent">
    <w:name w:val="Text Box Indent"/>
    <w:basedOn w:val="TextBox"/>
    <w:rsid w:val="00A45EEC"/>
    <w:pPr>
      <w:framePr w:wrap="auto"/>
      <w:tabs>
        <w:tab w:val="left" w:pos="630"/>
      </w:tabs>
      <w:ind w:left="1080" w:hanging="792"/>
    </w:pPr>
  </w:style>
  <w:style w:type="character" w:customStyle="1" w:styleId="NotedebasdepageCar1">
    <w:name w:val="Note de bas de page Car1"/>
    <w:basedOn w:val="Tipodeletrapredefinidodopargrafo"/>
    <w:uiPriority w:val="99"/>
    <w:rsid w:val="00A45EEC"/>
    <w:rPr>
      <w:rFonts w:ascii="Times New Roman" w:eastAsia="Times New Roman" w:hAnsi="Times New Roman" w:cs="Times New Roman"/>
      <w:sz w:val="20"/>
      <w:szCs w:val="20"/>
    </w:rPr>
  </w:style>
  <w:style w:type="character" w:customStyle="1" w:styleId="CorpsdetexteCar1">
    <w:name w:val="Corps de texte Car1"/>
    <w:aliases w:val="Corps de texte Car Car Car Car1,Corps de texte Car Car Car Car Car Car1"/>
    <w:rsid w:val="00A45EEC"/>
    <w:rPr>
      <w:rFonts w:ascii="Times New Roman" w:eastAsia="Times New Roman" w:hAnsi="Times New Roman" w:cs="Times New Roman"/>
      <w:sz w:val="24"/>
      <w:szCs w:val="20"/>
    </w:rPr>
  </w:style>
  <w:style w:type="paragraph" w:customStyle="1" w:styleId="BodyText31">
    <w:name w:val="Body Text 31"/>
    <w:basedOn w:val="Normal"/>
    <w:rsid w:val="00A45EEC"/>
    <w:pPr>
      <w:suppressAutoHyphens/>
      <w:overflowPunct w:val="0"/>
      <w:autoSpaceDE w:val="0"/>
      <w:autoSpaceDN w:val="0"/>
      <w:adjustRightInd w:val="0"/>
      <w:spacing w:line="100" w:lineRule="atLeast"/>
      <w:jc w:val="both"/>
      <w:textAlignment w:val="baseline"/>
    </w:pPr>
    <w:rPr>
      <w:rFonts w:ascii="Arial" w:eastAsia="Calibri" w:hAnsi="Arial"/>
      <w:kern w:val="1"/>
      <w:szCs w:val="20"/>
    </w:rPr>
  </w:style>
  <w:style w:type="paragraph" w:customStyle="1" w:styleId="western">
    <w:name w:val="western"/>
    <w:basedOn w:val="Normal"/>
    <w:rsid w:val="00A45EEC"/>
    <w:pPr>
      <w:spacing w:before="100" w:beforeAutospacing="1"/>
      <w:jc w:val="both"/>
    </w:pPr>
    <w:rPr>
      <w:rFonts w:ascii="Arial" w:eastAsia="Arial Unicode MS" w:hAnsi="Arial" w:cs="Arial"/>
      <w:color w:val="000000"/>
    </w:rPr>
  </w:style>
  <w:style w:type="character" w:customStyle="1" w:styleId="hps">
    <w:name w:val="hps"/>
    <w:rsid w:val="00A45EEC"/>
  </w:style>
  <w:style w:type="character" w:customStyle="1" w:styleId="atn">
    <w:name w:val="atn"/>
    <w:rsid w:val="00A45EEC"/>
  </w:style>
  <w:style w:type="paragraph" w:customStyle="1" w:styleId="pabid7">
    <w:name w:val="pabid7"/>
    <w:basedOn w:val="Normal"/>
    <w:rsid w:val="00A45EEC"/>
    <w:pPr>
      <w:spacing w:before="100" w:beforeAutospacing="1" w:after="100" w:afterAutospacing="1"/>
    </w:pPr>
    <w:rPr>
      <w:lang w:val="en-US" w:eastAsia="en-US"/>
    </w:rPr>
  </w:style>
  <w:style w:type="character" w:customStyle="1" w:styleId="Titre2Car1">
    <w:name w:val="Titre 2 Car1"/>
    <w:aliases w:val="Paranum Car,Chpt Car,Titolo 2 Car,alec2 Car,STitre 2 Car1,an_Über 2 Car1,Titre secondaire (2) Car1,sous-chapitre Car1,Tend_Überschrift 2 Car1,Titre 2 tamarins Car1,Titre Article Car1,Titre 22 Car1,Kiyombo T2 Car1"/>
    <w:rsid w:val="00A45EEC"/>
    <w:rPr>
      <w:rFonts w:ascii="Times New Roman" w:eastAsia="Times New Roman" w:hAnsi="Times New Roman" w:cs="Times New Roman"/>
      <w:b/>
      <w:sz w:val="24"/>
      <w:szCs w:val="24"/>
      <w:lang w:val="en-GB"/>
    </w:rPr>
  </w:style>
  <w:style w:type="character" w:customStyle="1" w:styleId="Titre6Car1">
    <w:name w:val="Titre 6 Car1"/>
    <w:rsid w:val="00A45EEC"/>
    <w:rPr>
      <w:rFonts w:ascii="Times New Roman" w:eastAsia="Times New Roman" w:hAnsi="Times New Roman" w:cs="Times New Roman"/>
      <w:b/>
      <w:smallCaps/>
      <w:sz w:val="24"/>
      <w:szCs w:val="24"/>
    </w:rPr>
  </w:style>
  <w:style w:type="character" w:customStyle="1" w:styleId="En-tteCar1">
    <w:name w:val="En-tête Car1"/>
    <w:aliases w:val="Kopfzeile Char Char Car1, Char Char Char Car1"/>
    <w:locked/>
    <w:rsid w:val="00A45EEC"/>
    <w:rPr>
      <w:rFonts w:ascii="Times New Roman" w:eastAsia="Times New Roman" w:hAnsi="Times New Roman" w:cs="Times New Roman"/>
      <w:sz w:val="20"/>
      <w:szCs w:val="20"/>
    </w:rPr>
  </w:style>
  <w:style w:type="character" w:customStyle="1" w:styleId="Titre1Car1">
    <w:name w:val="Titre 1 Car1"/>
    <w:aliases w:val=" Main Heading Car,Main Heading Car,TCI 1.  Heading Car,Main Heading 1 Car,Heading 11 Car2,Heading 11 Car Car1,Titre 11 Car1,An_Über 1 Car1,TITRE 1 + Droite :  8 Car1,5 cm Car1,Avant : 25 pt Car1,Après : 12 pt Car1,Haut: (Simp... Car1"/>
    <w:rsid w:val="00A45EEC"/>
    <w:rPr>
      <w:rFonts w:ascii="Times New Roman Bold" w:eastAsia="Times New Roman" w:hAnsi="Times New Roman Bold" w:cs="Times New Roman"/>
      <w:b/>
      <w:sz w:val="32"/>
      <w:szCs w:val="20"/>
    </w:rPr>
  </w:style>
  <w:style w:type="character" w:customStyle="1" w:styleId="Sous-titreCar1">
    <w:name w:val="Sous-titre Car1"/>
    <w:rsid w:val="00A45EEC"/>
    <w:rPr>
      <w:rFonts w:eastAsia="Times New Roman"/>
      <w:sz w:val="24"/>
      <w:szCs w:val="24"/>
    </w:rPr>
  </w:style>
  <w:style w:type="character" w:customStyle="1" w:styleId="PieddepageCar1">
    <w:name w:val="Pied de page Car1"/>
    <w:uiPriority w:val="99"/>
    <w:rsid w:val="00A45EEC"/>
    <w:rPr>
      <w:rFonts w:ascii="Times New Roman" w:eastAsia="Times New Roman" w:hAnsi="Times New Roman" w:cs="Times New Roman"/>
      <w:sz w:val="24"/>
      <w:szCs w:val="20"/>
    </w:rPr>
  </w:style>
  <w:style w:type="paragraph" w:customStyle="1" w:styleId="Style1">
    <w:name w:val="Style1"/>
    <w:basedOn w:val="Cabealho1"/>
    <w:link w:val="Style1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1Char">
    <w:name w:val="Style1 Char"/>
    <w:basedOn w:val="Titre1Car1"/>
    <w:link w:val="Style1"/>
    <w:rsid w:val="00A45EEC"/>
    <w:rPr>
      <w:rFonts w:ascii="Times New Roman Bold" w:eastAsia="Times New Roman" w:hAnsi="Times New Roman Bold" w:cs="Times New Roman"/>
      <w:b/>
      <w:sz w:val="32"/>
      <w:szCs w:val="20"/>
    </w:rPr>
  </w:style>
  <w:style w:type="paragraph" w:customStyle="1" w:styleId="Style2">
    <w:name w:val="Style2"/>
    <w:basedOn w:val="Cabealho1"/>
    <w:link w:val="Style2Char"/>
    <w:qFormat/>
    <w:rsid w:val="00A45EEC"/>
    <w:pPr>
      <w:keepLines/>
      <w:numPr>
        <w:numId w:val="0"/>
      </w:numPr>
      <w:spacing w:after="240"/>
      <w:jc w:val="center"/>
    </w:pPr>
    <w:rPr>
      <w:rFonts w:ascii="Times New Roman Bold" w:hAnsi="Times New Roman Bold"/>
      <w:bCs w:val="0"/>
      <w:kern w:val="0"/>
      <w:sz w:val="28"/>
      <w:szCs w:val="28"/>
      <w:lang w:eastAsia="en-US"/>
    </w:rPr>
  </w:style>
  <w:style w:type="character" w:customStyle="1" w:styleId="Style2Char">
    <w:name w:val="Style2 Char"/>
    <w:link w:val="Style2"/>
    <w:rsid w:val="00A45EEC"/>
    <w:rPr>
      <w:rFonts w:ascii="Times New Roman Bold" w:eastAsia="Times New Roman" w:hAnsi="Times New Roman Bold" w:cs="Times New Roman"/>
      <w:b/>
      <w:sz w:val="28"/>
      <w:szCs w:val="28"/>
    </w:rPr>
  </w:style>
  <w:style w:type="paragraph" w:customStyle="1" w:styleId="Style3">
    <w:name w:val="Style3"/>
    <w:basedOn w:val="Cabealho6"/>
    <w:link w:val="Style3Char"/>
    <w:qFormat/>
    <w:rsid w:val="00A45EEC"/>
    <w:pPr>
      <w:keepNext w:val="0"/>
      <w:keepLines w:val="0"/>
      <w:numPr>
        <w:ilvl w:val="0"/>
        <w:numId w:val="0"/>
      </w:numPr>
      <w:spacing w:before="0" w:line="240" w:lineRule="auto"/>
      <w:ind w:left="1080" w:hanging="1080"/>
      <w:jc w:val="center"/>
    </w:pPr>
    <w:rPr>
      <w:rFonts w:ascii="Times New Roman" w:eastAsia="Times New Roman" w:hAnsi="Times New Roman"/>
      <w:b/>
      <w:i w:val="0"/>
      <w:iCs w:val="0"/>
      <w:smallCaps/>
      <w:color w:val="auto"/>
      <w:sz w:val="24"/>
      <w:szCs w:val="24"/>
      <w:lang w:eastAsia="en-US"/>
    </w:rPr>
  </w:style>
  <w:style w:type="character" w:customStyle="1" w:styleId="Style3Char">
    <w:name w:val="Style3 Char"/>
    <w:basedOn w:val="Titre6Car1"/>
    <w:link w:val="Style3"/>
    <w:rsid w:val="00A45EEC"/>
    <w:rPr>
      <w:rFonts w:ascii="Times New Roman" w:eastAsia="Times New Roman" w:hAnsi="Times New Roman" w:cs="Times New Roman"/>
      <w:b/>
      <w:smallCaps/>
      <w:sz w:val="24"/>
      <w:szCs w:val="24"/>
    </w:rPr>
  </w:style>
  <w:style w:type="paragraph" w:customStyle="1" w:styleId="Style4">
    <w:name w:val="Style4"/>
    <w:basedOn w:val="Cabealho1"/>
    <w:link w:val="Style4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4Char">
    <w:name w:val="Style4 Char"/>
    <w:basedOn w:val="Titre1Car1"/>
    <w:link w:val="Style4"/>
    <w:rsid w:val="00A45EEC"/>
    <w:rPr>
      <w:rFonts w:ascii="Times New Roman Bold" w:eastAsia="Times New Roman" w:hAnsi="Times New Roman Bold" w:cs="Times New Roman"/>
      <w:b/>
      <w:sz w:val="32"/>
      <w:szCs w:val="20"/>
    </w:rPr>
  </w:style>
  <w:style w:type="paragraph" w:customStyle="1" w:styleId="Style5">
    <w:name w:val="Style5"/>
    <w:basedOn w:val="Cabealho1"/>
    <w:link w:val="Style5Char"/>
    <w:qFormat/>
    <w:rsid w:val="00A45EEC"/>
    <w:pPr>
      <w:keepLines/>
      <w:numPr>
        <w:numId w:val="14"/>
      </w:numPr>
      <w:spacing w:after="240"/>
      <w:jc w:val="center"/>
    </w:pPr>
    <w:rPr>
      <w:rFonts w:ascii="Times New Roman Bold" w:hAnsi="Times New Roman Bold"/>
      <w:bCs w:val="0"/>
      <w:kern w:val="0"/>
      <w:szCs w:val="20"/>
      <w:lang w:eastAsia="en-US"/>
    </w:rPr>
  </w:style>
  <w:style w:type="character" w:customStyle="1" w:styleId="Style5Char">
    <w:name w:val="Style5 Char"/>
    <w:basedOn w:val="Titre1Car1"/>
    <w:link w:val="Style5"/>
    <w:rsid w:val="00A45EEC"/>
    <w:rPr>
      <w:rFonts w:ascii="Times New Roman Bold" w:eastAsia="Times New Roman" w:hAnsi="Times New Roman Bold" w:cs="Times New Roman"/>
      <w:b/>
      <w:sz w:val="32"/>
      <w:szCs w:val="20"/>
    </w:rPr>
  </w:style>
  <w:style w:type="paragraph" w:customStyle="1" w:styleId="Style6">
    <w:name w:val="Style6"/>
    <w:basedOn w:val="Cabealho1"/>
    <w:link w:val="Style6Char"/>
    <w:qFormat/>
    <w:rsid w:val="00A45EEC"/>
    <w:pPr>
      <w:keepLines/>
      <w:numPr>
        <w:numId w:val="0"/>
      </w:numPr>
      <w:spacing w:after="240"/>
      <w:jc w:val="center"/>
    </w:pPr>
    <w:rPr>
      <w:rFonts w:ascii="Times New Roman Bold" w:hAnsi="Times New Roman Bold"/>
      <w:bCs w:val="0"/>
      <w:smallCaps/>
      <w:kern w:val="0"/>
      <w:sz w:val="28"/>
      <w:szCs w:val="28"/>
      <w:lang w:eastAsia="en-US"/>
    </w:rPr>
  </w:style>
  <w:style w:type="character" w:customStyle="1" w:styleId="Style6Char">
    <w:name w:val="Style6 Char"/>
    <w:link w:val="Style6"/>
    <w:rsid w:val="00A45EEC"/>
    <w:rPr>
      <w:rFonts w:ascii="Times New Roman Bold" w:eastAsia="Times New Roman" w:hAnsi="Times New Roman Bold" w:cs="Times New Roman"/>
      <w:b/>
      <w:smallCaps/>
      <w:sz w:val="28"/>
      <w:szCs w:val="28"/>
    </w:rPr>
  </w:style>
  <w:style w:type="paragraph" w:customStyle="1" w:styleId="Style7">
    <w:name w:val="Style7"/>
    <w:basedOn w:val="Cabealho3"/>
    <w:link w:val="Style7Char"/>
    <w:qFormat/>
    <w:rsid w:val="00A45EEC"/>
    <w:pPr>
      <w:keepNext w:val="0"/>
      <w:numPr>
        <w:ilvl w:val="0"/>
        <w:numId w:val="0"/>
      </w:numPr>
      <w:spacing w:before="0" w:after="200"/>
      <w:ind w:left="720" w:hanging="360"/>
      <w:contextualSpacing/>
    </w:pPr>
    <w:rPr>
      <w:rFonts w:ascii="Times New Roman" w:hAnsi="Times New Roman"/>
      <w:bCs w:val="0"/>
      <w:sz w:val="24"/>
      <w:szCs w:val="24"/>
      <w:lang w:val="en-GB" w:eastAsia="en-US"/>
    </w:rPr>
  </w:style>
  <w:style w:type="character" w:customStyle="1" w:styleId="Style7Char">
    <w:name w:val="Style7 Char"/>
    <w:basedOn w:val="Titre3Car1"/>
    <w:link w:val="Style7"/>
    <w:rsid w:val="00A45EEC"/>
    <w:rPr>
      <w:rFonts w:ascii="Times New Roman" w:eastAsia="Times New Roman" w:hAnsi="Times New Roman" w:cs="Times New Roman"/>
      <w:b/>
      <w:sz w:val="24"/>
      <w:szCs w:val="24"/>
      <w:lang w:val="en-GB"/>
    </w:rPr>
  </w:style>
  <w:style w:type="character" w:customStyle="1" w:styleId="Titre3Car1">
    <w:name w:val="Titre 3 Car1"/>
    <w:aliases w:val="Centered Car, Centered Car,Titolo 3 Car,Heading 3 (BM revised) Car,centered Car,Titre 3 Car Car Car Car Car Car Car Car Car Car Car Car Car Car Car Car Car Car Car Car Car Car Car Car Car Car Car1,an_Über 3 Car1,an_Über 3 Car Car Car1"/>
    <w:rsid w:val="00A45EEC"/>
    <w:rPr>
      <w:rFonts w:ascii="Times New Roman" w:eastAsia="Times New Roman" w:hAnsi="Times New Roman" w:cs="Times New Roman"/>
      <w:b/>
      <w:sz w:val="24"/>
      <w:szCs w:val="24"/>
      <w:lang w:val="en-GB"/>
    </w:rPr>
  </w:style>
  <w:style w:type="paragraph" w:customStyle="1" w:styleId="Style8">
    <w:name w:val="Style8"/>
    <w:basedOn w:val="Cabealho1"/>
    <w:link w:val="Style8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8Char">
    <w:name w:val="Style8 Char"/>
    <w:basedOn w:val="Titre1Car1"/>
    <w:link w:val="Style8"/>
    <w:rsid w:val="00A45EEC"/>
    <w:rPr>
      <w:rFonts w:ascii="Times New Roman Bold" w:eastAsia="Times New Roman" w:hAnsi="Times New Roman Bold" w:cs="Times New Roman"/>
      <w:b/>
      <w:sz w:val="32"/>
      <w:szCs w:val="20"/>
    </w:rPr>
  </w:style>
  <w:style w:type="character" w:customStyle="1" w:styleId="ParagraphedelisteChar">
    <w:name w:val="Paragraphe de liste Char"/>
    <w:rsid w:val="00A45EEC"/>
    <w:rPr>
      <w:rFonts w:ascii="Times New Roman" w:eastAsia="Times New Roman" w:hAnsi="Times New Roman" w:cs="Times New Roman"/>
      <w:sz w:val="24"/>
      <w:szCs w:val="24"/>
    </w:rPr>
  </w:style>
  <w:style w:type="paragraph" w:customStyle="1" w:styleId="Style9">
    <w:name w:val="Style9"/>
    <w:basedOn w:val="Cabealho1"/>
    <w:link w:val="Style9Char"/>
    <w:qFormat/>
    <w:rsid w:val="00A45EEC"/>
    <w:pPr>
      <w:keepLines/>
      <w:numPr>
        <w:numId w:val="21"/>
      </w:numPr>
      <w:spacing w:after="240"/>
      <w:jc w:val="center"/>
    </w:pPr>
    <w:rPr>
      <w:rFonts w:ascii="Times New Roman Bold" w:hAnsi="Times New Roman Bold"/>
      <w:bCs w:val="0"/>
      <w:kern w:val="0"/>
      <w:szCs w:val="20"/>
      <w:lang w:eastAsia="en-US"/>
    </w:rPr>
  </w:style>
  <w:style w:type="character" w:customStyle="1" w:styleId="Style9Char">
    <w:name w:val="Style9 Char"/>
    <w:basedOn w:val="Titre1Car1"/>
    <w:link w:val="Style9"/>
    <w:rsid w:val="00A45EEC"/>
    <w:rPr>
      <w:rFonts w:ascii="Times New Roman Bold" w:eastAsia="Times New Roman" w:hAnsi="Times New Roman Bold" w:cs="Times New Roman"/>
      <w:b/>
      <w:sz w:val="32"/>
      <w:szCs w:val="20"/>
    </w:rPr>
  </w:style>
  <w:style w:type="paragraph" w:customStyle="1" w:styleId="Style10">
    <w:name w:val="Style10"/>
    <w:basedOn w:val="Cabealho1"/>
    <w:link w:val="Style10Char"/>
    <w:qFormat/>
    <w:rsid w:val="00A45EEC"/>
    <w:pPr>
      <w:keepLines/>
      <w:numPr>
        <w:numId w:val="0"/>
      </w:numPr>
      <w:spacing w:after="240"/>
      <w:jc w:val="center"/>
    </w:pPr>
    <w:rPr>
      <w:rFonts w:ascii="Times New Roman Bold" w:hAnsi="Times New Roman Bold"/>
      <w:bCs w:val="0"/>
      <w:smallCaps/>
      <w:kern w:val="0"/>
      <w:sz w:val="28"/>
      <w:szCs w:val="28"/>
      <w:lang w:eastAsia="en-US"/>
    </w:rPr>
  </w:style>
  <w:style w:type="character" w:customStyle="1" w:styleId="Style10Char">
    <w:name w:val="Style10 Char"/>
    <w:link w:val="Style10"/>
    <w:rsid w:val="00A45EEC"/>
    <w:rPr>
      <w:rFonts w:ascii="Times New Roman Bold" w:eastAsia="Times New Roman" w:hAnsi="Times New Roman Bold" w:cs="Times New Roman"/>
      <w:b/>
      <w:smallCaps/>
      <w:sz w:val="28"/>
      <w:szCs w:val="28"/>
    </w:rPr>
  </w:style>
  <w:style w:type="paragraph" w:customStyle="1" w:styleId="Style11">
    <w:name w:val="Style11"/>
    <w:basedOn w:val="A1-Heading2"/>
    <w:link w:val="Style11Char"/>
    <w:qFormat/>
    <w:rsid w:val="00A45EEC"/>
    <w:pPr>
      <w:ind w:left="360" w:firstLine="0"/>
    </w:pPr>
  </w:style>
  <w:style w:type="character" w:customStyle="1" w:styleId="Style11Char">
    <w:name w:val="Style11 Char"/>
    <w:basedOn w:val="A1-Heading2Char"/>
    <w:link w:val="Style11"/>
    <w:rsid w:val="00A45EEC"/>
    <w:rPr>
      <w:rFonts w:ascii="Times New Roman" w:eastAsia="Times New Roman" w:hAnsi="Times New Roman" w:cs="Times New Roman"/>
      <w:b/>
      <w:bCs/>
      <w:smallCaps/>
      <w:sz w:val="24"/>
      <w:szCs w:val="24"/>
      <w:lang w:val="en-GB"/>
    </w:rPr>
  </w:style>
  <w:style w:type="paragraph" w:customStyle="1" w:styleId="Style12">
    <w:name w:val="Style12"/>
    <w:basedOn w:val="Cabealho1"/>
    <w:link w:val="Style12Char"/>
    <w:qFormat/>
    <w:rsid w:val="00A45EEC"/>
    <w:pPr>
      <w:keepLines/>
      <w:numPr>
        <w:numId w:val="0"/>
      </w:numPr>
      <w:spacing w:after="240"/>
      <w:jc w:val="center"/>
    </w:pPr>
    <w:rPr>
      <w:rFonts w:ascii="Times New Roman Bold" w:hAnsi="Times New Roman Bold"/>
      <w:bCs w:val="0"/>
      <w:kern w:val="0"/>
      <w:szCs w:val="20"/>
      <w:lang w:eastAsia="en-US"/>
    </w:rPr>
  </w:style>
  <w:style w:type="character" w:customStyle="1" w:styleId="Style12Char">
    <w:name w:val="Style12 Char"/>
    <w:basedOn w:val="Titre1Car1"/>
    <w:link w:val="Style12"/>
    <w:rsid w:val="00A45EEC"/>
    <w:rPr>
      <w:rFonts w:ascii="Times New Roman Bold" w:eastAsia="Times New Roman" w:hAnsi="Times New Roman Bold" w:cs="Times New Roman"/>
      <w:b/>
      <w:sz w:val="32"/>
      <w:szCs w:val="20"/>
    </w:rPr>
  </w:style>
  <w:style w:type="paragraph" w:customStyle="1" w:styleId="i">
    <w:name w:val="(i)"/>
    <w:basedOn w:val="Normal"/>
    <w:rsid w:val="00A45EEC"/>
    <w:pPr>
      <w:suppressAutoHyphens/>
      <w:jc w:val="both"/>
    </w:pPr>
    <w:rPr>
      <w:rFonts w:ascii="Tms Rmn" w:hAnsi="Tms Rmn"/>
      <w:szCs w:val="20"/>
      <w:lang w:val="en-US"/>
    </w:rPr>
  </w:style>
  <w:style w:type="paragraph" w:customStyle="1" w:styleId="RomanParagraph">
    <w:name w:val="RomanParagraph"/>
    <w:rsid w:val="00A45EEC"/>
    <w:pPr>
      <w:spacing w:before="120" w:after="120" w:line="240" w:lineRule="auto"/>
      <w:jc w:val="both"/>
    </w:pPr>
    <w:rPr>
      <w:rFonts w:ascii="Times New Roman" w:eastAsia="Times New Roman" w:hAnsi="Times New Roman" w:cs="Times New Roman"/>
      <w:noProof/>
      <w:sz w:val="24"/>
      <w:szCs w:val="20"/>
      <w:lang w:val="en-US"/>
    </w:rPr>
  </w:style>
  <w:style w:type="paragraph" w:customStyle="1" w:styleId="Paragrapha">
    <w:name w:val="Paragraph a"/>
    <w:basedOn w:val="Normal"/>
    <w:rsid w:val="00A45EEC"/>
    <w:pPr>
      <w:numPr>
        <w:numId w:val="22"/>
      </w:numPr>
      <w:spacing w:before="120" w:after="120"/>
      <w:jc w:val="both"/>
    </w:pPr>
    <w:rPr>
      <w:spacing w:val="-3"/>
      <w:szCs w:val="20"/>
      <w:lang w:val="en-US" w:eastAsia="en-US"/>
    </w:rPr>
  </w:style>
  <w:style w:type="character" w:customStyle="1" w:styleId="SemEspaamentoCarcter">
    <w:name w:val="Sem Espaçamento Carácter"/>
    <w:aliases w:val="INTRO Carácter"/>
    <w:basedOn w:val="Tipodeletrapredefinidodopargrafo"/>
    <w:link w:val="SemEspaamento"/>
    <w:uiPriority w:val="1"/>
    <w:rsid w:val="00A45EEC"/>
    <w:rPr>
      <w:rFonts w:ascii="Times New Roman" w:eastAsia="Times New Roman" w:hAnsi="Times New Roman" w:cs="Times New Roman"/>
      <w:sz w:val="24"/>
      <w:szCs w:val="24"/>
      <w:lang w:eastAsia="fr-FR"/>
    </w:rPr>
  </w:style>
  <w:style w:type="character" w:customStyle="1" w:styleId="systranseg">
    <w:name w:val="systran_seg"/>
    <w:basedOn w:val="Tipodeletrapredefinidodopargrafo"/>
    <w:rsid w:val="00A45EEC"/>
  </w:style>
  <w:style w:type="character" w:customStyle="1" w:styleId="systrantokenword">
    <w:name w:val="systran_token_word"/>
    <w:basedOn w:val="Tipodeletrapredefinidodopargrafo"/>
    <w:rsid w:val="00A45EEC"/>
  </w:style>
  <w:style w:type="character" w:customStyle="1" w:styleId="systrantokenpunctuation">
    <w:name w:val="systran_token_punctuation"/>
    <w:basedOn w:val="Tipodeletrapredefinidodopargrafo"/>
    <w:rsid w:val="00A45EEC"/>
  </w:style>
  <w:style w:type="table" w:customStyle="1" w:styleId="TableauGrille2-Accentuation61">
    <w:name w:val="Tableau Grille 2 - Accentuation 61"/>
    <w:basedOn w:val="Tabelanormal"/>
    <w:uiPriority w:val="47"/>
    <w:rsid w:val="00A45EE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1Clair1">
    <w:name w:val="Tableau Grille 1 Clair1"/>
    <w:basedOn w:val="Tabelanormal"/>
    <w:uiPriority w:val="46"/>
    <w:rsid w:val="00A45E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61">
    <w:name w:val="Tableau Grille 1 Clair - Accentuation 61"/>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4-Accentuation11">
    <w:name w:val="Tableau Grille 4 - Accentuation 11"/>
    <w:basedOn w:val="Tabelanormal"/>
    <w:uiPriority w:val="49"/>
    <w:rsid w:val="00A45EE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1Clair-Accentuation62">
    <w:name w:val="Tableau Grille 1 Clair - Accentuation 62"/>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1Clair-Accentuation63">
    <w:name w:val="Tableau Grille 1 Clair - Accentuation 63"/>
    <w:basedOn w:val="Tabelanormal"/>
    <w:uiPriority w:val="46"/>
    <w:rsid w:val="00A45E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2-Accentuation62">
    <w:name w:val="Tableau Grille 2 - Accentuation 62"/>
    <w:basedOn w:val="Tabelanormal"/>
    <w:uiPriority w:val="47"/>
    <w:rsid w:val="00A45EE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ydp90e9cbb6msonormal">
    <w:name w:val="ydp90e9cbb6msonormal"/>
    <w:basedOn w:val="Normal"/>
    <w:rsid w:val="00A45EEC"/>
    <w:pPr>
      <w:spacing w:before="100" w:beforeAutospacing="1" w:after="100" w:afterAutospacing="1"/>
    </w:pPr>
  </w:style>
  <w:style w:type="paragraph" w:customStyle="1" w:styleId="Texte">
    <w:name w:val="Texte"/>
    <w:basedOn w:val="Normal"/>
    <w:rsid w:val="00A45EEC"/>
    <w:pPr>
      <w:keepLines/>
      <w:spacing w:before="120"/>
      <w:jc w:val="both"/>
    </w:pPr>
    <w:rPr>
      <w:rFonts w:ascii="Arial" w:hAnsi="Arial"/>
      <w:sz w:val="20"/>
      <w:szCs w:val="20"/>
    </w:rPr>
  </w:style>
  <w:style w:type="paragraph" w:customStyle="1" w:styleId="Paragraphe">
    <w:name w:val="Paragraphe"/>
    <w:basedOn w:val="Normal"/>
    <w:rsid w:val="00A45EEC"/>
    <w:pPr>
      <w:overflowPunct w:val="0"/>
      <w:autoSpaceDE w:val="0"/>
      <w:autoSpaceDN w:val="0"/>
      <w:adjustRightInd w:val="0"/>
      <w:spacing w:after="120"/>
      <w:jc w:val="both"/>
      <w:textAlignment w:val="baseline"/>
    </w:pPr>
  </w:style>
  <w:style w:type="paragraph" w:styleId="Mapadodocumento">
    <w:name w:val="Document Map"/>
    <w:basedOn w:val="Normal"/>
    <w:link w:val="MapadodocumentoCarcter"/>
    <w:uiPriority w:val="99"/>
    <w:semiHidden/>
    <w:unhideWhenUsed/>
    <w:rsid w:val="00A45EEC"/>
  </w:style>
  <w:style w:type="character" w:customStyle="1" w:styleId="MapadodocumentoCarcter">
    <w:name w:val="Mapa do documento Carácter"/>
    <w:basedOn w:val="Tipodeletrapredefinidodopargrafo"/>
    <w:link w:val="Mapadodocumento"/>
    <w:uiPriority w:val="99"/>
    <w:semiHidden/>
    <w:rsid w:val="00A45EEC"/>
    <w:rPr>
      <w:rFonts w:ascii="Times New Roman" w:eastAsia="Times New Roman" w:hAnsi="Times New Roman" w:cs="Times New Roman"/>
      <w:sz w:val="24"/>
      <w:szCs w:val="24"/>
      <w:lang w:eastAsia="fr-FR"/>
    </w:rPr>
  </w:style>
  <w:style w:type="character" w:styleId="Hiperligaovisitada">
    <w:name w:val="FollowedHyperlink"/>
    <w:basedOn w:val="Tipodeletrapredefinidodopargrafo"/>
    <w:semiHidden/>
    <w:unhideWhenUsed/>
    <w:rsid w:val="00A45EEC"/>
    <w:rPr>
      <w:color w:val="954F72" w:themeColor="followedHyperlink"/>
      <w:u w:val="single"/>
    </w:rPr>
  </w:style>
  <w:style w:type="paragraph" w:styleId="Reviso">
    <w:name w:val="Revision"/>
    <w:hidden/>
    <w:uiPriority w:val="99"/>
    <w:semiHidden/>
    <w:rsid w:val="00A45EEC"/>
    <w:pPr>
      <w:spacing w:after="0" w:line="240" w:lineRule="auto"/>
    </w:pPr>
    <w:rPr>
      <w:rFonts w:ascii="Times New Roman" w:eastAsia="Times New Roman" w:hAnsi="Times New Roman" w:cs="Times New Roman"/>
      <w:sz w:val="24"/>
      <w:szCs w:val="24"/>
      <w:lang w:eastAsia="fr-FR"/>
    </w:rPr>
  </w:style>
  <w:style w:type="paragraph" w:customStyle="1" w:styleId="rtejustify">
    <w:name w:val="rtejustify"/>
    <w:basedOn w:val="Normal"/>
    <w:rsid w:val="00A45EEC"/>
    <w:pPr>
      <w:spacing w:before="100" w:beforeAutospacing="1" w:after="100" w:afterAutospacing="1"/>
    </w:pPr>
  </w:style>
  <w:style w:type="table" w:customStyle="1" w:styleId="TableauListe3-Accentuation11">
    <w:name w:val="Tableau Liste 3 - Accentuation 11"/>
    <w:basedOn w:val="Tabelanormal"/>
    <w:uiPriority w:val="48"/>
    <w:rsid w:val="006E352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auListe1Clair1">
    <w:name w:val="Tableau Liste 1 Clair1"/>
    <w:basedOn w:val="Tabelanormal"/>
    <w:uiPriority w:val="46"/>
    <w:rsid w:val="001412E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1Clair-Accentuation21">
    <w:name w:val="Tableau Liste 1 Clair - Accentuation 21"/>
    <w:basedOn w:val="Tabelanormal"/>
    <w:uiPriority w:val="46"/>
    <w:rsid w:val="001412E1"/>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auGrille1Clair2">
    <w:name w:val="Tableau Grille 1 Clair2"/>
    <w:basedOn w:val="Tabelanormal"/>
    <w:uiPriority w:val="46"/>
    <w:rsid w:val="001412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Tipodeletrapredefinidodopargrafo"/>
    <w:rsid w:val="001D3373"/>
    <w:rPr>
      <w:rFonts w:ascii="Verdana" w:hAnsi="Verdana" w:hint="default"/>
      <w:b/>
      <w:bCs/>
      <w:i w:val="0"/>
      <w:iCs w:val="0"/>
      <w:color w:val="000000"/>
      <w:sz w:val="24"/>
      <w:szCs w:val="24"/>
    </w:rPr>
  </w:style>
  <w:style w:type="paragraph" w:customStyle="1" w:styleId="titre3">
    <w:name w:val="titre 3"/>
    <w:basedOn w:val="Cabealho2"/>
    <w:link w:val="titre3Car"/>
    <w:rsid w:val="001D3373"/>
    <w:pPr>
      <w:keepNext w:val="0"/>
      <w:numPr>
        <w:numId w:val="0"/>
      </w:numPr>
      <w:tabs>
        <w:tab w:val="left" w:pos="1701"/>
      </w:tabs>
      <w:spacing w:before="120" w:after="120"/>
      <w:ind w:left="3371" w:hanging="180"/>
      <w:jc w:val="both"/>
    </w:pPr>
    <w:rPr>
      <w:rFonts w:ascii="Calibri" w:eastAsia="Times New Roman" w:hAnsi="Calibri" w:cs="Calibri"/>
      <w:b w:val="0"/>
      <w:i w:val="0"/>
      <w:iCs w:val="0"/>
      <w:color w:val="AF143D"/>
    </w:rPr>
  </w:style>
  <w:style w:type="character" w:customStyle="1" w:styleId="titre3Car">
    <w:name w:val="titre 3 Car"/>
    <w:basedOn w:val="Tipodeletrapredefinidodopargrafo"/>
    <w:link w:val="titre3"/>
    <w:rsid w:val="001D3373"/>
    <w:rPr>
      <w:rFonts w:ascii="Calibri" w:eastAsia="Times New Roman" w:hAnsi="Calibri" w:cs="Calibri"/>
      <w:bCs/>
      <w:color w:val="AF143D"/>
      <w:sz w:val="28"/>
      <w:szCs w:val="28"/>
      <w:lang w:eastAsia="fr-FR"/>
    </w:rPr>
  </w:style>
  <w:style w:type="character" w:styleId="nfaseDiscreto">
    <w:name w:val="Subtle Emphasis"/>
    <w:aliases w:val="Titre document"/>
    <w:basedOn w:val="Tipodeletrapredefinidodopargrafo"/>
    <w:uiPriority w:val="19"/>
    <w:qFormat/>
    <w:rsid w:val="001D3373"/>
    <w:rPr>
      <w:iCs/>
      <w:sz w:val="40"/>
      <w:szCs w:val="40"/>
    </w:rPr>
  </w:style>
  <w:style w:type="character" w:styleId="TtulodoLivro">
    <w:name w:val="Book Title"/>
    <w:basedOn w:val="Tipodeletrapredefinidodopargrafo"/>
    <w:uiPriority w:val="33"/>
    <w:qFormat/>
    <w:rsid w:val="001D3373"/>
    <w:rPr>
      <w:smallCaps/>
    </w:rPr>
  </w:style>
  <w:style w:type="paragraph" w:customStyle="1" w:styleId="BodyText1">
    <w:name w:val="Body Text1"/>
    <w:basedOn w:val="Normal"/>
    <w:link w:val="BodytextChar"/>
    <w:qFormat/>
    <w:rsid w:val="001D3373"/>
    <w:pPr>
      <w:jc w:val="both"/>
    </w:pPr>
    <w:rPr>
      <w:rFonts w:ascii="Calibri Light" w:eastAsia="Century Schoolbook" w:hAnsi="Calibri Light"/>
      <w:w w:val="112"/>
      <w:sz w:val="40"/>
      <w:szCs w:val="40"/>
      <w:lang w:eastAsia="ja-JP"/>
    </w:rPr>
  </w:style>
  <w:style w:type="character" w:customStyle="1" w:styleId="BodytextChar">
    <w:name w:val="Body text Char"/>
    <w:link w:val="BodyText1"/>
    <w:rsid w:val="001D3373"/>
    <w:rPr>
      <w:rFonts w:ascii="Calibri Light" w:eastAsia="Century Schoolbook" w:hAnsi="Calibri Light" w:cs="Times New Roman"/>
      <w:w w:val="112"/>
      <w:sz w:val="40"/>
      <w:szCs w:val="40"/>
      <w:lang w:eastAsia="ja-JP"/>
    </w:rPr>
  </w:style>
  <w:style w:type="character" w:customStyle="1" w:styleId="fontstyle21">
    <w:name w:val="fontstyle21"/>
    <w:rsid w:val="001D3373"/>
    <w:rPr>
      <w:rFonts w:ascii="SymbolMT" w:hAnsi="SymbolMT" w:hint="default"/>
      <w:b w:val="0"/>
      <w:bCs w:val="0"/>
      <w:i w:val="0"/>
      <w:iCs w:val="0"/>
      <w:color w:val="000000"/>
      <w:sz w:val="22"/>
      <w:szCs w:val="22"/>
    </w:rPr>
  </w:style>
  <w:style w:type="character" w:customStyle="1" w:styleId="fontstyle31">
    <w:name w:val="fontstyle31"/>
    <w:rsid w:val="001D3373"/>
    <w:rPr>
      <w:rFonts w:ascii="CourierNew" w:hAnsi="CourierNew" w:hint="default"/>
      <w:b w:val="0"/>
      <w:bCs w:val="0"/>
      <w:i w:val="0"/>
      <w:iCs w:val="0"/>
      <w:color w:val="262626"/>
      <w:sz w:val="22"/>
      <w:szCs w:val="22"/>
    </w:rPr>
  </w:style>
  <w:style w:type="paragraph" w:customStyle="1" w:styleId="default0">
    <w:name w:val="default"/>
    <w:basedOn w:val="Normal"/>
    <w:uiPriority w:val="99"/>
    <w:rsid w:val="001D3373"/>
    <w:pPr>
      <w:spacing w:before="100" w:beforeAutospacing="1" w:after="100" w:afterAutospacing="1"/>
    </w:pPr>
    <w:rPr>
      <w:rFonts w:eastAsia="Times New Roman"/>
    </w:rPr>
  </w:style>
  <w:style w:type="paragraph" w:styleId="Lista2">
    <w:name w:val="List 2"/>
    <w:basedOn w:val="Normal"/>
    <w:uiPriority w:val="99"/>
    <w:unhideWhenUsed/>
    <w:rsid w:val="001D3373"/>
    <w:pPr>
      <w:spacing w:after="120"/>
      <w:ind w:left="566" w:hanging="283"/>
      <w:contextualSpacing/>
      <w:jc w:val="both"/>
    </w:pPr>
    <w:rPr>
      <w:rFonts w:ascii="Calibri" w:eastAsia="Times New Roman" w:hAnsi="Calibri"/>
      <w:sz w:val="22"/>
      <w:szCs w:val="22"/>
    </w:rPr>
  </w:style>
  <w:style w:type="paragraph" w:styleId="Listacommarcas">
    <w:name w:val="List Bullet"/>
    <w:basedOn w:val="Normal"/>
    <w:uiPriority w:val="99"/>
    <w:unhideWhenUsed/>
    <w:rsid w:val="001D3373"/>
    <w:pPr>
      <w:numPr>
        <w:numId w:val="24"/>
      </w:numPr>
      <w:spacing w:after="120"/>
      <w:contextualSpacing/>
      <w:jc w:val="both"/>
    </w:pPr>
    <w:rPr>
      <w:rFonts w:ascii="Calibri" w:eastAsia="Times New Roman" w:hAnsi="Calibri"/>
      <w:sz w:val="22"/>
      <w:szCs w:val="22"/>
    </w:rPr>
  </w:style>
  <w:style w:type="paragraph" w:customStyle="1" w:styleId="Listecouleur-Accent12">
    <w:name w:val="Liste couleur - Accent 12"/>
    <w:aliases w:val="Akapit z listą BS"/>
    <w:basedOn w:val="Normal"/>
    <w:uiPriority w:val="34"/>
    <w:qFormat/>
    <w:rsid w:val="001D3373"/>
    <w:pPr>
      <w:ind w:left="720"/>
      <w:contextualSpacing/>
      <w:jc w:val="both"/>
    </w:pPr>
    <w:rPr>
      <w:rFonts w:eastAsia="Times New Roman"/>
      <w:szCs w:val="20"/>
      <w:lang w:val="en-US" w:eastAsia="en-US"/>
    </w:rPr>
  </w:style>
  <w:style w:type="paragraph" w:customStyle="1" w:styleId="Corpsdetexte31">
    <w:name w:val="Corps de texte 31"/>
    <w:basedOn w:val="Normal"/>
    <w:rsid w:val="001D3373"/>
    <w:pPr>
      <w:keepLines/>
      <w:widowControl w:val="0"/>
      <w:tabs>
        <w:tab w:val="left" w:pos="785"/>
        <w:tab w:val="left" w:pos="851"/>
        <w:tab w:val="left" w:pos="2491"/>
        <w:tab w:val="left" w:pos="3398"/>
        <w:tab w:val="left" w:pos="4368"/>
        <w:tab w:val="left" w:pos="5153"/>
        <w:tab w:val="left" w:pos="5938"/>
        <w:tab w:val="left" w:pos="7298"/>
        <w:tab w:val="left" w:pos="8083"/>
        <w:tab w:val="left" w:pos="8868"/>
        <w:tab w:val="left" w:pos="9653"/>
        <w:tab w:val="left" w:pos="10438"/>
      </w:tabs>
      <w:spacing w:before="120"/>
      <w:jc w:val="both"/>
    </w:pPr>
    <w:rPr>
      <w:rFonts w:eastAsia="Times New Roman"/>
      <w:b/>
      <w:snapToGrid w:val="0"/>
      <w:sz w:val="22"/>
      <w:szCs w:val="20"/>
      <w:lang w:eastAsia="it-IT"/>
    </w:rPr>
  </w:style>
  <w:style w:type="paragraph" w:customStyle="1" w:styleId="Corpsdetexte22">
    <w:name w:val="Corps de texte 22"/>
    <w:basedOn w:val="Normal"/>
    <w:rsid w:val="001D3373"/>
    <w:pPr>
      <w:ind w:left="1134" w:hanging="283"/>
      <w:jc w:val="both"/>
    </w:pPr>
    <w:rPr>
      <w:rFonts w:eastAsia="Times New Roman"/>
      <w:szCs w:val="20"/>
    </w:rPr>
  </w:style>
  <w:style w:type="paragraph" w:customStyle="1" w:styleId="xl65">
    <w:name w:val="xl65"/>
    <w:basedOn w:val="Normal"/>
    <w:rsid w:val="001D3373"/>
    <w:pPr>
      <w:spacing w:before="100" w:beforeAutospacing="1" w:after="100" w:afterAutospacing="1"/>
      <w:jc w:val="center"/>
    </w:pPr>
    <w:rPr>
      <w:rFonts w:eastAsia="Times New Roman"/>
    </w:rPr>
  </w:style>
  <w:style w:type="paragraph" w:customStyle="1" w:styleId="xl66">
    <w:name w:val="xl66"/>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8">
    <w:name w:val="xl68"/>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9">
    <w:name w:val="xl69"/>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0">
    <w:name w:val="xl70"/>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1">
    <w:name w:val="xl71"/>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eastAsia="Times New Roman"/>
      <w:b/>
      <w:bCs/>
    </w:rPr>
  </w:style>
  <w:style w:type="paragraph" w:customStyle="1" w:styleId="xl72">
    <w:name w:val="xl72"/>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3">
    <w:name w:val="xl73"/>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eastAsia="Times New Roman"/>
      <w:b/>
      <w:bCs/>
      <w:sz w:val="16"/>
      <w:szCs w:val="16"/>
    </w:rPr>
  </w:style>
  <w:style w:type="paragraph" w:customStyle="1" w:styleId="xl74">
    <w:name w:val="xl74"/>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eastAsia="Times New Roman"/>
      <w:b/>
      <w:bCs/>
      <w:sz w:val="16"/>
      <w:szCs w:val="16"/>
    </w:rPr>
  </w:style>
  <w:style w:type="paragraph" w:customStyle="1" w:styleId="xl75">
    <w:name w:val="xl75"/>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6">
    <w:name w:val="xl76"/>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7">
    <w:name w:val="xl77"/>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8">
    <w:name w:val="xl78"/>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9">
    <w:name w:val="xl79"/>
    <w:basedOn w:val="Normal"/>
    <w:rsid w:val="001D33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rPr>
  </w:style>
  <w:style w:type="paragraph" w:customStyle="1" w:styleId="xl80">
    <w:name w:val="xl80"/>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81">
    <w:name w:val="xl81"/>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rPr>
  </w:style>
  <w:style w:type="paragraph" w:customStyle="1" w:styleId="xl82">
    <w:name w:val="xl82"/>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3">
    <w:name w:val="xl83"/>
    <w:basedOn w:val="Normal"/>
    <w:rsid w:val="001D3373"/>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eastAsia="Times New Roman"/>
      <w:b/>
      <w:bCs/>
    </w:rPr>
  </w:style>
  <w:style w:type="paragraph" w:customStyle="1" w:styleId="xl84">
    <w:name w:val="xl84"/>
    <w:basedOn w:val="Normal"/>
    <w:rsid w:val="001D3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85">
    <w:name w:val="xl85"/>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6">
    <w:name w:val="xl86"/>
    <w:basedOn w:val="Normal"/>
    <w:rsid w:val="001D337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rPr>
  </w:style>
  <w:style w:type="paragraph" w:customStyle="1" w:styleId="xl87">
    <w:name w:val="xl87"/>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rPr>
  </w:style>
  <w:style w:type="paragraph" w:customStyle="1" w:styleId="xl88">
    <w:name w:val="xl88"/>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rPr>
  </w:style>
  <w:style w:type="paragraph" w:customStyle="1" w:styleId="xl89">
    <w:name w:val="xl89"/>
    <w:basedOn w:val="Normal"/>
    <w:rsid w:val="001D337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Times New Roman"/>
      <w:b/>
      <w:bCs/>
    </w:rPr>
  </w:style>
  <w:style w:type="paragraph" w:customStyle="1" w:styleId="xl90">
    <w:name w:val="xl90"/>
    <w:basedOn w:val="Normal"/>
    <w:rsid w:val="001D337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textAlignment w:val="center"/>
    </w:pPr>
    <w:rPr>
      <w:rFonts w:eastAsia="Times New Roman"/>
      <w:sz w:val="18"/>
      <w:szCs w:val="18"/>
    </w:rPr>
  </w:style>
  <w:style w:type="paragraph" w:customStyle="1" w:styleId="xl91">
    <w:name w:val="xl91"/>
    <w:basedOn w:val="Normal"/>
    <w:rsid w:val="001D337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Times New Roman"/>
      <w:b/>
      <w:bCs/>
      <w:sz w:val="20"/>
      <w:szCs w:val="20"/>
    </w:rPr>
  </w:style>
  <w:style w:type="paragraph" w:customStyle="1" w:styleId="xl92">
    <w:name w:val="xl92"/>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20"/>
      <w:szCs w:val="20"/>
    </w:rPr>
  </w:style>
  <w:style w:type="paragraph" w:customStyle="1" w:styleId="xl93">
    <w:name w:val="xl93"/>
    <w:basedOn w:val="Normal"/>
    <w:rsid w:val="001D33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20"/>
      <w:szCs w:val="20"/>
    </w:rPr>
  </w:style>
  <w:style w:type="paragraph" w:customStyle="1" w:styleId="TableText0">
    <w:name w:val="Table_Text"/>
    <w:basedOn w:val="Default"/>
    <w:next w:val="Default"/>
    <w:uiPriority w:val="99"/>
    <w:rsid w:val="001D3373"/>
    <w:rPr>
      <w:rFonts w:ascii="Times New Roman" w:hAnsi="Times New Roman" w:cs="Times New Roman"/>
      <w:color w:val="auto"/>
    </w:rPr>
  </w:style>
  <w:style w:type="table" w:customStyle="1" w:styleId="Tableausimple21">
    <w:name w:val="Tableau simple 21"/>
    <w:basedOn w:val="Tabelanormal"/>
    <w:uiPriority w:val="42"/>
    <w:rsid w:val="001D33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7Couleur1">
    <w:name w:val="Tableau Grille 7 Couleur1"/>
    <w:basedOn w:val="Tabelanormal"/>
    <w:uiPriority w:val="52"/>
    <w:rsid w:val="001D3373"/>
    <w:pPr>
      <w:spacing w:after="0" w:line="240" w:lineRule="auto"/>
    </w:pPr>
    <w:rPr>
      <w:rFonts w:ascii="Calibri" w:eastAsia="Calibri" w:hAnsi="Calibri" w:cs="Times New Roman"/>
      <w:color w:val="000000"/>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annex1">
    <w:name w:val="annex1"/>
    <w:basedOn w:val="Normal"/>
    <w:next w:val="Normal"/>
    <w:unhideWhenUsed/>
    <w:qFormat/>
    <w:rsid w:val="001D3373"/>
    <w:pPr>
      <w:keepNext/>
      <w:keepLines/>
      <w:spacing w:before="200" w:line="276" w:lineRule="auto"/>
      <w:outlineLvl w:val="2"/>
    </w:pPr>
    <w:rPr>
      <w:rFonts w:ascii="Cambria" w:eastAsia="Times New Roman" w:hAnsi="Cambria"/>
      <w:b/>
      <w:bCs/>
      <w:color w:val="4F81BD"/>
      <w:sz w:val="22"/>
      <w:szCs w:val="22"/>
      <w:lang w:eastAsia="en-US"/>
    </w:rPr>
  </w:style>
  <w:style w:type="paragraph" w:customStyle="1" w:styleId="Titre41">
    <w:name w:val="Titre 41"/>
    <w:basedOn w:val="Normal"/>
    <w:next w:val="Normal"/>
    <w:uiPriority w:val="9"/>
    <w:semiHidden/>
    <w:unhideWhenUsed/>
    <w:qFormat/>
    <w:rsid w:val="001D3373"/>
    <w:pPr>
      <w:keepNext/>
      <w:keepLines/>
      <w:spacing w:before="200" w:line="276" w:lineRule="auto"/>
      <w:outlineLvl w:val="3"/>
    </w:pPr>
    <w:rPr>
      <w:rFonts w:ascii="Cambria" w:eastAsia="Times New Roman" w:hAnsi="Cambria"/>
      <w:b/>
      <w:bCs/>
      <w:i/>
      <w:iCs/>
      <w:color w:val="4F81BD"/>
      <w:sz w:val="22"/>
      <w:szCs w:val="22"/>
      <w:lang w:eastAsia="en-US"/>
    </w:rPr>
  </w:style>
  <w:style w:type="paragraph" w:customStyle="1" w:styleId="Titre51">
    <w:name w:val="Titre 51"/>
    <w:basedOn w:val="Normal"/>
    <w:next w:val="Normal"/>
    <w:uiPriority w:val="9"/>
    <w:semiHidden/>
    <w:unhideWhenUsed/>
    <w:qFormat/>
    <w:rsid w:val="001D3373"/>
    <w:pPr>
      <w:keepNext/>
      <w:keepLines/>
      <w:spacing w:before="200" w:line="276" w:lineRule="auto"/>
      <w:outlineLvl w:val="4"/>
    </w:pPr>
    <w:rPr>
      <w:rFonts w:ascii="Cambria" w:eastAsia="Times New Roman" w:hAnsi="Cambria"/>
      <w:color w:val="243F60"/>
      <w:sz w:val="22"/>
      <w:szCs w:val="22"/>
      <w:lang w:eastAsia="en-US"/>
    </w:rPr>
  </w:style>
  <w:style w:type="paragraph" w:customStyle="1" w:styleId="Titre61">
    <w:name w:val="Titre 61"/>
    <w:basedOn w:val="Normal"/>
    <w:next w:val="Normal"/>
    <w:uiPriority w:val="9"/>
    <w:semiHidden/>
    <w:unhideWhenUsed/>
    <w:qFormat/>
    <w:rsid w:val="001D3373"/>
    <w:pPr>
      <w:keepNext/>
      <w:keepLines/>
      <w:spacing w:before="200" w:line="276" w:lineRule="auto"/>
      <w:outlineLvl w:val="5"/>
    </w:pPr>
    <w:rPr>
      <w:rFonts w:ascii="Cambria" w:eastAsia="Times New Roman" w:hAnsi="Cambria"/>
      <w:i/>
      <w:iCs/>
      <w:color w:val="243F60"/>
      <w:sz w:val="22"/>
      <w:szCs w:val="22"/>
      <w:lang w:eastAsia="en-US"/>
    </w:rPr>
  </w:style>
  <w:style w:type="numbering" w:customStyle="1" w:styleId="Aucuneliste1">
    <w:name w:val="Aucune liste1"/>
    <w:next w:val="Semlista"/>
    <w:uiPriority w:val="99"/>
    <w:semiHidden/>
    <w:unhideWhenUsed/>
    <w:rsid w:val="001D3373"/>
  </w:style>
  <w:style w:type="character" w:customStyle="1" w:styleId="Lienhypertexte1">
    <w:name w:val="Lien hypertexte1"/>
    <w:uiPriority w:val="99"/>
    <w:unhideWhenUsed/>
    <w:rsid w:val="001D3373"/>
    <w:rPr>
      <w:color w:val="0000FF"/>
      <w:u w:val="single"/>
    </w:rPr>
  </w:style>
  <w:style w:type="character" w:customStyle="1" w:styleId="Lienhypertextesuivivisit1">
    <w:name w:val="Lien hypertexte suivi visité1"/>
    <w:uiPriority w:val="99"/>
    <w:semiHidden/>
    <w:unhideWhenUsed/>
    <w:rsid w:val="001D3373"/>
    <w:rPr>
      <w:color w:val="800080"/>
      <w:u w:val="single"/>
    </w:rPr>
  </w:style>
  <w:style w:type="paragraph" w:customStyle="1" w:styleId="TM91">
    <w:name w:val="TM 91"/>
    <w:basedOn w:val="Normal"/>
    <w:next w:val="Normal"/>
    <w:autoRedefine/>
    <w:uiPriority w:val="39"/>
    <w:unhideWhenUsed/>
    <w:rsid w:val="001D3373"/>
    <w:pPr>
      <w:spacing w:after="100" w:line="276" w:lineRule="auto"/>
      <w:ind w:left="1760"/>
    </w:pPr>
    <w:rPr>
      <w:rFonts w:ascii="Calibri" w:eastAsia="Times New Roman" w:hAnsi="Calibri"/>
      <w:sz w:val="22"/>
      <w:szCs w:val="22"/>
    </w:rPr>
  </w:style>
  <w:style w:type="character" w:customStyle="1" w:styleId="CommentaireCar1">
    <w:name w:val="Commentaire Car1"/>
    <w:uiPriority w:val="99"/>
    <w:locked/>
    <w:rsid w:val="001D3373"/>
    <w:rPr>
      <w:rFonts w:ascii="Arial" w:eastAsia="Times New Roman" w:hAnsi="Arial" w:cs="Times New Roman"/>
      <w:sz w:val="18"/>
      <w:szCs w:val="20"/>
    </w:rPr>
  </w:style>
  <w:style w:type="character" w:customStyle="1" w:styleId="RetraitcorpsdetexteCar1">
    <w:name w:val="Retrait corps de texte Car1"/>
    <w:basedOn w:val="Tipodeletrapredefinidodopargrafo"/>
    <w:uiPriority w:val="99"/>
    <w:semiHidden/>
    <w:rsid w:val="001D3373"/>
  </w:style>
  <w:style w:type="paragraph" w:customStyle="1" w:styleId="Sous-titre1">
    <w:name w:val="Sous-titre1"/>
    <w:basedOn w:val="Normal"/>
    <w:next w:val="Normal"/>
    <w:uiPriority w:val="11"/>
    <w:qFormat/>
    <w:rsid w:val="001D3373"/>
    <w:pPr>
      <w:spacing w:after="200" w:line="276" w:lineRule="auto"/>
    </w:pPr>
    <w:rPr>
      <w:rFonts w:ascii="Cambria" w:eastAsia="Times New Roman" w:hAnsi="Cambria"/>
      <w:i/>
      <w:iCs/>
      <w:color w:val="4F81BD"/>
      <w:spacing w:val="15"/>
    </w:rPr>
  </w:style>
  <w:style w:type="character" w:customStyle="1" w:styleId="Primeiroavanodecorpodetexto2Carcter">
    <w:name w:val="Primeiro avanço de corpo de texto 2 Carácter"/>
    <w:basedOn w:val="AvanodecorpodetextoCarcter"/>
    <w:link w:val="Primeiroavanodecorpodetexto2"/>
    <w:uiPriority w:val="99"/>
    <w:rsid w:val="001D3373"/>
    <w:rPr>
      <w:rFonts w:ascii="Calibri" w:eastAsia="Times New Roman" w:hAnsi="Calibri" w:cs="Times New Roman"/>
      <w:sz w:val="24"/>
      <w:szCs w:val="24"/>
      <w:lang w:eastAsia="fr-FR"/>
    </w:rPr>
  </w:style>
  <w:style w:type="paragraph" w:styleId="Primeiroavanodecorpodetexto2">
    <w:name w:val="Body Text First Indent 2"/>
    <w:basedOn w:val="Avanodecorpodetexto"/>
    <w:link w:val="Primeiroavanodecorpodetexto2Carcter"/>
    <w:uiPriority w:val="99"/>
    <w:unhideWhenUsed/>
    <w:rsid w:val="001D3373"/>
    <w:pPr>
      <w:spacing w:after="200" w:line="276" w:lineRule="auto"/>
      <w:ind w:firstLine="360"/>
    </w:pPr>
    <w:rPr>
      <w:rFonts w:ascii="Calibri" w:eastAsia="Times New Roman" w:hAnsi="Calibri"/>
      <w:sz w:val="22"/>
      <w:szCs w:val="22"/>
    </w:rPr>
  </w:style>
  <w:style w:type="character" w:customStyle="1" w:styleId="Retraitcorpset1religCar1">
    <w:name w:val="Retrait corps et 1re lig. Car1"/>
    <w:basedOn w:val="AvanodecorpodetextoCarcter"/>
    <w:uiPriority w:val="99"/>
    <w:semiHidden/>
    <w:rsid w:val="001D3373"/>
    <w:rPr>
      <w:rFonts w:ascii="Times New Roman" w:eastAsia="Times New Roman" w:hAnsi="Times New Roman" w:cs="Times New Roman"/>
      <w:sz w:val="24"/>
      <w:szCs w:val="24"/>
      <w:lang w:eastAsia="fr-FR"/>
    </w:rPr>
  </w:style>
  <w:style w:type="character" w:customStyle="1" w:styleId="ObjetducommentaireCar1">
    <w:name w:val="Objet du commentaire Car1"/>
    <w:basedOn w:val="TextodecomentrioCarcter"/>
    <w:uiPriority w:val="99"/>
    <w:semiHidden/>
    <w:rsid w:val="001D3373"/>
    <w:rPr>
      <w:rFonts w:ascii="Times New Roman" w:eastAsia="Times New Roman" w:hAnsi="Times New Roman" w:cs="Times New Roman"/>
      <w:b/>
      <w:bCs/>
      <w:sz w:val="20"/>
      <w:szCs w:val="20"/>
      <w:lang w:eastAsia="fr-FR"/>
    </w:rPr>
  </w:style>
  <w:style w:type="character" w:customStyle="1" w:styleId="Grillemoyenne2Car">
    <w:name w:val="Grille moyenne 2 Car"/>
    <w:link w:val="Grillemoyenne21"/>
    <w:uiPriority w:val="1"/>
    <w:locked/>
    <w:rsid w:val="001D3373"/>
    <w:rPr>
      <w:rFonts w:cs="Times New Roman"/>
    </w:rPr>
  </w:style>
  <w:style w:type="paragraph" w:customStyle="1" w:styleId="Grillemoyenne21">
    <w:name w:val="Grille moyenne 21"/>
    <w:basedOn w:val="Normal"/>
    <w:link w:val="Grillemoyenne2Car"/>
    <w:uiPriority w:val="1"/>
    <w:qFormat/>
    <w:rsid w:val="001D3373"/>
    <w:rPr>
      <w:rFonts w:asciiTheme="minorHAnsi" w:hAnsiTheme="minorHAnsi"/>
      <w:sz w:val="22"/>
      <w:szCs w:val="22"/>
      <w:lang w:eastAsia="en-US"/>
    </w:rPr>
  </w:style>
  <w:style w:type="paragraph" w:customStyle="1" w:styleId="GridTable31">
    <w:name w:val="Grid Table 31"/>
    <w:basedOn w:val="Cabealho1"/>
    <w:next w:val="Normal"/>
    <w:uiPriority w:val="39"/>
    <w:unhideWhenUsed/>
    <w:qFormat/>
    <w:rsid w:val="001D3373"/>
    <w:pPr>
      <w:keepLines/>
      <w:numPr>
        <w:numId w:val="0"/>
      </w:numPr>
      <w:spacing w:before="480" w:after="0" w:line="276" w:lineRule="auto"/>
      <w:ind w:left="787" w:hanging="360"/>
      <w:outlineLvl w:val="9"/>
    </w:pPr>
    <w:rPr>
      <w:rFonts w:ascii="Times New Roman" w:eastAsia="Calibri" w:hAnsi="Times New Roman"/>
      <w:b w:val="0"/>
      <w:bCs w:val="0"/>
      <w:kern w:val="0"/>
      <w:sz w:val="28"/>
      <w:szCs w:val="28"/>
      <w:u w:val="single"/>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PDG16">
    <w:name w:val="PDG16"/>
    <w:basedOn w:val="Normal"/>
    <w:uiPriority w:val="99"/>
    <w:rsid w:val="001D3373"/>
    <w:pPr>
      <w:spacing w:before="120" w:after="120" w:line="240" w:lineRule="atLeast"/>
      <w:jc w:val="both"/>
    </w:pPr>
    <w:rPr>
      <w:rFonts w:ascii="Arial Narrow" w:eastAsia="Times New Roman" w:hAnsi="Arial Narrow"/>
      <w:b/>
      <w:smallCaps/>
      <w:color w:val="003366"/>
      <w:sz w:val="32"/>
      <w:szCs w:val="32"/>
    </w:rPr>
  </w:style>
  <w:style w:type="paragraph" w:customStyle="1" w:styleId="Corpsdetexte21">
    <w:name w:val="Corps de texte 21"/>
    <w:basedOn w:val="Normal"/>
    <w:uiPriority w:val="99"/>
    <w:rsid w:val="001D3373"/>
    <w:pPr>
      <w:tabs>
        <w:tab w:val="left" w:pos="360"/>
      </w:tabs>
      <w:overflowPunct w:val="0"/>
      <w:autoSpaceDE w:val="0"/>
      <w:autoSpaceDN w:val="0"/>
      <w:adjustRightInd w:val="0"/>
      <w:spacing w:line="360" w:lineRule="auto"/>
      <w:ind w:right="203"/>
      <w:jc w:val="both"/>
    </w:pPr>
    <w:rPr>
      <w:rFonts w:ascii="Calibri" w:eastAsia="Calibri" w:hAnsi="Calibri"/>
      <w:szCs w:val="20"/>
    </w:rPr>
  </w:style>
  <w:style w:type="character" w:customStyle="1" w:styleId="psCar">
    <w:name w:val="ps Car"/>
    <w:link w:val="ps"/>
    <w:uiPriority w:val="99"/>
    <w:locked/>
    <w:rsid w:val="001D3373"/>
    <w:rPr>
      <w:rFonts w:ascii="Times New Roman" w:hAnsi="Times New Roman" w:cs="Times New Roman"/>
    </w:rPr>
  </w:style>
  <w:style w:type="paragraph" w:customStyle="1" w:styleId="ps">
    <w:name w:val="ps"/>
    <w:basedOn w:val="Normal"/>
    <w:link w:val="psCar"/>
    <w:uiPriority w:val="99"/>
    <w:rsid w:val="001D3373"/>
    <w:pPr>
      <w:keepLines/>
      <w:spacing w:before="240"/>
      <w:jc w:val="both"/>
    </w:pPr>
    <w:rPr>
      <w:sz w:val="22"/>
      <w:szCs w:val="22"/>
      <w:lang w:eastAsia="en-US"/>
    </w:rPr>
  </w:style>
  <w:style w:type="paragraph" w:customStyle="1" w:styleId="PARA">
    <w:name w:val="PARA"/>
    <w:basedOn w:val="Normal"/>
    <w:rsid w:val="001D3373"/>
    <w:pPr>
      <w:keepLines/>
      <w:spacing w:before="120"/>
      <w:jc w:val="both"/>
    </w:pPr>
    <w:rPr>
      <w:rFonts w:ascii="Arial" w:eastAsia="Times New Roman" w:hAnsi="Arial"/>
      <w:sz w:val="20"/>
      <w:szCs w:val="20"/>
    </w:rPr>
  </w:style>
  <w:style w:type="paragraph" w:customStyle="1" w:styleId="Retrait2">
    <w:name w:val="Retrait2"/>
    <w:basedOn w:val="Corpodetexto"/>
    <w:uiPriority w:val="99"/>
    <w:rsid w:val="001D3373"/>
    <w:pPr>
      <w:tabs>
        <w:tab w:val="num" w:pos="360"/>
      </w:tabs>
      <w:spacing w:before="0" w:after="0"/>
      <w:ind w:left="340" w:hanging="340"/>
      <w:jc w:val="both"/>
    </w:pPr>
    <w:rPr>
      <w:rFonts w:ascii="Times New Roman" w:eastAsia="Times New Roman" w:hAnsi="Times New Roman"/>
      <w:bCs/>
      <w:spacing w:val="0"/>
      <w:sz w:val="22"/>
    </w:rPr>
  </w:style>
  <w:style w:type="paragraph" w:customStyle="1" w:styleId="Retraittexte">
    <w:name w:val="Retrait texte"/>
    <w:basedOn w:val="Corpodetexto"/>
    <w:uiPriority w:val="99"/>
    <w:rsid w:val="001D3373"/>
    <w:pPr>
      <w:spacing w:before="0" w:after="0"/>
      <w:ind w:left="360" w:hanging="360"/>
      <w:jc w:val="both"/>
    </w:pPr>
    <w:rPr>
      <w:rFonts w:ascii="Times New Roman" w:eastAsia="Times New Roman" w:hAnsi="Times New Roman"/>
      <w:spacing w:val="0"/>
      <w:sz w:val="22"/>
    </w:rPr>
  </w:style>
  <w:style w:type="character" w:customStyle="1" w:styleId="st">
    <w:name w:val="st"/>
    <w:basedOn w:val="Tipodeletrapredefinidodopargrafo"/>
    <w:rsid w:val="001D3373"/>
  </w:style>
  <w:style w:type="character" w:customStyle="1" w:styleId="mw-headline">
    <w:name w:val="mw-headline"/>
    <w:basedOn w:val="Tipodeletrapredefinidodopargrafo"/>
    <w:rsid w:val="001D3373"/>
  </w:style>
  <w:style w:type="character" w:customStyle="1" w:styleId="nowrap">
    <w:name w:val="nowrap"/>
    <w:basedOn w:val="Tipodeletrapredefinidodopargrafo"/>
    <w:rsid w:val="001D3373"/>
  </w:style>
  <w:style w:type="character" w:customStyle="1" w:styleId="article-fulllettrine">
    <w:name w:val="article-full__lettrine"/>
    <w:basedOn w:val="Tipodeletrapredefinidodopargrafo"/>
    <w:rsid w:val="001D3373"/>
  </w:style>
  <w:style w:type="character" w:customStyle="1" w:styleId="reference-text">
    <w:name w:val="reference-text"/>
    <w:basedOn w:val="Tipodeletrapredefinidodopargrafo"/>
    <w:rsid w:val="001D3373"/>
  </w:style>
  <w:style w:type="character" w:customStyle="1" w:styleId="bodyinterna1">
    <w:name w:val="bodyinterna1"/>
    <w:rsid w:val="001D3373"/>
    <w:rPr>
      <w:rFonts w:ascii="Arial" w:hAnsi="Arial" w:cs="Arial" w:hint="default"/>
      <w:sz w:val="20"/>
      <w:szCs w:val="20"/>
    </w:rPr>
  </w:style>
  <w:style w:type="table" w:customStyle="1" w:styleId="Listeclaire-Accent31">
    <w:name w:val="Liste claire - Accent 31"/>
    <w:basedOn w:val="Tabelanormal"/>
    <w:next w:val="ListaEscura-Cor3"/>
    <w:uiPriority w:val="61"/>
    <w:rsid w:val="001D3373"/>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M41">
    <w:name w:val="TM 41"/>
    <w:basedOn w:val="Normal"/>
    <w:next w:val="Normal"/>
    <w:autoRedefine/>
    <w:uiPriority w:val="1"/>
    <w:unhideWhenUsed/>
    <w:qFormat/>
    <w:rsid w:val="001D3373"/>
    <w:pPr>
      <w:spacing w:after="100" w:line="259" w:lineRule="auto"/>
      <w:ind w:left="660"/>
    </w:pPr>
    <w:rPr>
      <w:rFonts w:ascii="Calibri" w:eastAsia="Times New Roman" w:hAnsi="Calibri"/>
      <w:sz w:val="22"/>
      <w:szCs w:val="22"/>
    </w:rPr>
  </w:style>
  <w:style w:type="paragraph" w:customStyle="1" w:styleId="TM51">
    <w:name w:val="TM 51"/>
    <w:basedOn w:val="Normal"/>
    <w:next w:val="Normal"/>
    <w:autoRedefine/>
    <w:uiPriority w:val="39"/>
    <w:unhideWhenUsed/>
    <w:rsid w:val="001D3373"/>
    <w:pPr>
      <w:spacing w:after="100" w:line="259" w:lineRule="auto"/>
      <w:ind w:left="880"/>
    </w:pPr>
    <w:rPr>
      <w:rFonts w:ascii="Calibri" w:eastAsia="Times New Roman" w:hAnsi="Calibri"/>
      <w:sz w:val="22"/>
      <w:szCs w:val="22"/>
    </w:rPr>
  </w:style>
  <w:style w:type="paragraph" w:customStyle="1" w:styleId="TM61">
    <w:name w:val="TM 61"/>
    <w:basedOn w:val="Normal"/>
    <w:next w:val="Normal"/>
    <w:autoRedefine/>
    <w:uiPriority w:val="39"/>
    <w:unhideWhenUsed/>
    <w:rsid w:val="001D3373"/>
    <w:pPr>
      <w:spacing w:after="100" w:line="259" w:lineRule="auto"/>
      <w:ind w:left="1100"/>
    </w:pPr>
    <w:rPr>
      <w:rFonts w:ascii="Calibri" w:eastAsia="Times New Roman" w:hAnsi="Calibri"/>
      <w:sz w:val="22"/>
      <w:szCs w:val="22"/>
    </w:rPr>
  </w:style>
  <w:style w:type="paragraph" w:customStyle="1" w:styleId="TM71">
    <w:name w:val="TM 71"/>
    <w:basedOn w:val="Normal"/>
    <w:next w:val="Normal"/>
    <w:autoRedefine/>
    <w:uiPriority w:val="39"/>
    <w:unhideWhenUsed/>
    <w:rsid w:val="001D3373"/>
    <w:pPr>
      <w:spacing w:after="100" w:line="259" w:lineRule="auto"/>
      <w:ind w:left="1320"/>
    </w:pPr>
    <w:rPr>
      <w:rFonts w:ascii="Calibri" w:eastAsia="Times New Roman" w:hAnsi="Calibri"/>
      <w:sz w:val="22"/>
      <w:szCs w:val="22"/>
    </w:rPr>
  </w:style>
  <w:style w:type="paragraph" w:customStyle="1" w:styleId="TM81">
    <w:name w:val="TM 81"/>
    <w:basedOn w:val="Normal"/>
    <w:next w:val="Normal"/>
    <w:autoRedefine/>
    <w:uiPriority w:val="39"/>
    <w:unhideWhenUsed/>
    <w:rsid w:val="001D3373"/>
    <w:pPr>
      <w:spacing w:after="100" w:line="259" w:lineRule="auto"/>
      <w:ind w:left="1540"/>
    </w:pPr>
    <w:rPr>
      <w:rFonts w:ascii="Calibri" w:eastAsia="Times New Roman" w:hAnsi="Calibri"/>
      <w:sz w:val="22"/>
      <w:szCs w:val="22"/>
    </w:rPr>
  </w:style>
  <w:style w:type="paragraph" w:customStyle="1" w:styleId="Rvision1">
    <w:name w:val="Révision1"/>
    <w:next w:val="Tramecouleur-Accent11"/>
    <w:hidden/>
    <w:uiPriority w:val="99"/>
    <w:semiHidden/>
    <w:rsid w:val="001D3373"/>
    <w:pPr>
      <w:spacing w:after="0" w:line="240" w:lineRule="auto"/>
    </w:pPr>
    <w:rPr>
      <w:rFonts w:ascii="Calibri" w:eastAsia="Calibri" w:hAnsi="Calibri" w:cs="Times New Roman"/>
    </w:rPr>
  </w:style>
  <w:style w:type="character" w:customStyle="1" w:styleId="Titre3Car2">
    <w:name w:val="Titre 3 Car2"/>
    <w:uiPriority w:val="9"/>
    <w:semiHidden/>
    <w:rsid w:val="001D3373"/>
    <w:rPr>
      <w:rFonts w:ascii="Calibri Light" w:eastAsia="Yu Gothic Light" w:hAnsi="Calibri Light" w:cs="Times New Roman"/>
      <w:color w:val="1F4D78"/>
      <w:sz w:val="24"/>
      <w:szCs w:val="24"/>
    </w:rPr>
  </w:style>
  <w:style w:type="character" w:customStyle="1" w:styleId="Titre4Car1">
    <w:name w:val="Titre 4 Car1"/>
    <w:uiPriority w:val="9"/>
    <w:semiHidden/>
    <w:rsid w:val="001D3373"/>
    <w:rPr>
      <w:rFonts w:ascii="Calibri Light" w:eastAsia="Yu Gothic Light" w:hAnsi="Calibri Light" w:cs="Times New Roman"/>
      <w:i/>
      <w:iCs/>
      <w:color w:val="2E74B5"/>
    </w:rPr>
  </w:style>
  <w:style w:type="character" w:customStyle="1" w:styleId="Titre5Car1">
    <w:name w:val="Titre 5 Car1"/>
    <w:uiPriority w:val="9"/>
    <w:semiHidden/>
    <w:rsid w:val="001D3373"/>
    <w:rPr>
      <w:rFonts w:ascii="Calibri Light" w:eastAsia="Yu Gothic Light" w:hAnsi="Calibri Light" w:cs="Times New Roman"/>
      <w:color w:val="2E74B5"/>
    </w:rPr>
  </w:style>
  <w:style w:type="table" w:styleId="ListaEscura-Cor3">
    <w:name w:val="Dark List Accent 3"/>
    <w:basedOn w:val="Tabelanormal"/>
    <w:uiPriority w:val="61"/>
    <w:unhideWhenUsed/>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ramecouleur-Accent11">
    <w:name w:val="Trame couleur - Accent 11"/>
    <w:hidden/>
    <w:uiPriority w:val="99"/>
    <w:semiHidden/>
    <w:rsid w:val="001D3373"/>
    <w:pPr>
      <w:spacing w:after="0" w:line="240" w:lineRule="auto"/>
    </w:pPr>
    <w:rPr>
      <w:rFonts w:ascii="Calibri" w:eastAsia="Calibri" w:hAnsi="Calibri" w:cs="Times New Roman"/>
    </w:rPr>
  </w:style>
  <w:style w:type="paragraph" w:customStyle="1" w:styleId="Grillecouleur-Accent11">
    <w:name w:val="Grille couleur - Accent 11"/>
    <w:basedOn w:val="Normal"/>
    <w:next w:val="Normal"/>
    <w:link w:val="Grillecouleur-Accent1Car"/>
    <w:uiPriority w:val="29"/>
    <w:qFormat/>
    <w:rsid w:val="001D3373"/>
    <w:pPr>
      <w:spacing w:after="200" w:line="276" w:lineRule="auto"/>
    </w:pPr>
    <w:rPr>
      <w:rFonts w:ascii="Calibri" w:eastAsia="Times New Roman" w:hAnsi="Calibri"/>
      <w:i/>
      <w:iCs/>
      <w:color w:val="000000"/>
      <w:sz w:val="22"/>
      <w:szCs w:val="22"/>
    </w:rPr>
  </w:style>
  <w:style w:type="character" w:customStyle="1" w:styleId="Grillecouleur-Accent1Car">
    <w:name w:val="Grille couleur - Accent 1 Car"/>
    <w:link w:val="Grillecouleur-Accent11"/>
    <w:uiPriority w:val="29"/>
    <w:rsid w:val="001D3373"/>
    <w:rPr>
      <w:rFonts w:ascii="Calibri" w:eastAsia="Times New Roman" w:hAnsi="Calibri" w:cs="Times New Roman"/>
      <w:i/>
      <w:iCs/>
      <w:color w:val="000000"/>
      <w:lang w:eastAsia="fr-FR"/>
    </w:rPr>
  </w:style>
  <w:style w:type="paragraph" w:customStyle="1" w:styleId="088095CB421E4E02BDC9682AFEE1723A">
    <w:name w:val="088095CB421E4E02BDC9682AFEE1723A"/>
    <w:rsid w:val="001D3373"/>
    <w:pPr>
      <w:spacing w:after="200" w:line="276" w:lineRule="auto"/>
    </w:pPr>
    <w:rPr>
      <w:rFonts w:ascii="Calibri" w:eastAsia="Yu Mincho" w:hAnsi="Calibri" w:cs="Times New Roman"/>
      <w:lang w:eastAsia="fr-FR"/>
    </w:rPr>
  </w:style>
  <w:style w:type="numbering" w:customStyle="1" w:styleId="Style17">
    <w:name w:val="Style17"/>
    <w:uiPriority w:val="99"/>
    <w:rsid w:val="001D3373"/>
    <w:pPr>
      <w:numPr>
        <w:numId w:val="25"/>
      </w:numPr>
    </w:pPr>
  </w:style>
  <w:style w:type="paragraph" w:customStyle="1" w:styleId="Body1">
    <w:name w:val="Body1"/>
    <w:basedOn w:val="Normal"/>
    <w:rsid w:val="001D3373"/>
    <w:pPr>
      <w:spacing w:before="60" w:after="120" w:line="240" w:lineRule="exact"/>
      <w:ind w:left="709"/>
      <w:jc w:val="both"/>
    </w:pPr>
    <w:rPr>
      <w:rFonts w:ascii="Arial" w:eastAsia="Times New Roman" w:hAnsi="Arial" w:cs="Arial"/>
      <w:sz w:val="20"/>
      <w:szCs w:val="20"/>
    </w:rPr>
  </w:style>
  <w:style w:type="paragraph" w:styleId="HTMLpr-formatado">
    <w:name w:val="HTML Preformatted"/>
    <w:basedOn w:val="Normal"/>
    <w:link w:val="HTMLpr-formatadoCarcter"/>
    <w:uiPriority w:val="99"/>
    <w:unhideWhenUsed/>
    <w:rsid w:val="001D3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formatadoCarcter">
    <w:name w:val="HTML pré-formatado Carácter"/>
    <w:basedOn w:val="Tipodeletrapredefinidodopargrafo"/>
    <w:link w:val="HTMLpr-formatado"/>
    <w:uiPriority w:val="99"/>
    <w:rsid w:val="001D3373"/>
    <w:rPr>
      <w:rFonts w:ascii="Courier New" w:eastAsia="Times New Roman" w:hAnsi="Courier New" w:cs="Courier New"/>
      <w:sz w:val="20"/>
      <w:szCs w:val="20"/>
      <w:lang w:eastAsia="fr-FR"/>
    </w:rPr>
  </w:style>
  <w:style w:type="paragraph" w:customStyle="1" w:styleId="Normal10">
    <w:name w:val="Normal1"/>
    <w:basedOn w:val="Normal"/>
    <w:link w:val="normalCar"/>
    <w:rsid w:val="001D3373"/>
    <w:pPr>
      <w:spacing w:before="120"/>
      <w:ind w:left="737"/>
      <w:jc w:val="both"/>
    </w:pPr>
    <w:rPr>
      <w:rFonts w:ascii="Century Gothic" w:eastAsia="Calibri" w:hAnsi="Century Gothic"/>
      <w:sz w:val="20"/>
      <w:szCs w:val="20"/>
      <w:lang w:val="en-GB"/>
    </w:rPr>
  </w:style>
  <w:style w:type="character" w:customStyle="1" w:styleId="normalCar">
    <w:name w:val="normal Car"/>
    <w:link w:val="Normal10"/>
    <w:locked/>
    <w:rsid w:val="001D3373"/>
    <w:rPr>
      <w:rFonts w:ascii="Century Gothic" w:eastAsia="Calibri" w:hAnsi="Century Gothic" w:cs="Times New Roman"/>
      <w:sz w:val="20"/>
      <w:szCs w:val="20"/>
      <w:lang w:val="en-GB" w:eastAsia="fr-FR"/>
    </w:rPr>
  </w:style>
  <w:style w:type="paragraph" w:customStyle="1" w:styleId="Arial">
    <w:name w:val="Arial"/>
    <w:basedOn w:val="Normal"/>
    <w:uiPriority w:val="99"/>
    <w:rsid w:val="001D3373"/>
    <w:rPr>
      <w:rFonts w:eastAsia="Times New Roman"/>
      <w:sz w:val="21"/>
      <w:szCs w:val="21"/>
    </w:rPr>
  </w:style>
  <w:style w:type="table" w:customStyle="1" w:styleId="TableauGrille31">
    <w:name w:val="Tableau Grille 31"/>
    <w:basedOn w:val="Tabelanormal"/>
    <w:uiPriority w:val="48"/>
    <w:rsid w:val="001D3373"/>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Grille3-Accentuation41">
    <w:name w:val="Tableau Grille 3 - Accentuation 41"/>
    <w:basedOn w:val="Tabelanormal"/>
    <w:uiPriority w:val="48"/>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3-Accentuation61">
    <w:name w:val="Tableau Grille 3 - Accentuation 61"/>
    <w:basedOn w:val="Tabelanormal"/>
    <w:uiPriority w:val="48"/>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auGrille41">
    <w:name w:val="Tableau Grille 41"/>
    <w:basedOn w:val="Tabelanormal"/>
    <w:uiPriority w:val="49"/>
    <w:rsid w:val="001D3373"/>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rameclaire-Accent21">
    <w:name w:val="Trame claire - Accent 21"/>
    <w:basedOn w:val="Normal"/>
    <w:next w:val="Normal"/>
    <w:link w:val="Trameclaire-Accent2Car"/>
    <w:uiPriority w:val="30"/>
    <w:qFormat/>
    <w:rsid w:val="001D3373"/>
    <w:pPr>
      <w:pBdr>
        <w:top w:val="single" w:sz="4" w:space="10" w:color="5B9BD5"/>
        <w:bottom w:val="single" w:sz="4" w:space="10" w:color="5B9BD5"/>
      </w:pBdr>
      <w:spacing w:before="360" w:after="360" w:line="276" w:lineRule="auto"/>
      <w:ind w:left="864" w:right="864"/>
      <w:jc w:val="center"/>
    </w:pPr>
    <w:rPr>
      <w:rFonts w:eastAsia="Times New Roman"/>
      <w:b/>
      <w:bCs/>
      <w:i/>
      <w:iCs/>
      <w:color w:val="4F81BD"/>
      <w:lang w:eastAsia="en-US"/>
    </w:rPr>
  </w:style>
  <w:style w:type="table" w:customStyle="1" w:styleId="Tableausimple211">
    <w:name w:val="Tableau simple 211"/>
    <w:basedOn w:val="Tabelanormal"/>
    <w:uiPriority w:val="42"/>
    <w:rsid w:val="001D337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rtetext-column">
    <w:name w:val="rtetext-column"/>
    <w:basedOn w:val="Normal"/>
    <w:rsid w:val="001D3373"/>
    <w:pPr>
      <w:spacing w:before="100" w:beforeAutospacing="1" w:after="100" w:afterAutospacing="1"/>
    </w:pPr>
    <w:rPr>
      <w:rFonts w:eastAsia="Times New Roman"/>
    </w:rPr>
  </w:style>
  <w:style w:type="character" w:customStyle="1" w:styleId="BodyTextIndentChar">
    <w:name w:val="Body Text Indent Char"/>
    <w:uiPriority w:val="99"/>
    <w:semiHidden/>
    <w:rsid w:val="001D3373"/>
    <w:rPr>
      <w:rFonts w:ascii="Times New Roman" w:hAnsi="Times New Roman"/>
      <w:sz w:val="24"/>
      <w:szCs w:val="24"/>
    </w:rPr>
  </w:style>
  <w:style w:type="character" w:customStyle="1" w:styleId="BodyTextChar0">
    <w:name w:val="Body Text Char"/>
    <w:uiPriority w:val="99"/>
    <w:semiHidden/>
    <w:rsid w:val="001D3373"/>
    <w:rPr>
      <w:rFonts w:ascii="Times New Roman" w:hAnsi="Times New Roman"/>
      <w:sz w:val="24"/>
      <w:szCs w:val="24"/>
    </w:rPr>
  </w:style>
  <w:style w:type="character" w:customStyle="1" w:styleId="FootnoteTextChar">
    <w:name w:val="Footnote Text Char"/>
    <w:uiPriority w:val="99"/>
    <w:semiHidden/>
    <w:rsid w:val="001D3373"/>
    <w:rPr>
      <w:rFonts w:ascii="Times New Roman" w:hAnsi="Times New Roman"/>
      <w:sz w:val="20"/>
      <w:szCs w:val="20"/>
    </w:rPr>
  </w:style>
  <w:style w:type="character" w:customStyle="1" w:styleId="HeaderChar">
    <w:name w:val="Header Char"/>
    <w:uiPriority w:val="99"/>
    <w:semiHidden/>
    <w:rsid w:val="001D3373"/>
    <w:rPr>
      <w:rFonts w:ascii="Times New Roman" w:hAnsi="Times New Roman"/>
      <w:sz w:val="24"/>
      <w:szCs w:val="24"/>
    </w:rPr>
  </w:style>
  <w:style w:type="character" w:customStyle="1" w:styleId="FooterChar">
    <w:name w:val="Footer Char"/>
    <w:uiPriority w:val="99"/>
    <w:semiHidden/>
    <w:rsid w:val="001D3373"/>
    <w:rPr>
      <w:rFonts w:ascii="Times New Roman" w:hAnsi="Times New Roman"/>
      <w:sz w:val="24"/>
      <w:szCs w:val="24"/>
    </w:rPr>
  </w:style>
  <w:style w:type="character" w:customStyle="1" w:styleId="shorttext">
    <w:name w:val="short_text"/>
    <w:basedOn w:val="Tipodeletrapredefinidodopargrafo"/>
    <w:rsid w:val="001D3373"/>
  </w:style>
  <w:style w:type="character" w:customStyle="1" w:styleId="DefaultCar">
    <w:name w:val="Default Car"/>
    <w:link w:val="Default"/>
    <w:rsid w:val="001D3373"/>
    <w:rPr>
      <w:rFonts w:ascii="Arial" w:eastAsia="Calibri" w:hAnsi="Arial" w:cs="Arial"/>
      <w:color w:val="000000"/>
      <w:sz w:val="24"/>
      <w:szCs w:val="24"/>
      <w:lang w:eastAsia="fr-FR"/>
    </w:rPr>
  </w:style>
  <w:style w:type="table" w:customStyle="1" w:styleId="TableGrid">
    <w:name w:val="TableGrid"/>
    <w:rsid w:val="001D3373"/>
    <w:pPr>
      <w:spacing w:after="0" w:line="240" w:lineRule="auto"/>
    </w:pPr>
    <w:rPr>
      <w:rFonts w:ascii="Calibri" w:eastAsia="Yu Mincho" w:hAnsi="Calibri" w:cs="Times New Roman"/>
      <w:lang w:eastAsia="fr-FR"/>
    </w:rPr>
    <w:tblPr>
      <w:tblCellMar>
        <w:top w:w="0" w:type="dxa"/>
        <w:left w:w="0" w:type="dxa"/>
        <w:bottom w:w="0" w:type="dxa"/>
        <w:right w:w="0" w:type="dxa"/>
      </w:tblCellMar>
    </w:tblPr>
  </w:style>
  <w:style w:type="paragraph" w:customStyle="1" w:styleId="Alinea">
    <w:name w:val="Alinea"/>
    <w:basedOn w:val="Normal"/>
    <w:rsid w:val="001D3373"/>
    <w:pPr>
      <w:tabs>
        <w:tab w:val="right" w:leader="dot" w:pos="7088"/>
      </w:tabs>
      <w:autoSpaceDE w:val="0"/>
      <w:autoSpaceDN w:val="0"/>
      <w:adjustRightInd w:val="0"/>
      <w:spacing w:before="150"/>
      <w:jc w:val="both"/>
    </w:pPr>
    <w:rPr>
      <w:rFonts w:ascii="Helvetica" w:eastAsia="Times New Roman" w:hAnsi="Helvetica" w:cs="Helvetica"/>
      <w:sz w:val="20"/>
      <w:szCs w:val="20"/>
    </w:rPr>
  </w:style>
  <w:style w:type="paragraph" w:customStyle="1" w:styleId="Tartq">
    <w:name w:val="Tartq"/>
    <w:basedOn w:val="Normal"/>
    <w:rsid w:val="001D3373"/>
    <w:pPr>
      <w:autoSpaceDE w:val="0"/>
      <w:autoSpaceDN w:val="0"/>
      <w:adjustRightInd w:val="0"/>
      <w:spacing w:before="470" w:after="50"/>
      <w:jc w:val="both"/>
    </w:pPr>
    <w:rPr>
      <w:rFonts w:ascii="Helvetica" w:eastAsia="Times New Roman" w:hAnsi="Helvetica" w:cs="Helvetica"/>
      <w:b/>
      <w:bCs/>
    </w:rPr>
  </w:style>
  <w:style w:type="table" w:styleId="ListaClara-Cor3">
    <w:name w:val="Light List Accent 3"/>
    <w:basedOn w:val="Tabelanormal"/>
    <w:uiPriority w:val="61"/>
    <w:unhideWhenUsed/>
    <w:rsid w:val="001D337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itao">
    <w:name w:val="Quote"/>
    <w:basedOn w:val="Normal"/>
    <w:next w:val="Normal"/>
    <w:link w:val="CitaoCarcter"/>
    <w:uiPriority w:val="29"/>
    <w:qFormat/>
    <w:rsid w:val="001D3373"/>
    <w:pPr>
      <w:spacing w:after="200" w:line="276" w:lineRule="auto"/>
    </w:pPr>
    <w:rPr>
      <w:rFonts w:ascii="Calibri" w:eastAsia="Times New Roman" w:hAnsi="Calibri"/>
      <w:i/>
      <w:iCs/>
      <w:color w:val="000000"/>
      <w:sz w:val="22"/>
      <w:szCs w:val="22"/>
    </w:rPr>
  </w:style>
  <w:style w:type="character" w:customStyle="1" w:styleId="CitaoCarcter">
    <w:name w:val="Citação Carácter"/>
    <w:basedOn w:val="Tipodeletrapredefinidodopargrafo"/>
    <w:link w:val="Citao"/>
    <w:uiPriority w:val="29"/>
    <w:rsid w:val="001D3373"/>
    <w:rPr>
      <w:rFonts w:ascii="Calibri" w:eastAsia="Times New Roman" w:hAnsi="Calibri" w:cs="Times New Roman"/>
      <w:i/>
      <w:iCs/>
      <w:color w:val="000000"/>
      <w:lang w:eastAsia="fr-FR"/>
    </w:rPr>
  </w:style>
  <w:style w:type="paragraph" w:styleId="CitaoIntensa">
    <w:name w:val="Intense Quote"/>
    <w:basedOn w:val="Normal"/>
    <w:next w:val="Normal"/>
    <w:link w:val="CitaoIntensaCarcter"/>
    <w:uiPriority w:val="30"/>
    <w:qFormat/>
    <w:rsid w:val="001D3373"/>
    <w:pPr>
      <w:pBdr>
        <w:top w:val="single" w:sz="4" w:space="10" w:color="5B9BD5" w:themeColor="accent1"/>
        <w:bottom w:val="single" w:sz="4" w:space="10" w:color="5B9BD5" w:themeColor="accent1"/>
      </w:pBdr>
      <w:spacing w:before="360" w:after="360" w:line="276" w:lineRule="auto"/>
      <w:ind w:left="864" w:right="864"/>
      <w:jc w:val="center"/>
    </w:pPr>
    <w:rPr>
      <w:rFonts w:eastAsia="Calibri"/>
      <w:i/>
      <w:iCs/>
      <w:color w:val="5B9BD5" w:themeColor="accent1"/>
      <w:szCs w:val="22"/>
      <w:lang w:eastAsia="en-US"/>
    </w:rPr>
  </w:style>
  <w:style w:type="character" w:customStyle="1" w:styleId="CitaoIntensaCarcter">
    <w:name w:val="Citação Intensa Carácter"/>
    <w:basedOn w:val="Tipodeletrapredefinidodopargrafo"/>
    <w:link w:val="CitaoIntensa"/>
    <w:uiPriority w:val="30"/>
    <w:rsid w:val="001D3373"/>
    <w:rPr>
      <w:rFonts w:ascii="Times New Roman" w:eastAsia="Calibri" w:hAnsi="Times New Roman" w:cs="Times New Roman"/>
      <w:i/>
      <w:iCs/>
      <w:color w:val="5B9BD5" w:themeColor="accent1"/>
      <w:sz w:val="24"/>
    </w:rPr>
  </w:style>
  <w:style w:type="paragraph" w:customStyle="1" w:styleId="m8205132091282087500msolistparagraph">
    <w:name w:val="m_8205132091282087500msolistparagraph"/>
    <w:basedOn w:val="Normal"/>
    <w:rsid w:val="001D3373"/>
    <w:pPr>
      <w:spacing w:before="100" w:beforeAutospacing="1" w:after="100" w:afterAutospacing="1"/>
    </w:pPr>
    <w:rPr>
      <w:rFonts w:eastAsia="Times New Roman"/>
    </w:rPr>
  </w:style>
  <w:style w:type="character" w:customStyle="1" w:styleId="goohl4">
    <w:name w:val="goohl4"/>
    <w:basedOn w:val="Tipodeletrapredefinidodopargrafo"/>
    <w:rsid w:val="001D3373"/>
  </w:style>
  <w:style w:type="character" w:customStyle="1" w:styleId="Mentionnonrsolue1">
    <w:name w:val="Mention non résolue1"/>
    <w:basedOn w:val="Tipodeletrapredefinidodopargrafo"/>
    <w:uiPriority w:val="99"/>
    <w:semiHidden/>
    <w:unhideWhenUsed/>
    <w:rsid w:val="001D3373"/>
    <w:rPr>
      <w:color w:val="605E5C"/>
      <w:shd w:val="clear" w:color="auto" w:fill="E1DFDD"/>
    </w:rPr>
  </w:style>
  <w:style w:type="character" w:customStyle="1" w:styleId="lang-en">
    <w:name w:val="lang-en"/>
    <w:basedOn w:val="Tipodeletrapredefinidodopargrafo"/>
    <w:rsid w:val="001D3373"/>
  </w:style>
  <w:style w:type="paragraph" w:customStyle="1" w:styleId="classic">
    <w:name w:val="classic"/>
    <w:basedOn w:val="Normal"/>
    <w:rsid w:val="001D3373"/>
    <w:pPr>
      <w:spacing w:before="100" w:beforeAutospacing="1" w:after="100" w:afterAutospacing="1"/>
    </w:pPr>
  </w:style>
  <w:style w:type="paragraph" w:customStyle="1" w:styleId="Basdepage">
    <w:name w:val="Basdepage"/>
    <w:link w:val="BasdepageCar"/>
    <w:qFormat/>
    <w:rsid w:val="00B15CA5"/>
    <w:pPr>
      <w:pBdr>
        <w:top w:val="single" w:sz="4" w:space="1" w:color="auto"/>
      </w:pBdr>
      <w:spacing w:after="200" w:line="276" w:lineRule="auto"/>
    </w:pPr>
    <w:rPr>
      <w:rFonts w:ascii="Times New Roman" w:eastAsia="Times New Roman" w:hAnsi="Times New Roman" w:cstheme="minorHAnsi"/>
      <w:sz w:val="20"/>
      <w:szCs w:val="20"/>
      <w:lang w:eastAsia="fr-FR"/>
    </w:rPr>
  </w:style>
  <w:style w:type="character" w:customStyle="1" w:styleId="BasdepageCar">
    <w:name w:val="Basdepage Car"/>
    <w:basedOn w:val="RodapCarcter"/>
    <w:link w:val="Basdepage"/>
    <w:rsid w:val="00B15CA5"/>
    <w:rPr>
      <w:rFonts w:ascii="Times New Roman" w:eastAsia="Times New Roman" w:hAnsi="Times New Roman" w:cstheme="minorHAnsi"/>
      <w:sz w:val="20"/>
      <w:szCs w:val="20"/>
      <w:lang w:eastAsia="fr-FR"/>
    </w:rPr>
  </w:style>
  <w:style w:type="character" w:customStyle="1" w:styleId="Mentionnonrsolue11">
    <w:name w:val="Mention non résolue11"/>
    <w:basedOn w:val="Tipodeletrapredefinidodopargrafo"/>
    <w:uiPriority w:val="99"/>
    <w:semiHidden/>
    <w:unhideWhenUsed/>
    <w:rsid w:val="003C6DA9"/>
    <w:rPr>
      <w:color w:val="605E5C"/>
      <w:shd w:val="clear" w:color="auto" w:fill="E1DFDD"/>
    </w:rPr>
  </w:style>
  <w:style w:type="paragraph" w:customStyle="1" w:styleId="SolbaseNormal">
    <w:name w:val="Solbase_Normal"/>
    <w:basedOn w:val="Normal"/>
    <w:qFormat/>
    <w:rsid w:val="00A007E9"/>
    <w:pPr>
      <w:spacing w:after="120"/>
      <w:ind w:left="1134"/>
      <w:jc w:val="both"/>
    </w:pPr>
    <w:rPr>
      <w:rFonts w:ascii="Century Gothic" w:eastAsia="Times New Roman" w:hAnsi="Century Gothic"/>
      <w:sz w:val="20"/>
      <w:szCs w:val="20"/>
    </w:rPr>
  </w:style>
  <w:style w:type="paragraph" w:customStyle="1" w:styleId="BVIfnrCarattereCharCharCharCarattereCharCharCharCharCharChar1CharCharChar">
    <w:name w:val="BVI fnr Carattere Char Char Char Carattere Char Char Char Char Char Char1 Char Char Char"/>
    <w:basedOn w:val="Normal"/>
    <w:link w:val="Refdenotaderodap"/>
    <w:uiPriority w:val="99"/>
    <w:rsid w:val="000C30E3"/>
    <w:pPr>
      <w:spacing w:after="160" w:line="240" w:lineRule="exact"/>
    </w:pPr>
    <w:rPr>
      <w:rFonts w:asciiTheme="minorHAnsi" w:hAnsiTheme="minorHAnsi"/>
      <w:szCs w:val="22"/>
      <w:vertAlign w:val="superscript"/>
      <w:lang w:eastAsia="en-US"/>
    </w:rPr>
  </w:style>
  <w:style w:type="character" w:customStyle="1" w:styleId="NormalWebCarcter">
    <w:name w:val="Normal (Web) Carácter"/>
    <w:link w:val="NormalWeb"/>
    <w:uiPriority w:val="99"/>
    <w:rsid w:val="008B5BDA"/>
    <w:rPr>
      <w:rFonts w:ascii="Times New Roman" w:hAnsi="Times New Roman" w:cs="Times New Roman"/>
      <w:sz w:val="24"/>
      <w:szCs w:val="24"/>
      <w:lang w:eastAsia="fr-FR"/>
    </w:rPr>
  </w:style>
  <w:style w:type="paragraph" w:customStyle="1" w:styleId="Ttulo1">
    <w:name w:val="Título1"/>
    <w:basedOn w:val="Normal"/>
    <w:rsid w:val="00F641A3"/>
    <w:pPr>
      <w:spacing w:before="240" w:line="360" w:lineRule="atLeast"/>
      <w:jc w:val="center"/>
    </w:pPr>
    <w:rPr>
      <w:rFonts w:ascii="Arial" w:eastAsia="Times New Roman" w:hAnsi="Arial"/>
      <w:b/>
      <w:sz w:val="26"/>
      <w:szCs w:val="26"/>
      <w:lang w:eastAsia="en-US"/>
    </w:rPr>
  </w:style>
  <w:style w:type="paragraph" w:customStyle="1" w:styleId="texte0">
    <w:name w:val="texte"/>
    <w:basedOn w:val="Normal"/>
    <w:rsid w:val="007C0EBB"/>
    <w:pPr>
      <w:spacing w:after="200" w:line="276" w:lineRule="auto"/>
      <w:jc w:val="both"/>
    </w:pPr>
    <w:rPr>
      <w:rFonts w:ascii="Arial" w:eastAsia="Calibri" w:hAnsi="Arial" w:cs="Arial"/>
      <w:sz w:val="20"/>
      <w:szCs w:val="20"/>
      <w:lang w:eastAsia="en-US"/>
    </w:rPr>
  </w:style>
  <w:style w:type="paragraph" w:styleId="Lista3">
    <w:name w:val="List 3"/>
    <w:basedOn w:val="Normal"/>
    <w:uiPriority w:val="99"/>
    <w:unhideWhenUsed/>
    <w:rsid w:val="00A05714"/>
    <w:pPr>
      <w:ind w:left="849" w:hanging="283"/>
      <w:contextualSpacing/>
    </w:pPr>
  </w:style>
  <w:style w:type="paragraph" w:styleId="Listadecont">
    <w:name w:val="List Continue"/>
    <w:basedOn w:val="Normal"/>
    <w:uiPriority w:val="99"/>
    <w:unhideWhenUsed/>
    <w:rsid w:val="00A05714"/>
    <w:pPr>
      <w:spacing w:after="120"/>
      <w:ind w:left="283"/>
      <w:contextualSpacing/>
    </w:pPr>
  </w:style>
  <w:style w:type="paragraph" w:styleId="Listadecont2">
    <w:name w:val="List Continue 2"/>
    <w:basedOn w:val="Normal"/>
    <w:uiPriority w:val="99"/>
    <w:unhideWhenUsed/>
    <w:rsid w:val="00A05714"/>
    <w:pPr>
      <w:spacing w:after="120"/>
      <w:ind w:left="566"/>
      <w:contextualSpacing/>
    </w:pPr>
  </w:style>
  <w:style w:type="paragraph" w:styleId="Listadecont4">
    <w:name w:val="List Continue 4"/>
    <w:basedOn w:val="Normal"/>
    <w:uiPriority w:val="99"/>
    <w:unhideWhenUsed/>
    <w:rsid w:val="00A05714"/>
    <w:pPr>
      <w:spacing w:after="120"/>
      <w:ind w:left="1132"/>
      <w:contextualSpacing/>
    </w:pPr>
  </w:style>
  <w:style w:type="paragraph" w:customStyle="1" w:styleId="Grillemoyenne1-Accent21">
    <w:name w:val="Grille moyenne 1 - Accent 21"/>
    <w:aliases w:val="List Paragraph1,Medium Grid 1 - Accent 21,List_Paragraph,Multilevel para_II"/>
    <w:basedOn w:val="Normal"/>
    <w:link w:val="Grillemoyenne1-Accent2Car"/>
    <w:uiPriority w:val="34"/>
    <w:qFormat/>
    <w:rsid w:val="00CE5C45"/>
    <w:pPr>
      <w:ind w:left="720"/>
      <w:contextualSpacing/>
      <w:jc w:val="both"/>
    </w:pPr>
    <w:rPr>
      <w:rFonts w:eastAsia="Times New Roman"/>
      <w:lang w:eastAsia="en-US"/>
    </w:rPr>
  </w:style>
  <w:style w:type="table" w:customStyle="1" w:styleId="TableauGrille3-Accentuation31">
    <w:name w:val="Tableau Grille 3 - Accentuation 31"/>
    <w:basedOn w:val="Tabelanormal"/>
    <w:uiPriority w:val="48"/>
    <w:rsid w:val="001D352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auGrille3-Accentuation62">
    <w:name w:val="Tableau Grille 3 - Accentuation 62"/>
    <w:basedOn w:val="Tabelanormal"/>
    <w:uiPriority w:val="48"/>
    <w:rsid w:val="001D352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lledutableau2">
    <w:name w:val="Grille du tableau2"/>
    <w:basedOn w:val="Tabelanormal"/>
    <w:next w:val="Tabelacomgrelha"/>
    <w:uiPriority w:val="39"/>
    <w:rsid w:val="00681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3">
    <w:name w:val="Tableau Grille 1 Clair3"/>
    <w:basedOn w:val="Tabelanormal"/>
    <w:next w:val="TableauGrille1Clair4"/>
    <w:uiPriority w:val="46"/>
    <w:rsid w:val="00681EC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4">
    <w:name w:val="Tableau Grille 1 Clair4"/>
    <w:basedOn w:val="Tabelanormal"/>
    <w:uiPriority w:val="99"/>
    <w:rsid w:val="00681E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8">
    <w:name w:val="A8"/>
    <w:uiPriority w:val="99"/>
    <w:rsid w:val="002B6283"/>
    <w:rPr>
      <w:color w:val="000000"/>
      <w:sz w:val="20"/>
      <w:szCs w:val="20"/>
    </w:rPr>
  </w:style>
  <w:style w:type="character" w:customStyle="1" w:styleId="UnresolvedMention1">
    <w:name w:val="Unresolved Mention1"/>
    <w:basedOn w:val="Tipodeletrapredefinidodopargrafo"/>
    <w:uiPriority w:val="99"/>
    <w:rsid w:val="004414ED"/>
    <w:rPr>
      <w:color w:val="605E5C"/>
      <w:shd w:val="clear" w:color="auto" w:fill="E1DFDD"/>
    </w:rPr>
  </w:style>
  <w:style w:type="character" w:customStyle="1" w:styleId="Mentionnonrsolue2">
    <w:name w:val="Mention non résolue2"/>
    <w:basedOn w:val="Tipodeletrapredefinidodopargrafo"/>
    <w:uiPriority w:val="99"/>
    <w:semiHidden/>
    <w:unhideWhenUsed/>
    <w:rsid w:val="00D40E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5462">
      <w:bodyDiv w:val="1"/>
      <w:marLeft w:val="0"/>
      <w:marRight w:val="0"/>
      <w:marTop w:val="0"/>
      <w:marBottom w:val="0"/>
      <w:divBdr>
        <w:top w:val="none" w:sz="0" w:space="0" w:color="auto"/>
        <w:left w:val="none" w:sz="0" w:space="0" w:color="auto"/>
        <w:bottom w:val="none" w:sz="0" w:space="0" w:color="auto"/>
        <w:right w:val="none" w:sz="0" w:space="0" w:color="auto"/>
      </w:divBdr>
    </w:div>
    <w:div w:id="49305177">
      <w:bodyDiv w:val="1"/>
      <w:marLeft w:val="0"/>
      <w:marRight w:val="0"/>
      <w:marTop w:val="0"/>
      <w:marBottom w:val="0"/>
      <w:divBdr>
        <w:top w:val="none" w:sz="0" w:space="0" w:color="auto"/>
        <w:left w:val="none" w:sz="0" w:space="0" w:color="auto"/>
        <w:bottom w:val="none" w:sz="0" w:space="0" w:color="auto"/>
        <w:right w:val="none" w:sz="0" w:space="0" w:color="auto"/>
      </w:divBdr>
      <w:divsChild>
        <w:div w:id="2034182367">
          <w:marLeft w:val="0"/>
          <w:marRight w:val="0"/>
          <w:marTop w:val="0"/>
          <w:marBottom w:val="0"/>
          <w:divBdr>
            <w:top w:val="none" w:sz="0" w:space="0" w:color="auto"/>
            <w:left w:val="none" w:sz="0" w:space="0" w:color="auto"/>
            <w:bottom w:val="none" w:sz="0" w:space="0" w:color="auto"/>
            <w:right w:val="none" w:sz="0" w:space="0" w:color="auto"/>
          </w:divBdr>
          <w:divsChild>
            <w:div w:id="1188563365">
              <w:marLeft w:val="0"/>
              <w:marRight w:val="0"/>
              <w:marTop w:val="0"/>
              <w:marBottom w:val="0"/>
              <w:divBdr>
                <w:top w:val="none" w:sz="0" w:space="0" w:color="auto"/>
                <w:left w:val="none" w:sz="0" w:space="0" w:color="auto"/>
                <w:bottom w:val="none" w:sz="0" w:space="0" w:color="auto"/>
                <w:right w:val="none" w:sz="0" w:space="0" w:color="auto"/>
              </w:divBdr>
              <w:divsChild>
                <w:div w:id="50921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9138">
      <w:bodyDiv w:val="1"/>
      <w:marLeft w:val="0"/>
      <w:marRight w:val="0"/>
      <w:marTop w:val="0"/>
      <w:marBottom w:val="0"/>
      <w:divBdr>
        <w:top w:val="none" w:sz="0" w:space="0" w:color="auto"/>
        <w:left w:val="none" w:sz="0" w:space="0" w:color="auto"/>
        <w:bottom w:val="none" w:sz="0" w:space="0" w:color="auto"/>
        <w:right w:val="none" w:sz="0" w:space="0" w:color="auto"/>
      </w:divBdr>
    </w:div>
    <w:div w:id="118037805">
      <w:bodyDiv w:val="1"/>
      <w:marLeft w:val="0"/>
      <w:marRight w:val="0"/>
      <w:marTop w:val="0"/>
      <w:marBottom w:val="0"/>
      <w:divBdr>
        <w:top w:val="none" w:sz="0" w:space="0" w:color="auto"/>
        <w:left w:val="none" w:sz="0" w:space="0" w:color="auto"/>
        <w:bottom w:val="none" w:sz="0" w:space="0" w:color="auto"/>
        <w:right w:val="none" w:sz="0" w:space="0" w:color="auto"/>
      </w:divBdr>
    </w:div>
    <w:div w:id="158235032">
      <w:bodyDiv w:val="1"/>
      <w:marLeft w:val="0"/>
      <w:marRight w:val="0"/>
      <w:marTop w:val="0"/>
      <w:marBottom w:val="0"/>
      <w:divBdr>
        <w:top w:val="none" w:sz="0" w:space="0" w:color="auto"/>
        <w:left w:val="none" w:sz="0" w:space="0" w:color="auto"/>
        <w:bottom w:val="none" w:sz="0" w:space="0" w:color="auto"/>
        <w:right w:val="none" w:sz="0" w:space="0" w:color="auto"/>
      </w:divBdr>
    </w:div>
    <w:div w:id="181164123">
      <w:bodyDiv w:val="1"/>
      <w:marLeft w:val="0"/>
      <w:marRight w:val="0"/>
      <w:marTop w:val="0"/>
      <w:marBottom w:val="0"/>
      <w:divBdr>
        <w:top w:val="none" w:sz="0" w:space="0" w:color="auto"/>
        <w:left w:val="none" w:sz="0" w:space="0" w:color="auto"/>
        <w:bottom w:val="none" w:sz="0" w:space="0" w:color="auto"/>
        <w:right w:val="none" w:sz="0" w:space="0" w:color="auto"/>
      </w:divBdr>
    </w:div>
    <w:div w:id="188639600">
      <w:bodyDiv w:val="1"/>
      <w:marLeft w:val="0"/>
      <w:marRight w:val="0"/>
      <w:marTop w:val="0"/>
      <w:marBottom w:val="0"/>
      <w:divBdr>
        <w:top w:val="none" w:sz="0" w:space="0" w:color="auto"/>
        <w:left w:val="none" w:sz="0" w:space="0" w:color="auto"/>
        <w:bottom w:val="none" w:sz="0" w:space="0" w:color="auto"/>
        <w:right w:val="none" w:sz="0" w:space="0" w:color="auto"/>
      </w:divBdr>
    </w:div>
    <w:div w:id="189415407">
      <w:bodyDiv w:val="1"/>
      <w:marLeft w:val="0"/>
      <w:marRight w:val="0"/>
      <w:marTop w:val="0"/>
      <w:marBottom w:val="0"/>
      <w:divBdr>
        <w:top w:val="none" w:sz="0" w:space="0" w:color="auto"/>
        <w:left w:val="none" w:sz="0" w:space="0" w:color="auto"/>
        <w:bottom w:val="none" w:sz="0" w:space="0" w:color="auto"/>
        <w:right w:val="none" w:sz="0" w:space="0" w:color="auto"/>
      </w:divBdr>
    </w:div>
    <w:div w:id="233930229">
      <w:bodyDiv w:val="1"/>
      <w:marLeft w:val="0"/>
      <w:marRight w:val="0"/>
      <w:marTop w:val="0"/>
      <w:marBottom w:val="0"/>
      <w:divBdr>
        <w:top w:val="none" w:sz="0" w:space="0" w:color="auto"/>
        <w:left w:val="none" w:sz="0" w:space="0" w:color="auto"/>
        <w:bottom w:val="none" w:sz="0" w:space="0" w:color="auto"/>
        <w:right w:val="none" w:sz="0" w:space="0" w:color="auto"/>
      </w:divBdr>
    </w:div>
    <w:div w:id="239758103">
      <w:bodyDiv w:val="1"/>
      <w:marLeft w:val="0"/>
      <w:marRight w:val="0"/>
      <w:marTop w:val="0"/>
      <w:marBottom w:val="0"/>
      <w:divBdr>
        <w:top w:val="none" w:sz="0" w:space="0" w:color="auto"/>
        <w:left w:val="none" w:sz="0" w:space="0" w:color="auto"/>
        <w:bottom w:val="none" w:sz="0" w:space="0" w:color="auto"/>
        <w:right w:val="none" w:sz="0" w:space="0" w:color="auto"/>
      </w:divBdr>
    </w:div>
    <w:div w:id="253980743">
      <w:bodyDiv w:val="1"/>
      <w:marLeft w:val="0"/>
      <w:marRight w:val="0"/>
      <w:marTop w:val="0"/>
      <w:marBottom w:val="0"/>
      <w:divBdr>
        <w:top w:val="none" w:sz="0" w:space="0" w:color="auto"/>
        <w:left w:val="none" w:sz="0" w:space="0" w:color="auto"/>
        <w:bottom w:val="none" w:sz="0" w:space="0" w:color="auto"/>
        <w:right w:val="none" w:sz="0" w:space="0" w:color="auto"/>
      </w:divBdr>
    </w:div>
    <w:div w:id="284164980">
      <w:bodyDiv w:val="1"/>
      <w:marLeft w:val="0"/>
      <w:marRight w:val="0"/>
      <w:marTop w:val="0"/>
      <w:marBottom w:val="0"/>
      <w:divBdr>
        <w:top w:val="none" w:sz="0" w:space="0" w:color="auto"/>
        <w:left w:val="none" w:sz="0" w:space="0" w:color="auto"/>
        <w:bottom w:val="none" w:sz="0" w:space="0" w:color="auto"/>
        <w:right w:val="none" w:sz="0" w:space="0" w:color="auto"/>
      </w:divBdr>
    </w:div>
    <w:div w:id="313533751">
      <w:bodyDiv w:val="1"/>
      <w:marLeft w:val="0"/>
      <w:marRight w:val="0"/>
      <w:marTop w:val="0"/>
      <w:marBottom w:val="0"/>
      <w:divBdr>
        <w:top w:val="none" w:sz="0" w:space="0" w:color="auto"/>
        <w:left w:val="none" w:sz="0" w:space="0" w:color="auto"/>
        <w:bottom w:val="none" w:sz="0" w:space="0" w:color="auto"/>
        <w:right w:val="none" w:sz="0" w:space="0" w:color="auto"/>
      </w:divBdr>
    </w:div>
    <w:div w:id="345793119">
      <w:bodyDiv w:val="1"/>
      <w:marLeft w:val="0"/>
      <w:marRight w:val="0"/>
      <w:marTop w:val="0"/>
      <w:marBottom w:val="0"/>
      <w:divBdr>
        <w:top w:val="none" w:sz="0" w:space="0" w:color="auto"/>
        <w:left w:val="none" w:sz="0" w:space="0" w:color="auto"/>
        <w:bottom w:val="none" w:sz="0" w:space="0" w:color="auto"/>
        <w:right w:val="none" w:sz="0" w:space="0" w:color="auto"/>
      </w:divBdr>
    </w:div>
    <w:div w:id="364214955">
      <w:bodyDiv w:val="1"/>
      <w:marLeft w:val="0"/>
      <w:marRight w:val="0"/>
      <w:marTop w:val="0"/>
      <w:marBottom w:val="0"/>
      <w:divBdr>
        <w:top w:val="none" w:sz="0" w:space="0" w:color="auto"/>
        <w:left w:val="none" w:sz="0" w:space="0" w:color="auto"/>
        <w:bottom w:val="none" w:sz="0" w:space="0" w:color="auto"/>
        <w:right w:val="none" w:sz="0" w:space="0" w:color="auto"/>
      </w:divBdr>
    </w:div>
    <w:div w:id="379860078">
      <w:bodyDiv w:val="1"/>
      <w:marLeft w:val="0"/>
      <w:marRight w:val="0"/>
      <w:marTop w:val="0"/>
      <w:marBottom w:val="0"/>
      <w:divBdr>
        <w:top w:val="none" w:sz="0" w:space="0" w:color="auto"/>
        <w:left w:val="none" w:sz="0" w:space="0" w:color="auto"/>
        <w:bottom w:val="none" w:sz="0" w:space="0" w:color="auto"/>
        <w:right w:val="none" w:sz="0" w:space="0" w:color="auto"/>
      </w:divBdr>
    </w:div>
    <w:div w:id="391319309">
      <w:bodyDiv w:val="1"/>
      <w:marLeft w:val="0"/>
      <w:marRight w:val="0"/>
      <w:marTop w:val="0"/>
      <w:marBottom w:val="0"/>
      <w:divBdr>
        <w:top w:val="none" w:sz="0" w:space="0" w:color="auto"/>
        <w:left w:val="none" w:sz="0" w:space="0" w:color="auto"/>
        <w:bottom w:val="none" w:sz="0" w:space="0" w:color="auto"/>
        <w:right w:val="none" w:sz="0" w:space="0" w:color="auto"/>
      </w:divBdr>
    </w:div>
    <w:div w:id="396510230">
      <w:bodyDiv w:val="1"/>
      <w:marLeft w:val="0"/>
      <w:marRight w:val="0"/>
      <w:marTop w:val="0"/>
      <w:marBottom w:val="0"/>
      <w:divBdr>
        <w:top w:val="none" w:sz="0" w:space="0" w:color="auto"/>
        <w:left w:val="none" w:sz="0" w:space="0" w:color="auto"/>
        <w:bottom w:val="none" w:sz="0" w:space="0" w:color="auto"/>
        <w:right w:val="none" w:sz="0" w:space="0" w:color="auto"/>
      </w:divBdr>
    </w:div>
    <w:div w:id="424810451">
      <w:bodyDiv w:val="1"/>
      <w:marLeft w:val="0"/>
      <w:marRight w:val="0"/>
      <w:marTop w:val="0"/>
      <w:marBottom w:val="0"/>
      <w:divBdr>
        <w:top w:val="none" w:sz="0" w:space="0" w:color="auto"/>
        <w:left w:val="none" w:sz="0" w:space="0" w:color="auto"/>
        <w:bottom w:val="none" w:sz="0" w:space="0" w:color="auto"/>
        <w:right w:val="none" w:sz="0" w:space="0" w:color="auto"/>
      </w:divBdr>
    </w:div>
    <w:div w:id="428160804">
      <w:bodyDiv w:val="1"/>
      <w:marLeft w:val="0"/>
      <w:marRight w:val="0"/>
      <w:marTop w:val="0"/>
      <w:marBottom w:val="0"/>
      <w:divBdr>
        <w:top w:val="none" w:sz="0" w:space="0" w:color="auto"/>
        <w:left w:val="none" w:sz="0" w:space="0" w:color="auto"/>
        <w:bottom w:val="none" w:sz="0" w:space="0" w:color="auto"/>
        <w:right w:val="none" w:sz="0" w:space="0" w:color="auto"/>
      </w:divBdr>
    </w:div>
    <w:div w:id="429936797">
      <w:bodyDiv w:val="1"/>
      <w:marLeft w:val="0"/>
      <w:marRight w:val="0"/>
      <w:marTop w:val="0"/>
      <w:marBottom w:val="0"/>
      <w:divBdr>
        <w:top w:val="none" w:sz="0" w:space="0" w:color="auto"/>
        <w:left w:val="none" w:sz="0" w:space="0" w:color="auto"/>
        <w:bottom w:val="none" w:sz="0" w:space="0" w:color="auto"/>
        <w:right w:val="none" w:sz="0" w:space="0" w:color="auto"/>
      </w:divBdr>
    </w:div>
    <w:div w:id="476528995">
      <w:bodyDiv w:val="1"/>
      <w:marLeft w:val="0"/>
      <w:marRight w:val="0"/>
      <w:marTop w:val="0"/>
      <w:marBottom w:val="0"/>
      <w:divBdr>
        <w:top w:val="none" w:sz="0" w:space="0" w:color="auto"/>
        <w:left w:val="none" w:sz="0" w:space="0" w:color="auto"/>
        <w:bottom w:val="none" w:sz="0" w:space="0" w:color="auto"/>
        <w:right w:val="none" w:sz="0" w:space="0" w:color="auto"/>
      </w:divBdr>
    </w:div>
    <w:div w:id="484400277">
      <w:bodyDiv w:val="1"/>
      <w:marLeft w:val="0"/>
      <w:marRight w:val="0"/>
      <w:marTop w:val="0"/>
      <w:marBottom w:val="0"/>
      <w:divBdr>
        <w:top w:val="none" w:sz="0" w:space="0" w:color="auto"/>
        <w:left w:val="none" w:sz="0" w:space="0" w:color="auto"/>
        <w:bottom w:val="none" w:sz="0" w:space="0" w:color="auto"/>
        <w:right w:val="none" w:sz="0" w:space="0" w:color="auto"/>
      </w:divBdr>
    </w:div>
    <w:div w:id="507210353">
      <w:bodyDiv w:val="1"/>
      <w:marLeft w:val="0"/>
      <w:marRight w:val="0"/>
      <w:marTop w:val="0"/>
      <w:marBottom w:val="0"/>
      <w:divBdr>
        <w:top w:val="none" w:sz="0" w:space="0" w:color="auto"/>
        <w:left w:val="none" w:sz="0" w:space="0" w:color="auto"/>
        <w:bottom w:val="none" w:sz="0" w:space="0" w:color="auto"/>
        <w:right w:val="none" w:sz="0" w:space="0" w:color="auto"/>
      </w:divBdr>
    </w:div>
    <w:div w:id="516503523">
      <w:bodyDiv w:val="1"/>
      <w:marLeft w:val="0"/>
      <w:marRight w:val="0"/>
      <w:marTop w:val="0"/>
      <w:marBottom w:val="0"/>
      <w:divBdr>
        <w:top w:val="none" w:sz="0" w:space="0" w:color="auto"/>
        <w:left w:val="none" w:sz="0" w:space="0" w:color="auto"/>
        <w:bottom w:val="none" w:sz="0" w:space="0" w:color="auto"/>
        <w:right w:val="none" w:sz="0" w:space="0" w:color="auto"/>
      </w:divBdr>
    </w:div>
    <w:div w:id="524976043">
      <w:bodyDiv w:val="1"/>
      <w:marLeft w:val="0"/>
      <w:marRight w:val="0"/>
      <w:marTop w:val="0"/>
      <w:marBottom w:val="0"/>
      <w:divBdr>
        <w:top w:val="none" w:sz="0" w:space="0" w:color="auto"/>
        <w:left w:val="none" w:sz="0" w:space="0" w:color="auto"/>
        <w:bottom w:val="none" w:sz="0" w:space="0" w:color="auto"/>
        <w:right w:val="none" w:sz="0" w:space="0" w:color="auto"/>
      </w:divBdr>
    </w:div>
    <w:div w:id="546840744">
      <w:bodyDiv w:val="1"/>
      <w:marLeft w:val="0"/>
      <w:marRight w:val="0"/>
      <w:marTop w:val="0"/>
      <w:marBottom w:val="0"/>
      <w:divBdr>
        <w:top w:val="none" w:sz="0" w:space="0" w:color="auto"/>
        <w:left w:val="none" w:sz="0" w:space="0" w:color="auto"/>
        <w:bottom w:val="none" w:sz="0" w:space="0" w:color="auto"/>
        <w:right w:val="none" w:sz="0" w:space="0" w:color="auto"/>
      </w:divBdr>
    </w:div>
    <w:div w:id="553083529">
      <w:bodyDiv w:val="1"/>
      <w:marLeft w:val="0"/>
      <w:marRight w:val="0"/>
      <w:marTop w:val="0"/>
      <w:marBottom w:val="0"/>
      <w:divBdr>
        <w:top w:val="none" w:sz="0" w:space="0" w:color="auto"/>
        <w:left w:val="none" w:sz="0" w:space="0" w:color="auto"/>
        <w:bottom w:val="none" w:sz="0" w:space="0" w:color="auto"/>
        <w:right w:val="none" w:sz="0" w:space="0" w:color="auto"/>
      </w:divBdr>
    </w:div>
    <w:div w:id="573783660">
      <w:bodyDiv w:val="1"/>
      <w:marLeft w:val="0"/>
      <w:marRight w:val="0"/>
      <w:marTop w:val="0"/>
      <w:marBottom w:val="0"/>
      <w:divBdr>
        <w:top w:val="none" w:sz="0" w:space="0" w:color="auto"/>
        <w:left w:val="none" w:sz="0" w:space="0" w:color="auto"/>
        <w:bottom w:val="none" w:sz="0" w:space="0" w:color="auto"/>
        <w:right w:val="none" w:sz="0" w:space="0" w:color="auto"/>
      </w:divBdr>
    </w:div>
    <w:div w:id="584999030">
      <w:bodyDiv w:val="1"/>
      <w:marLeft w:val="0"/>
      <w:marRight w:val="0"/>
      <w:marTop w:val="0"/>
      <w:marBottom w:val="0"/>
      <w:divBdr>
        <w:top w:val="none" w:sz="0" w:space="0" w:color="auto"/>
        <w:left w:val="none" w:sz="0" w:space="0" w:color="auto"/>
        <w:bottom w:val="none" w:sz="0" w:space="0" w:color="auto"/>
        <w:right w:val="none" w:sz="0" w:space="0" w:color="auto"/>
      </w:divBdr>
    </w:div>
    <w:div w:id="585071675">
      <w:bodyDiv w:val="1"/>
      <w:marLeft w:val="0"/>
      <w:marRight w:val="0"/>
      <w:marTop w:val="0"/>
      <w:marBottom w:val="0"/>
      <w:divBdr>
        <w:top w:val="none" w:sz="0" w:space="0" w:color="auto"/>
        <w:left w:val="none" w:sz="0" w:space="0" w:color="auto"/>
        <w:bottom w:val="none" w:sz="0" w:space="0" w:color="auto"/>
        <w:right w:val="none" w:sz="0" w:space="0" w:color="auto"/>
      </w:divBdr>
    </w:div>
    <w:div w:id="589242753">
      <w:bodyDiv w:val="1"/>
      <w:marLeft w:val="0"/>
      <w:marRight w:val="0"/>
      <w:marTop w:val="0"/>
      <w:marBottom w:val="0"/>
      <w:divBdr>
        <w:top w:val="none" w:sz="0" w:space="0" w:color="auto"/>
        <w:left w:val="none" w:sz="0" w:space="0" w:color="auto"/>
        <w:bottom w:val="none" w:sz="0" w:space="0" w:color="auto"/>
        <w:right w:val="none" w:sz="0" w:space="0" w:color="auto"/>
      </w:divBdr>
    </w:div>
    <w:div w:id="590625638">
      <w:bodyDiv w:val="1"/>
      <w:marLeft w:val="0"/>
      <w:marRight w:val="0"/>
      <w:marTop w:val="0"/>
      <w:marBottom w:val="0"/>
      <w:divBdr>
        <w:top w:val="none" w:sz="0" w:space="0" w:color="auto"/>
        <w:left w:val="none" w:sz="0" w:space="0" w:color="auto"/>
        <w:bottom w:val="none" w:sz="0" w:space="0" w:color="auto"/>
        <w:right w:val="none" w:sz="0" w:space="0" w:color="auto"/>
      </w:divBdr>
    </w:div>
    <w:div w:id="634990652">
      <w:bodyDiv w:val="1"/>
      <w:marLeft w:val="0"/>
      <w:marRight w:val="0"/>
      <w:marTop w:val="0"/>
      <w:marBottom w:val="0"/>
      <w:divBdr>
        <w:top w:val="none" w:sz="0" w:space="0" w:color="auto"/>
        <w:left w:val="none" w:sz="0" w:space="0" w:color="auto"/>
        <w:bottom w:val="none" w:sz="0" w:space="0" w:color="auto"/>
        <w:right w:val="none" w:sz="0" w:space="0" w:color="auto"/>
      </w:divBdr>
    </w:div>
    <w:div w:id="637297239">
      <w:bodyDiv w:val="1"/>
      <w:marLeft w:val="0"/>
      <w:marRight w:val="0"/>
      <w:marTop w:val="0"/>
      <w:marBottom w:val="0"/>
      <w:divBdr>
        <w:top w:val="none" w:sz="0" w:space="0" w:color="auto"/>
        <w:left w:val="none" w:sz="0" w:space="0" w:color="auto"/>
        <w:bottom w:val="none" w:sz="0" w:space="0" w:color="auto"/>
        <w:right w:val="none" w:sz="0" w:space="0" w:color="auto"/>
      </w:divBdr>
    </w:div>
    <w:div w:id="661202080">
      <w:bodyDiv w:val="1"/>
      <w:marLeft w:val="0"/>
      <w:marRight w:val="0"/>
      <w:marTop w:val="0"/>
      <w:marBottom w:val="0"/>
      <w:divBdr>
        <w:top w:val="none" w:sz="0" w:space="0" w:color="auto"/>
        <w:left w:val="none" w:sz="0" w:space="0" w:color="auto"/>
        <w:bottom w:val="none" w:sz="0" w:space="0" w:color="auto"/>
        <w:right w:val="none" w:sz="0" w:space="0" w:color="auto"/>
      </w:divBdr>
    </w:div>
    <w:div w:id="679432406">
      <w:bodyDiv w:val="1"/>
      <w:marLeft w:val="0"/>
      <w:marRight w:val="0"/>
      <w:marTop w:val="0"/>
      <w:marBottom w:val="0"/>
      <w:divBdr>
        <w:top w:val="none" w:sz="0" w:space="0" w:color="auto"/>
        <w:left w:val="none" w:sz="0" w:space="0" w:color="auto"/>
        <w:bottom w:val="none" w:sz="0" w:space="0" w:color="auto"/>
        <w:right w:val="none" w:sz="0" w:space="0" w:color="auto"/>
      </w:divBdr>
    </w:div>
    <w:div w:id="685523663">
      <w:bodyDiv w:val="1"/>
      <w:marLeft w:val="0"/>
      <w:marRight w:val="0"/>
      <w:marTop w:val="0"/>
      <w:marBottom w:val="0"/>
      <w:divBdr>
        <w:top w:val="none" w:sz="0" w:space="0" w:color="auto"/>
        <w:left w:val="none" w:sz="0" w:space="0" w:color="auto"/>
        <w:bottom w:val="none" w:sz="0" w:space="0" w:color="auto"/>
        <w:right w:val="none" w:sz="0" w:space="0" w:color="auto"/>
      </w:divBdr>
    </w:div>
    <w:div w:id="702831985">
      <w:bodyDiv w:val="1"/>
      <w:marLeft w:val="0"/>
      <w:marRight w:val="0"/>
      <w:marTop w:val="0"/>
      <w:marBottom w:val="0"/>
      <w:divBdr>
        <w:top w:val="none" w:sz="0" w:space="0" w:color="auto"/>
        <w:left w:val="none" w:sz="0" w:space="0" w:color="auto"/>
        <w:bottom w:val="none" w:sz="0" w:space="0" w:color="auto"/>
        <w:right w:val="none" w:sz="0" w:space="0" w:color="auto"/>
      </w:divBdr>
    </w:div>
    <w:div w:id="705644022">
      <w:bodyDiv w:val="1"/>
      <w:marLeft w:val="0"/>
      <w:marRight w:val="0"/>
      <w:marTop w:val="0"/>
      <w:marBottom w:val="0"/>
      <w:divBdr>
        <w:top w:val="none" w:sz="0" w:space="0" w:color="auto"/>
        <w:left w:val="none" w:sz="0" w:space="0" w:color="auto"/>
        <w:bottom w:val="none" w:sz="0" w:space="0" w:color="auto"/>
        <w:right w:val="none" w:sz="0" w:space="0" w:color="auto"/>
      </w:divBdr>
    </w:div>
    <w:div w:id="707411376">
      <w:bodyDiv w:val="1"/>
      <w:marLeft w:val="0"/>
      <w:marRight w:val="0"/>
      <w:marTop w:val="0"/>
      <w:marBottom w:val="0"/>
      <w:divBdr>
        <w:top w:val="none" w:sz="0" w:space="0" w:color="auto"/>
        <w:left w:val="none" w:sz="0" w:space="0" w:color="auto"/>
        <w:bottom w:val="none" w:sz="0" w:space="0" w:color="auto"/>
        <w:right w:val="none" w:sz="0" w:space="0" w:color="auto"/>
      </w:divBdr>
    </w:div>
    <w:div w:id="712389843">
      <w:bodyDiv w:val="1"/>
      <w:marLeft w:val="0"/>
      <w:marRight w:val="0"/>
      <w:marTop w:val="0"/>
      <w:marBottom w:val="0"/>
      <w:divBdr>
        <w:top w:val="none" w:sz="0" w:space="0" w:color="auto"/>
        <w:left w:val="none" w:sz="0" w:space="0" w:color="auto"/>
        <w:bottom w:val="none" w:sz="0" w:space="0" w:color="auto"/>
        <w:right w:val="none" w:sz="0" w:space="0" w:color="auto"/>
      </w:divBdr>
    </w:div>
    <w:div w:id="713237922">
      <w:bodyDiv w:val="1"/>
      <w:marLeft w:val="0"/>
      <w:marRight w:val="0"/>
      <w:marTop w:val="0"/>
      <w:marBottom w:val="0"/>
      <w:divBdr>
        <w:top w:val="none" w:sz="0" w:space="0" w:color="auto"/>
        <w:left w:val="none" w:sz="0" w:space="0" w:color="auto"/>
        <w:bottom w:val="none" w:sz="0" w:space="0" w:color="auto"/>
        <w:right w:val="none" w:sz="0" w:space="0" w:color="auto"/>
      </w:divBdr>
    </w:div>
    <w:div w:id="715003940">
      <w:bodyDiv w:val="1"/>
      <w:marLeft w:val="0"/>
      <w:marRight w:val="0"/>
      <w:marTop w:val="0"/>
      <w:marBottom w:val="0"/>
      <w:divBdr>
        <w:top w:val="none" w:sz="0" w:space="0" w:color="auto"/>
        <w:left w:val="none" w:sz="0" w:space="0" w:color="auto"/>
        <w:bottom w:val="none" w:sz="0" w:space="0" w:color="auto"/>
        <w:right w:val="none" w:sz="0" w:space="0" w:color="auto"/>
      </w:divBdr>
    </w:div>
    <w:div w:id="731779125">
      <w:bodyDiv w:val="1"/>
      <w:marLeft w:val="0"/>
      <w:marRight w:val="0"/>
      <w:marTop w:val="0"/>
      <w:marBottom w:val="0"/>
      <w:divBdr>
        <w:top w:val="none" w:sz="0" w:space="0" w:color="auto"/>
        <w:left w:val="none" w:sz="0" w:space="0" w:color="auto"/>
        <w:bottom w:val="none" w:sz="0" w:space="0" w:color="auto"/>
        <w:right w:val="none" w:sz="0" w:space="0" w:color="auto"/>
      </w:divBdr>
    </w:div>
    <w:div w:id="755789530">
      <w:bodyDiv w:val="1"/>
      <w:marLeft w:val="0"/>
      <w:marRight w:val="0"/>
      <w:marTop w:val="0"/>
      <w:marBottom w:val="0"/>
      <w:divBdr>
        <w:top w:val="none" w:sz="0" w:space="0" w:color="auto"/>
        <w:left w:val="none" w:sz="0" w:space="0" w:color="auto"/>
        <w:bottom w:val="none" w:sz="0" w:space="0" w:color="auto"/>
        <w:right w:val="none" w:sz="0" w:space="0" w:color="auto"/>
      </w:divBdr>
    </w:div>
    <w:div w:id="777338411">
      <w:bodyDiv w:val="1"/>
      <w:marLeft w:val="0"/>
      <w:marRight w:val="0"/>
      <w:marTop w:val="0"/>
      <w:marBottom w:val="0"/>
      <w:divBdr>
        <w:top w:val="none" w:sz="0" w:space="0" w:color="auto"/>
        <w:left w:val="none" w:sz="0" w:space="0" w:color="auto"/>
        <w:bottom w:val="none" w:sz="0" w:space="0" w:color="auto"/>
        <w:right w:val="none" w:sz="0" w:space="0" w:color="auto"/>
      </w:divBdr>
    </w:div>
    <w:div w:id="824736174">
      <w:bodyDiv w:val="1"/>
      <w:marLeft w:val="0"/>
      <w:marRight w:val="0"/>
      <w:marTop w:val="0"/>
      <w:marBottom w:val="0"/>
      <w:divBdr>
        <w:top w:val="none" w:sz="0" w:space="0" w:color="auto"/>
        <w:left w:val="none" w:sz="0" w:space="0" w:color="auto"/>
        <w:bottom w:val="none" w:sz="0" w:space="0" w:color="auto"/>
        <w:right w:val="none" w:sz="0" w:space="0" w:color="auto"/>
      </w:divBdr>
    </w:div>
    <w:div w:id="825130774">
      <w:bodyDiv w:val="1"/>
      <w:marLeft w:val="0"/>
      <w:marRight w:val="0"/>
      <w:marTop w:val="0"/>
      <w:marBottom w:val="0"/>
      <w:divBdr>
        <w:top w:val="none" w:sz="0" w:space="0" w:color="auto"/>
        <w:left w:val="none" w:sz="0" w:space="0" w:color="auto"/>
        <w:bottom w:val="none" w:sz="0" w:space="0" w:color="auto"/>
        <w:right w:val="none" w:sz="0" w:space="0" w:color="auto"/>
      </w:divBdr>
    </w:div>
    <w:div w:id="851531614">
      <w:bodyDiv w:val="1"/>
      <w:marLeft w:val="0"/>
      <w:marRight w:val="0"/>
      <w:marTop w:val="0"/>
      <w:marBottom w:val="0"/>
      <w:divBdr>
        <w:top w:val="none" w:sz="0" w:space="0" w:color="auto"/>
        <w:left w:val="none" w:sz="0" w:space="0" w:color="auto"/>
        <w:bottom w:val="none" w:sz="0" w:space="0" w:color="auto"/>
        <w:right w:val="none" w:sz="0" w:space="0" w:color="auto"/>
      </w:divBdr>
    </w:div>
    <w:div w:id="851991083">
      <w:bodyDiv w:val="1"/>
      <w:marLeft w:val="0"/>
      <w:marRight w:val="0"/>
      <w:marTop w:val="0"/>
      <w:marBottom w:val="0"/>
      <w:divBdr>
        <w:top w:val="none" w:sz="0" w:space="0" w:color="auto"/>
        <w:left w:val="none" w:sz="0" w:space="0" w:color="auto"/>
        <w:bottom w:val="none" w:sz="0" w:space="0" w:color="auto"/>
        <w:right w:val="none" w:sz="0" w:space="0" w:color="auto"/>
      </w:divBdr>
    </w:div>
    <w:div w:id="854421533">
      <w:bodyDiv w:val="1"/>
      <w:marLeft w:val="0"/>
      <w:marRight w:val="0"/>
      <w:marTop w:val="0"/>
      <w:marBottom w:val="0"/>
      <w:divBdr>
        <w:top w:val="none" w:sz="0" w:space="0" w:color="auto"/>
        <w:left w:val="none" w:sz="0" w:space="0" w:color="auto"/>
        <w:bottom w:val="none" w:sz="0" w:space="0" w:color="auto"/>
        <w:right w:val="none" w:sz="0" w:space="0" w:color="auto"/>
      </w:divBdr>
    </w:div>
    <w:div w:id="858080828">
      <w:bodyDiv w:val="1"/>
      <w:marLeft w:val="0"/>
      <w:marRight w:val="0"/>
      <w:marTop w:val="0"/>
      <w:marBottom w:val="0"/>
      <w:divBdr>
        <w:top w:val="none" w:sz="0" w:space="0" w:color="auto"/>
        <w:left w:val="none" w:sz="0" w:space="0" w:color="auto"/>
        <w:bottom w:val="none" w:sz="0" w:space="0" w:color="auto"/>
        <w:right w:val="none" w:sz="0" w:space="0" w:color="auto"/>
      </w:divBdr>
    </w:div>
    <w:div w:id="867258977">
      <w:bodyDiv w:val="1"/>
      <w:marLeft w:val="0"/>
      <w:marRight w:val="0"/>
      <w:marTop w:val="0"/>
      <w:marBottom w:val="0"/>
      <w:divBdr>
        <w:top w:val="none" w:sz="0" w:space="0" w:color="auto"/>
        <w:left w:val="none" w:sz="0" w:space="0" w:color="auto"/>
        <w:bottom w:val="none" w:sz="0" w:space="0" w:color="auto"/>
        <w:right w:val="none" w:sz="0" w:space="0" w:color="auto"/>
      </w:divBdr>
    </w:div>
    <w:div w:id="899093593">
      <w:bodyDiv w:val="1"/>
      <w:marLeft w:val="0"/>
      <w:marRight w:val="0"/>
      <w:marTop w:val="0"/>
      <w:marBottom w:val="0"/>
      <w:divBdr>
        <w:top w:val="none" w:sz="0" w:space="0" w:color="auto"/>
        <w:left w:val="none" w:sz="0" w:space="0" w:color="auto"/>
        <w:bottom w:val="none" w:sz="0" w:space="0" w:color="auto"/>
        <w:right w:val="none" w:sz="0" w:space="0" w:color="auto"/>
      </w:divBdr>
    </w:div>
    <w:div w:id="970984103">
      <w:bodyDiv w:val="1"/>
      <w:marLeft w:val="0"/>
      <w:marRight w:val="0"/>
      <w:marTop w:val="0"/>
      <w:marBottom w:val="0"/>
      <w:divBdr>
        <w:top w:val="none" w:sz="0" w:space="0" w:color="auto"/>
        <w:left w:val="none" w:sz="0" w:space="0" w:color="auto"/>
        <w:bottom w:val="none" w:sz="0" w:space="0" w:color="auto"/>
        <w:right w:val="none" w:sz="0" w:space="0" w:color="auto"/>
      </w:divBdr>
    </w:div>
    <w:div w:id="972979653">
      <w:bodyDiv w:val="1"/>
      <w:marLeft w:val="0"/>
      <w:marRight w:val="0"/>
      <w:marTop w:val="0"/>
      <w:marBottom w:val="0"/>
      <w:divBdr>
        <w:top w:val="none" w:sz="0" w:space="0" w:color="auto"/>
        <w:left w:val="none" w:sz="0" w:space="0" w:color="auto"/>
        <w:bottom w:val="none" w:sz="0" w:space="0" w:color="auto"/>
        <w:right w:val="none" w:sz="0" w:space="0" w:color="auto"/>
      </w:divBdr>
    </w:div>
    <w:div w:id="1005405553">
      <w:bodyDiv w:val="1"/>
      <w:marLeft w:val="0"/>
      <w:marRight w:val="0"/>
      <w:marTop w:val="0"/>
      <w:marBottom w:val="0"/>
      <w:divBdr>
        <w:top w:val="none" w:sz="0" w:space="0" w:color="auto"/>
        <w:left w:val="none" w:sz="0" w:space="0" w:color="auto"/>
        <w:bottom w:val="none" w:sz="0" w:space="0" w:color="auto"/>
        <w:right w:val="none" w:sz="0" w:space="0" w:color="auto"/>
      </w:divBdr>
    </w:div>
    <w:div w:id="1028288260">
      <w:bodyDiv w:val="1"/>
      <w:marLeft w:val="0"/>
      <w:marRight w:val="0"/>
      <w:marTop w:val="0"/>
      <w:marBottom w:val="0"/>
      <w:divBdr>
        <w:top w:val="none" w:sz="0" w:space="0" w:color="auto"/>
        <w:left w:val="none" w:sz="0" w:space="0" w:color="auto"/>
        <w:bottom w:val="none" w:sz="0" w:space="0" w:color="auto"/>
        <w:right w:val="none" w:sz="0" w:space="0" w:color="auto"/>
      </w:divBdr>
    </w:div>
    <w:div w:id="1079789579">
      <w:bodyDiv w:val="1"/>
      <w:marLeft w:val="0"/>
      <w:marRight w:val="0"/>
      <w:marTop w:val="0"/>
      <w:marBottom w:val="0"/>
      <w:divBdr>
        <w:top w:val="none" w:sz="0" w:space="0" w:color="auto"/>
        <w:left w:val="none" w:sz="0" w:space="0" w:color="auto"/>
        <w:bottom w:val="none" w:sz="0" w:space="0" w:color="auto"/>
        <w:right w:val="none" w:sz="0" w:space="0" w:color="auto"/>
      </w:divBdr>
    </w:div>
    <w:div w:id="1091269424">
      <w:bodyDiv w:val="1"/>
      <w:marLeft w:val="0"/>
      <w:marRight w:val="0"/>
      <w:marTop w:val="0"/>
      <w:marBottom w:val="0"/>
      <w:divBdr>
        <w:top w:val="none" w:sz="0" w:space="0" w:color="auto"/>
        <w:left w:val="none" w:sz="0" w:space="0" w:color="auto"/>
        <w:bottom w:val="none" w:sz="0" w:space="0" w:color="auto"/>
        <w:right w:val="none" w:sz="0" w:space="0" w:color="auto"/>
      </w:divBdr>
    </w:div>
    <w:div w:id="1099638606">
      <w:bodyDiv w:val="1"/>
      <w:marLeft w:val="0"/>
      <w:marRight w:val="0"/>
      <w:marTop w:val="0"/>
      <w:marBottom w:val="0"/>
      <w:divBdr>
        <w:top w:val="none" w:sz="0" w:space="0" w:color="auto"/>
        <w:left w:val="none" w:sz="0" w:space="0" w:color="auto"/>
        <w:bottom w:val="none" w:sz="0" w:space="0" w:color="auto"/>
        <w:right w:val="none" w:sz="0" w:space="0" w:color="auto"/>
      </w:divBdr>
    </w:div>
    <w:div w:id="1138835493">
      <w:bodyDiv w:val="1"/>
      <w:marLeft w:val="0"/>
      <w:marRight w:val="0"/>
      <w:marTop w:val="0"/>
      <w:marBottom w:val="0"/>
      <w:divBdr>
        <w:top w:val="none" w:sz="0" w:space="0" w:color="auto"/>
        <w:left w:val="none" w:sz="0" w:space="0" w:color="auto"/>
        <w:bottom w:val="none" w:sz="0" w:space="0" w:color="auto"/>
        <w:right w:val="none" w:sz="0" w:space="0" w:color="auto"/>
      </w:divBdr>
    </w:div>
    <w:div w:id="1182623757">
      <w:bodyDiv w:val="1"/>
      <w:marLeft w:val="0"/>
      <w:marRight w:val="0"/>
      <w:marTop w:val="0"/>
      <w:marBottom w:val="0"/>
      <w:divBdr>
        <w:top w:val="none" w:sz="0" w:space="0" w:color="auto"/>
        <w:left w:val="none" w:sz="0" w:space="0" w:color="auto"/>
        <w:bottom w:val="none" w:sz="0" w:space="0" w:color="auto"/>
        <w:right w:val="none" w:sz="0" w:space="0" w:color="auto"/>
      </w:divBdr>
    </w:div>
    <w:div w:id="1201013664">
      <w:bodyDiv w:val="1"/>
      <w:marLeft w:val="0"/>
      <w:marRight w:val="0"/>
      <w:marTop w:val="0"/>
      <w:marBottom w:val="0"/>
      <w:divBdr>
        <w:top w:val="none" w:sz="0" w:space="0" w:color="auto"/>
        <w:left w:val="none" w:sz="0" w:space="0" w:color="auto"/>
        <w:bottom w:val="none" w:sz="0" w:space="0" w:color="auto"/>
        <w:right w:val="none" w:sz="0" w:space="0" w:color="auto"/>
      </w:divBdr>
    </w:div>
    <w:div w:id="1204901037">
      <w:bodyDiv w:val="1"/>
      <w:marLeft w:val="0"/>
      <w:marRight w:val="0"/>
      <w:marTop w:val="0"/>
      <w:marBottom w:val="0"/>
      <w:divBdr>
        <w:top w:val="none" w:sz="0" w:space="0" w:color="auto"/>
        <w:left w:val="none" w:sz="0" w:space="0" w:color="auto"/>
        <w:bottom w:val="none" w:sz="0" w:space="0" w:color="auto"/>
        <w:right w:val="none" w:sz="0" w:space="0" w:color="auto"/>
      </w:divBdr>
    </w:div>
    <w:div w:id="1367634199">
      <w:bodyDiv w:val="1"/>
      <w:marLeft w:val="0"/>
      <w:marRight w:val="0"/>
      <w:marTop w:val="0"/>
      <w:marBottom w:val="0"/>
      <w:divBdr>
        <w:top w:val="none" w:sz="0" w:space="0" w:color="auto"/>
        <w:left w:val="none" w:sz="0" w:space="0" w:color="auto"/>
        <w:bottom w:val="none" w:sz="0" w:space="0" w:color="auto"/>
        <w:right w:val="none" w:sz="0" w:space="0" w:color="auto"/>
      </w:divBdr>
    </w:div>
    <w:div w:id="1369187167">
      <w:bodyDiv w:val="1"/>
      <w:marLeft w:val="0"/>
      <w:marRight w:val="0"/>
      <w:marTop w:val="0"/>
      <w:marBottom w:val="0"/>
      <w:divBdr>
        <w:top w:val="none" w:sz="0" w:space="0" w:color="auto"/>
        <w:left w:val="none" w:sz="0" w:space="0" w:color="auto"/>
        <w:bottom w:val="none" w:sz="0" w:space="0" w:color="auto"/>
        <w:right w:val="none" w:sz="0" w:space="0" w:color="auto"/>
      </w:divBdr>
    </w:div>
    <w:div w:id="1387988481">
      <w:bodyDiv w:val="1"/>
      <w:marLeft w:val="0"/>
      <w:marRight w:val="0"/>
      <w:marTop w:val="0"/>
      <w:marBottom w:val="0"/>
      <w:divBdr>
        <w:top w:val="none" w:sz="0" w:space="0" w:color="auto"/>
        <w:left w:val="none" w:sz="0" w:space="0" w:color="auto"/>
        <w:bottom w:val="none" w:sz="0" w:space="0" w:color="auto"/>
        <w:right w:val="none" w:sz="0" w:space="0" w:color="auto"/>
      </w:divBdr>
    </w:div>
    <w:div w:id="1404451867">
      <w:bodyDiv w:val="1"/>
      <w:marLeft w:val="0"/>
      <w:marRight w:val="0"/>
      <w:marTop w:val="0"/>
      <w:marBottom w:val="0"/>
      <w:divBdr>
        <w:top w:val="none" w:sz="0" w:space="0" w:color="auto"/>
        <w:left w:val="none" w:sz="0" w:space="0" w:color="auto"/>
        <w:bottom w:val="none" w:sz="0" w:space="0" w:color="auto"/>
        <w:right w:val="none" w:sz="0" w:space="0" w:color="auto"/>
      </w:divBdr>
    </w:div>
    <w:div w:id="1429423544">
      <w:bodyDiv w:val="1"/>
      <w:marLeft w:val="0"/>
      <w:marRight w:val="0"/>
      <w:marTop w:val="0"/>
      <w:marBottom w:val="0"/>
      <w:divBdr>
        <w:top w:val="none" w:sz="0" w:space="0" w:color="auto"/>
        <w:left w:val="none" w:sz="0" w:space="0" w:color="auto"/>
        <w:bottom w:val="none" w:sz="0" w:space="0" w:color="auto"/>
        <w:right w:val="none" w:sz="0" w:space="0" w:color="auto"/>
      </w:divBdr>
    </w:div>
    <w:div w:id="1432120473">
      <w:bodyDiv w:val="1"/>
      <w:marLeft w:val="0"/>
      <w:marRight w:val="0"/>
      <w:marTop w:val="0"/>
      <w:marBottom w:val="0"/>
      <w:divBdr>
        <w:top w:val="none" w:sz="0" w:space="0" w:color="auto"/>
        <w:left w:val="none" w:sz="0" w:space="0" w:color="auto"/>
        <w:bottom w:val="none" w:sz="0" w:space="0" w:color="auto"/>
        <w:right w:val="none" w:sz="0" w:space="0" w:color="auto"/>
      </w:divBdr>
    </w:div>
    <w:div w:id="1436435933">
      <w:bodyDiv w:val="1"/>
      <w:marLeft w:val="0"/>
      <w:marRight w:val="0"/>
      <w:marTop w:val="0"/>
      <w:marBottom w:val="0"/>
      <w:divBdr>
        <w:top w:val="none" w:sz="0" w:space="0" w:color="auto"/>
        <w:left w:val="none" w:sz="0" w:space="0" w:color="auto"/>
        <w:bottom w:val="none" w:sz="0" w:space="0" w:color="auto"/>
        <w:right w:val="none" w:sz="0" w:space="0" w:color="auto"/>
      </w:divBdr>
    </w:div>
    <w:div w:id="1447508832">
      <w:bodyDiv w:val="1"/>
      <w:marLeft w:val="0"/>
      <w:marRight w:val="0"/>
      <w:marTop w:val="0"/>
      <w:marBottom w:val="0"/>
      <w:divBdr>
        <w:top w:val="none" w:sz="0" w:space="0" w:color="auto"/>
        <w:left w:val="none" w:sz="0" w:space="0" w:color="auto"/>
        <w:bottom w:val="none" w:sz="0" w:space="0" w:color="auto"/>
        <w:right w:val="none" w:sz="0" w:space="0" w:color="auto"/>
      </w:divBdr>
    </w:div>
    <w:div w:id="1470591611">
      <w:bodyDiv w:val="1"/>
      <w:marLeft w:val="0"/>
      <w:marRight w:val="0"/>
      <w:marTop w:val="0"/>
      <w:marBottom w:val="0"/>
      <w:divBdr>
        <w:top w:val="none" w:sz="0" w:space="0" w:color="auto"/>
        <w:left w:val="none" w:sz="0" w:space="0" w:color="auto"/>
        <w:bottom w:val="none" w:sz="0" w:space="0" w:color="auto"/>
        <w:right w:val="none" w:sz="0" w:space="0" w:color="auto"/>
      </w:divBdr>
    </w:div>
    <w:div w:id="1479569300">
      <w:bodyDiv w:val="1"/>
      <w:marLeft w:val="0"/>
      <w:marRight w:val="0"/>
      <w:marTop w:val="0"/>
      <w:marBottom w:val="0"/>
      <w:divBdr>
        <w:top w:val="none" w:sz="0" w:space="0" w:color="auto"/>
        <w:left w:val="none" w:sz="0" w:space="0" w:color="auto"/>
        <w:bottom w:val="none" w:sz="0" w:space="0" w:color="auto"/>
        <w:right w:val="none" w:sz="0" w:space="0" w:color="auto"/>
      </w:divBdr>
    </w:div>
    <w:div w:id="1483623353">
      <w:bodyDiv w:val="1"/>
      <w:marLeft w:val="0"/>
      <w:marRight w:val="0"/>
      <w:marTop w:val="0"/>
      <w:marBottom w:val="0"/>
      <w:divBdr>
        <w:top w:val="none" w:sz="0" w:space="0" w:color="auto"/>
        <w:left w:val="none" w:sz="0" w:space="0" w:color="auto"/>
        <w:bottom w:val="none" w:sz="0" w:space="0" w:color="auto"/>
        <w:right w:val="none" w:sz="0" w:space="0" w:color="auto"/>
      </w:divBdr>
    </w:div>
    <w:div w:id="1488591785">
      <w:bodyDiv w:val="1"/>
      <w:marLeft w:val="0"/>
      <w:marRight w:val="0"/>
      <w:marTop w:val="0"/>
      <w:marBottom w:val="0"/>
      <w:divBdr>
        <w:top w:val="none" w:sz="0" w:space="0" w:color="auto"/>
        <w:left w:val="none" w:sz="0" w:space="0" w:color="auto"/>
        <w:bottom w:val="none" w:sz="0" w:space="0" w:color="auto"/>
        <w:right w:val="none" w:sz="0" w:space="0" w:color="auto"/>
      </w:divBdr>
    </w:div>
    <w:div w:id="1505631767">
      <w:bodyDiv w:val="1"/>
      <w:marLeft w:val="0"/>
      <w:marRight w:val="0"/>
      <w:marTop w:val="0"/>
      <w:marBottom w:val="0"/>
      <w:divBdr>
        <w:top w:val="none" w:sz="0" w:space="0" w:color="auto"/>
        <w:left w:val="none" w:sz="0" w:space="0" w:color="auto"/>
        <w:bottom w:val="none" w:sz="0" w:space="0" w:color="auto"/>
        <w:right w:val="none" w:sz="0" w:space="0" w:color="auto"/>
      </w:divBdr>
    </w:div>
    <w:div w:id="1547177462">
      <w:bodyDiv w:val="1"/>
      <w:marLeft w:val="0"/>
      <w:marRight w:val="0"/>
      <w:marTop w:val="0"/>
      <w:marBottom w:val="0"/>
      <w:divBdr>
        <w:top w:val="none" w:sz="0" w:space="0" w:color="auto"/>
        <w:left w:val="none" w:sz="0" w:space="0" w:color="auto"/>
        <w:bottom w:val="none" w:sz="0" w:space="0" w:color="auto"/>
        <w:right w:val="none" w:sz="0" w:space="0" w:color="auto"/>
      </w:divBdr>
    </w:div>
    <w:div w:id="1559515659">
      <w:bodyDiv w:val="1"/>
      <w:marLeft w:val="0"/>
      <w:marRight w:val="0"/>
      <w:marTop w:val="0"/>
      <w:marBottom w:val="0"/>
      <w:divBdr>
        <w:top w:val="none" w:sz="0" w:space="0" w:color="auto"/>
        <w:left w:val="none" w:sz="0" w:space="0" w:color="auto"/>
        <w:bottom w:val="none" w:sz="0" w:space="0" w:color="auto"/>
        <w:right w:val="none" w:sz="0" w:space="0" w:color="auto"/>
      </w:divBdr>
    </w:div>
    <w:div w:id="1596473610">
      <w:bodyDiv w:val="1"/>
      <w:marLeft w:val="0"/>
      <w:marRight w:val="0"/>
      <w:marTop w:val="0"/>
      <w:marBottom w:val="0"/>
      <w:divBdr>
        <w:top w:val="none" w:sz="0" w:space="0" w:color="auto"/>
        <w:left w:val="none" w:sz="0" w:space="0" w:color="auto"/>
        <w:bottom w:val="none" w:sz="0" w:space="0" w:color="auto"/>
        <w:right w:val="none" w:sz="0" w:space="0" w:color="auto"/>
      </w:divBdr>
    </w:div>
    <w:div w:id="1622882996">
      <w:bodyDiv w:val="1"/>
      <w:marLeft w:val="0"/>
      <w:marRight w:val="0"/>
      <w:marTop w:val="0"/>
      <w:marBottom w:val="0"/>
      <w:divBdr>
        <w:top w:val="none" w:sz="0" w:space="0" w:color="auto"/>
        <w:left w:val="none" w:sz="0" w:space="0" w:color="auto"/>
        <w:bottom w:val="none" w:sz="0" w:space="0" w:color="auto"/>
        <w:right w:val="none" w:sz="0" w:space="0" w:color="auto"/>
      </w:divBdr>
    </w:div>
    <w:div w:id="1624536744">
      <w:bodyDiv w:val="1"/>
      <w:marLeft w:val="0"/>
      <w:marRight w:val="0"/>
      <w:marTop w:val="0"/>
      <w:marBottom w:val="0"/>
      <w:divBdr>
        <w:top w:val="none" w:sz="0" w:space="0" w:color="auto"/>
        <w:left w:val="none" w:sz="0" w:space="0" w:color="auto"/>
        <w:bottom w:val="none" w:sz="0" w:space="0" w:color="auto"/>
        <w:right w:val="none" w:sz="0" w:space="0" w:color="auto"/>
      </w:divBdr>
    </w:div>
    <w:div w:id="1630820317">
      <w:bodyDiv w:val="1"/>
      <w:marLeft w:val="0"/>
      <w:marRight w:val="0"/>
      <w:marTop w:val="0"/>
      <w:marBottom w:val="0"/>
      <w:divBdr>
        <w:top w:val="none" w:sz="0" w:space="0" w:color="auto"/>
        <w:left w:val="none" w:sz="0" w:space="0" w:color="auto"/>
        <w:bottom w:val="none" w:sz="0" w:space="0" w:color="auto"/>
        <w:right w:val="none" w:sz="0" w:space="0" w:color="auto"/>
      </w:divBdr>
    </w:div>
    <w:div w:id="1651328644">
      <w:bodyDiv w:val="1"/>
      <w:marLeft w:val="0"/>
      <w:marRight w:val="0"/>
      <w:marTop w:val="0"/>
      <w:marBottom w:val="0"/>
      <w:divBdr>
        <w:top w:val="none" w:sz="0" w:space="0" w:color="auto"/>
        <w:left w:val="none" w:sz="0" w:space="0" w:color="auto"/>
        <w:bottom w:val="none" w:sz="0" w:space="0" w:color="auto"/>
        <w:right w:val="none" w:sz="0" w:space="0" w:color="auto"/>
      </w:divBdr>
    </w:div>
    <w:div w:id="1669748764">
      <w:bodyDiv w:val="1"/>
      <w:marLeft w:val="0"/>
      <w:marRight w:val="0"/>
      <w:marTop w:val="0"/>
      <w:marBottom w:val="0"/>
      <w:divBdr>
        <w:top w:val="none" w:sz="0" w:space="0" w:color="auto"/>
        <w:left w:val="none" w:sz="0" w:space="0" w:color="auto"/>
        <w:bottom w:val="none" w:sz="0" w:space="0" w:color="auto"/>
        <w:right w:val="none" w:sz="0" w:space="0" w:color="auto"/>
      </w:divBdr>
    </w:div>
    <w:div w:id="1683505873">
      <w:bodyDiv w:val="1"/>
      <w:marLeft w:val="0"/>
      <w:marRight w:val="0"/>
      <w:marTop w:val="0"/>
      <w:marBottom w:val="0"/>
      <w:divBdr>
        <w:top w:val="none" w:sz="0" w:space="0" w:color="auto"/>
        <w:left w:val="none" w:sz="0" w:space="0" w:color="auto"/>
        <w:bottom w:val="none" w:sz="0" w:space="0" w:color="auto"/>
        <w:right w:val="none" w:sz="0" w:space="0" w:color="auto"/>
      </w:divBdr>
    </w:div>
    <w:div w:id="1684428467">
      <w:bodyDiv w:val="1"/>
      <w:marLeft w:val="0"/>
      <w:marRight w:val="0"/>
      <w:marTop w:val="0"/>
      <w:marBottom w:val="0"/>
      <w:divBdr>
        <w:top w:val="none" w:sz="0" w:space="0" w:color="auto"/>
        <w:left w:val="none" w:sz="0" w:space="0" w:color="auto"/>
        <w:bottom w:val="none" w:sz="0" w:space="0" w:color="auto"/>
        <w:right w:val="none" w:sz="0" w:space="0" w:color="auto"/>
      </w:divBdr>
    </w:div>
    <w:div w:id="1695040139">
      <w:bodyDiv w:val="1"/>
      <w:marLeft w:val="0"/>
      <w:marRight w:val="0"/>
      <w:marTop w:val="0"/>
      <w:marBottom w:val="0"/>
      <w:divBdr>
        <w:top w:val="none" w:sz="0" w:space="0" w:color="auto"/>
        <w:left w:val="none" w:sz="0" w:space="0" w:color="auto"/>
        <w:bottom w:val="none" w:sz="0" w:space="0" w:color="auto"/>
        <w:right w:val="none" w:sz="0" w:space="0" w:color="auto"/>
      </w:divBdr>
    </w:div>
    <w:div w:id="1724866248">
      <w:bodyDiv w:val="1"/>
      <w:marLeft w:val="0"/>
      <w:marRight w:val="0"/>
      <w:marTop w:val="0"/>
      <w:marBottom w:val="0"/>
      <w:divBdr>
        <w:top w:val="none" w:sz="0" w:space="0" w:color="auto"/>
        <w:left w:val="none" w:sz="0" w:space="0" w:color="auto"/>
        <w:bottom w:val="none" w:sz="0" w:space="0" w:color="auto"/>
        <w:right w:val="none" w:sz="0" w:space="0" w:color="auto"/>
      </w:divBdr>
    </w:div>
    <w:div w:id="1731732062">
      <w:bodyDiv w:val="1"/>
      <w:marLeft w:val="0"/>
      <w:marRight w:val="0"/>
      <w:marTop w:val="0"/>
      <w:marBottom w:val="0"/>
      <w:divBdr>
        <w:top w:val="none" w:sz="0" w:space="0" w:color="auto"/>
        <w:left w:val="none" w:sz="0" w:space="0" w:color="auto"/>
        <w:bottom w:val="none" w:sz="0" w:space="0" w:color="auto"/>
        <w:right w:val="none" w:sz="0" w:space="0" w:color="auto"/>
      </w:divBdr>
    </w:div>
    <w:div w:id="1772625559">
      <w:bodyDiv w:val="1"/>
      <w:marLeft w:val="0"/>
      <w:marRight w:val="0"/>
      <w:marTop w:val="0"/>
      <w:marBottom w:val="0"/>
      <w:divBdr>
        <w:top w:val="none" w:sz="0" w:space="0" w:color="auto"/>
        <w:left w:val="none" w:sz="0" w:space="0" w:color="auto"/>
        <w:bottom w:val="none" w:sz="0" w:space="0" w:color="auto"/>
        <w:right w:val="none" w:sz="0" w:space="0" w:color="auto"/>
      </w:divBdr>
    </w:div>
    <w:div w:id="1790926893">
      <w:bodyDiv w:val="1"/>
      <w:marLeft w:val="0"/>
      <w:marRight w:val="0"/>
      <w:marTop w:val="0"/>
      <w:marBottom w:val="0"/>
      <w:divBdr>
        <w:top w:val="none" w:sz="0" w:space="0" w:color="auto"/>
        <w:left w:val="none" w:sz="0" w:space="0" w:color="auto"/>
        <w:bottom w:val="none" w:sz="0" w:space="0" w:color="auto"/>
        <w:right w:val="none" w:sz="0" w:space="0" w:color="auto"/>
      </w:divBdr>
    </w:div>
    <w:div w:id="1808820723">
      <w:bodyDiv w:val="1"/>
      <w:marLeft w:val="0"/>
      <w:marRight w:val="0"/>
      <w:marTop w:val="0"/>
      <w:marBottom w:val="0"/>
      <w:divBdr>
        <w:top w:val="none" w:sz="0" w:space="0" w:color="auto"/>
        <w:left w:val="none" w:sz="0" w:space="0" w:color="auto"/>
        <w:bottom w:val="none" w:sz="0" w:space="0" w:color="auto"/>
        <w:right w:val="none" w:sz="0" w:space="0" w:color="auto"/>
      </w:divBdr>
    </w:div>
    <w:div w:id="1861048080">
      <w:bodyDiv w:val="1"/>
      <w:marLeft w:val="0"/>
      <w:marRight w:val="0"/>
      <w:marTop w:val="0"/>
      <w:marBottom w:val="0"/>
      <w:divBdr>
        <w:top w:val="none" w:sz="0" w:space="0" w:color="auto"/>
        <w:left w:val="none" w:sz="0" w:space="0" w:color="auto"/>
        <w:bottom w:val="none" w:sz="0" w:space="0" w:color="auto"/>
        <w:right w:val="none" w:sz="0" w:space="0" w:color="auto"/>
      </w:divBdr>
    </w:div>
    <w:div w:id="1930773641">
      <w:bodyDiv w:val="1"/>
      <w:marLeft w:val="0"/>
      <w:marRight w:val="0"/>
      <w:marTop w:val="0"/>
      <w:marBottom w:val="0"/>
      <w:divBdr>
        <w:top w:val="none" w:sz="0" w:space="0" w:color="auto"/>
        <w:left w:val="none" w:sz="0" w:space="0" w:color="auto"/>
        <w:bottom w:val="none" w:sz="0" w:space="0" w:color="auto"/>
        <w:right w:val="none" w:sz="0" w:space="0" w:color="auto"/>
      </w:divBdr>
    </w:div>
    <w:div w:id="1948656642">
      <w:bodyDiv w:val="1"/>
      <w:marLeft w:val="0"/>
      <w:marRight w:val="0"/>
      <w:marTop w:val="0"/>
      <w:marBottom w:val="0"/>
      <w:divBdr>
        <w:top w:val="none" w:sz="0" w:space="0" w:color="auto"/>
        <w:left w:val="none" w:sz="0" w:space="0" w:color="auto"/>
        <w:bottom w:val="none" w:sz="0" w:space="0" w:color="auto"/>
        <w:right w:val="none" w:sz="0" w:space="0" w:color="auto"/>
      </w:divBdr>
    </w:div>
    <w:div w:id="1952737756">
      <w:bodyDiv w:val="1"/>
      <w:marLeft w:val="0"/>
      <w:marRight w:val="0"/>
      <w:marTop w:val="0"/>
      <w:marBottom w:val="0"/>
      <w:divBdr>
        <w:top w:val="none" w:sz="0" w:space="0" w:color="auto"/>
        <w:left w:val="none" w:sz="0" w:space="0" w:color="auto"/>
        <w:bottom w:val="none" w:sz="0" w:space="0" w:color="auto"/>
        <w:right w:val="none" w:sz="0" w:space="0" w:color="auto"/>
      </w:divBdr>
    </w:div>
    <w:div w:id="1968774111">
      <w:bodyDiv w:val="1"/>
      <w:marLeft w:val="0"/>
      <w:marRight w:val="0"/>
      <w:marTop w:val="0"/>
      <w:marBottom w:val="0"/>
      <w:divBdr>
        <w:top w:val="none" w:sz="0" w:space="0" w:color="auto"/>
        <w:left w:val="none" w:sz="0" w:space="0" w:color="auto"/>
        <w:bottom w:val="none" w:sz="0" w:space="0" w:color="auto"/>
        <w:right w:val="none" w:sz="0" w:space="0" w:color="auto"/>
      </w:divBdr>
    </w:div>
    <w:div w:id="1980961488">
      <w:bodyDiv w:val="1"/>
      <w:marLeft w:val="0"/>
      <w:marRight w:val="0"/>
      <w:marTop w:val="0"/>
      <w:marBottom w:val="0"/>
      <w:divBdr>
        <w:top w:val="none" w:sz="0" w:space="0" w:color="auto"/>
        <w:left w:val="none" w:sz="0" w:space="0" w:color="auto"/>
        <w:bottom w:val="none" w:sz="0" w:space="0" w:color="auto"/>
        <w:right w:val="none" w:sz="0" w:space="0" w:color="auto"/>
      </w:divBdr>
    </w:div>
    <w:div w:id="2005356124">
      <w:bodyDiv w:val="1"/>
      <w:marLeft w:val="0"/>
      <w:marRight w:val="0"/>
      <w:marTop w:val="0"/>
      <w:marBottom w:val="0"/>
      <w:divBdr>
        <w:top w:val="none" w:sz="0" w:space="0" w:color="auto"/>
        <w:left w:val="none" w:sz="0" w:space="0" w:color="auto"/>
        <w:bottom w:val="none" w:sz="0" w:space="0" w:color="auto"/>
        <w:right w:val="none" w:sz="0" w:space="0" w:color="auto"/>
      </w:divBdr>
    </w:div>
    <w:div w:id="2007048967">
      <w:bodyDiv w:val="1"/>
      <w:marLeft w:val="0"/>
      <w:marRight w:val="0"/>
      <w:marTop w:val="0"/>
      <w:marBottom w:val="0"/>
      <w:divBdr>
        <w:top w:val="none" w:sz="0" w:space="0" w:color="auto"/>
        <w:left w:val="none" w:sz="0" w:space="0" w:color="auto"/>
        <w:bottom w:val="none" w:sz="0" w:space="0" w:color="auto"/>
        <w:right w:val="none" w:sz="0" w:space="0" w:color="auto"/>
      </w:divBdr>
    </w:div>
    <w:div w:id="2009945470">
      <w:bodyDiv w:val="1"/>
      <w:marLeft w:val="0"/>
      <w:marRight w:val="0"/>
      <w:marTop w:val="0"/>
      <w:marBottom w:val="0"/>
      <w:divBdr>
        <w:top w:val="none" w:sz="0" w:space="0" w:color="auto"/>
        <w:left w:val="none" w:sz="0" w:space="0" w:color="auto"/>
        <w:bottom w:val="none" w:sz="0" w:space="0" w:color="auto"/>
        <w:right w:val="none" w:sz="0" w:space="0" w:color="auto"/>
      </w:divBdr>
    </w:div>
    <w:div w:id="2023362419">
      <w:bodyDiv w:val="1"/>
      <w:marLeft w:val="0"/>
      <w:marRight w:val="0"/>
      <w:marTop w:val="0"/>
      <w:marBottom w:val="0"/>
      <w:divBdr>
        <w:top w:val="none" w:sz="0" w:space="0" w:color="auto"/>
        <w:left w:val="none" w:sz="0" w:space="0" w:color="auto"/>
        <w:bottom w:val="none" w:sz="0" w:space="0" w:color="auto"/>
        <w:right w:val="none" w:sz="0" w:space="0" w:color="auto"/>
      </w:divBdr>
    </w:div>
    <w:div w:id="2029914335">
      <w:bodyDiv w:val="1"/>
      <w:marLeft w:val="0"/>
      <w:marRight w:val="0"/>
      <w:marTop w:val="0"/>
      <w:marBottom w:val="0"/>
      <w:divBdr>
        <w:top w:val="none" w:sz="0" w:space="0" w:color="auto"/>
        <w:left w:val="none" w:sz="0" w:space="0" w:color="auto"/>
        <w:bottom w:val="none" w:sz="0" w:space="0" w:color="auto"/>
        <w:right w:val="none" w:sz="0" w:space="0" w:color="auto"/>
      </w:divBdr>
    </w:div>
    <w:div w:id="2043482765">
      <w:bodyDiv w:val="1"/>
      <w:marLeft w:val="0"/>
      <w:marRight w:val="0"/>
      <w:marTop w:val="0"/>
      <w:marBottom w:val="0"/>
      <w:divBdr>
        <w:top w:val="none" w:sz="0" w:space="0" w:color="auto"/>
        <w:left w:val="none" w:sz="0" w:space="0" w:color="auto"/>
        <w:bottom w:val="none" w:sz="0" w:space="0" w:color="auto"/>
        <w:right w:val="none" w:sz="0" w:space="0" w:color="auto"/>
      </w:divBdr>
    </w:div>
    <w:div w:id="2050494561">
      <w:bodyDiv w:val="1"/>
      <w:marLeft w:val="0"/>
      <w:marRight w:val="0"/>
      <w:marTop w:val="0"/>
      <w:marBottom w:val="0"/>
      <w:divBdr>
        <w:top w:val="none" w:sz="0" w:space="0" w:color="auto"/>
        <w:left w:val="none" w:sz="0" w:space="0" w:color="auto"/>
        <w:bottom w:val="none" w:sz="0" w:space="0" w:color="auto"/>
        <w:right w:val="none" w:sz="0" w:space="0" w:color="auto"/>
      </w:divBdr>
    </w:div>
    <w:div w:id="2067951464">
      <w:bodyDiv w:val="1"/>
      <w:marLeft w:val="0"/>
      <w:marRight w:val="0"/>
      <w:marTop w:val="0"/>
      <w:marBottom w:val="0"/>
      <w:divBdr>
        <w:top w:val="none" w:sz="0" w:space="0" w:color="auto"/>
        <w:left w:val="none" w:sz="0" w:space="0" w:color="auto"/>
        <w:bottom w:val="none" w:sz="0" w:space="0" w:color="auto"/>
        <w:right w:val="none" w:sz="0" w:space="0" w:color="auto"/>
      </w:divBdr>
    </w:div>
    <w:div w:id="2074888998">
      <w:bodyDiv w:val="1"/>
      <w:marLeft w:val="0"/>
      <w:marRight w:val="0"/>
      <w:marTop w:val="0"/>
      <w:marBottom w:val="0"/>
      <w:divBdr>
        <w:top w:val="none" w:sz="0" w:space="0" w:color="auto"/>
        <w:left w:val="none" w:sz="0" w:space="0" w:color="auto"/>
        <w:bottom w:val="none" w:sz="0" w:space="0" w:color="auto"/>
        <w:right w:val="none" w:sz="0" w:space="0" w:color="auto"/>
      </w:divBdr>
    </w:div>
    <w:div w:id="2080252155">
      <w:bodyDiv w:val="1"/>
      <w:marLeft w:val="0"/>
      <w:marRight w:val="0"/>
      <w:marTop w:val="0"/>
      <w:marBottom w:val="0"/>
      <w:divBdr>
        <w:top w:val="none" w:sz="0" w:space="0" w:color="auto"/>
        <w:left w:val="none" w:sz="0" w:space="0" w:color="auto"/>
        <w:bottom w:val="none" w:sz="0" w:space="0" w:color="auto"/>
        <w:right w:val="none" w:sz="0" w:space="0" w:color="auto"/>
      </w:divBdr>
    </w:div>
    <w:div w:id="2085685842">
      <w:bodyDiv w:val="1"/>
      <w:marLeft w:val="0"/>
      <w:marRight w:val="0"/>
      <w:marTop w:val="0"/>
      <w:marBottom w:val="0"/>
      <w:divBdr>
        <w:top w:val="none" w:sz="0" w:space="0" w:color="auto"/>
        <w:left w:val="none" w:sz="0" w:space="0" w:color="auto"/>
        <w:bottom w:val="none" w:sz="0" w:space="0" w:color="auto"/>
        <w:right w:val="none" w:sz="0" w:space="0" w:color="auto"/>
      </w:divBdr>
    </w:div>
    <w:div w:id="2104564002">
      <w:bodyDiv w:val="1"/>
      <w:marLeft w:val="0"/>
      <w:marRight w:val="0"/>
      <w:marTop w:val="0"/>
      <w:marBottom w:val="0"/>
      <w:divBdr>
        <w:top w:val="none" w:sz="0" w:space="0" w:color="auto"/>
        <w:left w:val="none" w:sz="0" w:space="0" w:color="auto"/>
        <w:bottom w:val="none" w:sz="0" w:space="0" w:color="auto"/>
        <w:right w:val="none" w:sz="0" w:space="0" w:color="auto"/>
      </w:divBdr>
    </w:div>
    <w:div w:id="2128087763">
      <w:bodyDiv w:val="1"/>
      <w:marLeft w:val="0"/>
      <w:marRight w:val="0"/>
      <w:marTop w:val="0"/>
      <w:marBottom w:val="0"/>
      <w:divBdr>
        <w:top w:val="none" w:sz="0" w:space="0" w:color="auto"/>
        <w:left w:val="none" w:sz="0" w:space="0" w:color="auto"/>
        <w:bottom w:val="none" w:sz="0" w:space="0" w:color="auto"/>
        <w:right w:val="none" w:sz="0" w:space="0" w:color="auto"/>
      </w:divBdr>
    </w:div>
    <w:div w:id="2129350681">
      <w:bodyDiv w:val="1"/>
      <w:marLeft w:val="0"/>
      <w:marRight w:val="0"/>
      <w:marTop w:val="0"/>
      <w:marBottom w:val="0"/>
      <w:divBdr>
        <w:top w:val="none" w:sz="0" w:space="0" w:color="auto"/>
        <w:left w:val="none" w:sz="0" w:space="0" w:color="auto"/>
        <w:bottom w:val="none" w:sz="0" w:space="0" w:color="auto"/>
        <w:right w:val="none" w:sz="0" w:space="0" w:color="auto"/>
      </w:divBdr>
    </w:div>
    <w:div w:id="2139717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beroubaguisse@yahoo.fr" TargetMode="External"/><Relationship Id="rId26" Type="http://schemas.openxmlformats.org/officeDocument/2006/relationships/header" Target="header2.xml"/><Relationship Id="rId39" Type="http://schemas.openxmlformats.org/officeDocument/2006/relationships/hyperlink" Target="https://www.guinee-bissau.net/guerre_guinee_bissau.php" TargetMode="External"/><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hyperlink" Target="https://www.guinee-bissau.net/ethnies_guinee_bissau.php" TargetMode="External"/><Relationship Id="rId47" Type="http://schemas.openxmlformats.org/officeDocument/2006/relationships/hyperlink" Target="https://www.guinee-bissau.net/ethnie_mancagne.php" TargetMode="External"/><Relationship Id="rId50" Type="http://schemas.openxmlformats.org/officeDocument/2006/relationships/image" Target="media/image18.emf"/><Relationship Id="rId55" Type="http://schemas.openxmlformats.org/officeDocument/2006/relationships/footer" Target="footer4.xml"/><Relationship Id="rId63" Type="http://schemas.openxmlformats.org/officeDocument/2006/relationships/image" Target="media/image25.jpe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beroubaguisse@yahoo.f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3.PNG"/><Relationship Id="rId37" Type="http://schemas.openxmlformats.org/officeDocument/2006/relationships/hyperlink" Target="https://www.guinee-bissau.net/ethnies_guinee_bissau.php" TargetMode="External"/><Relationship Id="rId40" Type="http://schemas.openxmlformats.org/officeDocument/2006/relationships/hyperlink" Target="https://www.guinee-bissau.net/balantes.php" TargetMode="External"/><Relationship Id="rId45" Type="http://schemas.openxmlformats.org/officeDocument/2006/relationships/hyperlink" Target="https://www.guinee-bissau.net/manjaques.php" TargetMode="External"/><Relationship Id="rId53" Type="http://schemas.openxmlformats.org/officeDocument/2006/relationships/hyperlink" Target="http://hdr.undp.org/en/composite/HDI" TargetMode="External"/><Relationship Id="rId58" Type="http://schemas.openxmlformats.org/officeDocument/2006/relationships/hyperlink" Target="https://undocs.org/fr/ST/SGB/2003/13"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cienvironnement@gmail.com" TargetMode="External"/><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image" Target="media/image16.png"/><Relationship Id="rId49" Type="http://schemas.openxmlformats.org/officeDocument/2006/relationships/image" Target="media/image17.gif"/><Relationship Id="rId57" Type="http://schemas.openxmlformats.org/officeDocument/2006/relationships/footer" Target="footer5.xml"/><Relationship Id="rId61"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hyperlink" Target="file:///C:\Users\AMADOU\Downloads\RAPPORT%20PUSA%20CGES%20Final%2018%20JUIN%202021-%20VER.%20%20REVISION-mrs-clean.docx" TargetMode="External"/><Relationship Id="rId31" Type="http://schemas.openxmlformats.org/officeDocument/2006/relationships/image" Target="media/image12.jpeg"/><Relationship Id="rId44" Type="http://schemas.openxmlformats.org/officeDocument/2006/relationships/hyperlink" Target="https://www.guinee-bissau.net/ethnie_peul.php" TargetMode="External"/><Relationship Id="rId52" Type="http://schemas.openxmlformats.org/officeDocument/2006/relationships/image" Target="media/image20.jpeg"/><Relationship Id="rId60" Type="http://schemas.openxmlformats.org/officeDocument/2006/relationships/image" Target="media/image22.jpeg"/><Relationship Id="rId65"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tif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5.png"/><Relationship Id="rId43" Type="http://schemas.openxmlformats.org/officeDocument/2006/relationships/hyperlink" Target="https://www.guinee-bissau.net/balantes.php" TargetMode="External"/><Relationship Id="rId48" Type="http://schemas.openxmlformats.org/officeDocument/2006/relationships/hyperlink" Target="https://www.guinee-bissau.net/bijogos.php" TargetMode="External"/><Relationship Id="rId56" Type="http://schemas.openxmlformats.org/officeDocument/2006/relationships/header" Target="header5.xml"/><Relationship Id="rId64" Type="http://schemas.openxmlformats.org/officeDocument/2006/relationships/image" Target="media/image26.jpeg"/><Relationship Id="rId8" Type="http://schemas.openxmlformats.org/officeDocument/2006/relationships/settings" Target="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mailto:ecienvironnement@gmail.com" TargetMode="External"/><Relationship Id="rId25" Type="http://schemas.openxmlformats.org/officeDocument/2006/relationships/header" Target="header1.xml"/><Relationship Id="rId33" Type="http://schemas.openxmlformats.org/officeDocument/2006/relationships/hyperlink" Target="http://www.meteoblue.com/fr/meteo/prevision/modelclimate/bissau_guin&#233;e-bissau" TargetMode="External"/><Relationship Id="rId38" Type="http://schemas.openxmlformats.org/officeDocument/2006/relationships/hyperlink" Target="https://www.guinee-bissau.net/bissau.php" TargetMode="External"/><Relationship Id="rId46" Type="http://schemas.openxmlformats.org/officeDocument/2006/relationships/hyperlink" Target="https://www.guinee-bissau.net/papels.php" TargetMode="External"/><Relationship Id="rId59" Type="http://schemas.openxmlformats.org/officeDocument/2006/relationships/image" Target="media/image21.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www.guinee-bissau.net/manjaques.php" TargetMode="External"/><Relationship Id="rId54" Type="http://schemas.openxmlformats.org/officeDocument/2006/relationships/header" Target="header4.xml"/><Relationship Id="rId62"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11.tiff"/></Relationships>
</file>

<file path=word/_rels/footer4.xml.rels><?xml version="1.0" encoding="UTF-8" standalone="yes"?>
<Relationships xmlns="http://schemas.openxmlformats.org/package/2006/relationships"><Relationship Id="rId1" Type="http://schemas.openxmlformats.org/officeDocument/2006/relationships/image" Target="media/image11.tiff"/></Relationships>
</file>

<file path=word/_rels/footer5.xml.rels><?xml version="1.0" encoding="UTF-8" standalone="yes"?>
<Relationships xmlns="http://schemas.openxmlformats.org/package/2006/relationships"><Relationship Id="rId1" Type="http://schemas.openxmlformats.org/officeDocument/2006/relationships/image" Target="media/image11.tiff"/></Relationships>
</file>

<file path=word/_rels/footnotes.xml.rels><?xml version="1.0" encoding="UTF-8" standalone="yes"?>
<Relationships xmlns="http://schemas.openxmlformats.org/package/2006/relationships"><Relationship Id="rId1" Type="http://schemas.openxmlformats.org/officeDocument/2006/relationships/hyperlink" Target="http://documents1.worldbank.org/curated/en/509041468321553133/pdf/929700WP0Box380Soc0Protection0Brief.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13B939515A8348863D59D79CA39267" ma:contentTypeVersion="14" ma:contentTypeDescription="Create a new document." ma:contentTypeScope="" ma:versionID="eba6313641f7d43755551bb4e3b42af3">
  <xsd:schema xmlns:xsd="http://www.w3.org/2001/XMLSchema" xmlns:xs="http://www.w3.org/2001/XMLSchema" xmlns:p="http://schemas.microsoft.com/office/2006/metadata/properties" xmlns:ns3="24143f93-cd68-4bbf-abca-782bad0f7f42" xmlns:ns4="3046f5e9-6b23-439d-8a90-ab497fb516e7" targetNamespace="http://schemas.microsoft.com/office/2006/metadata/properties" ma:root="true" ma:fieldsID="5307537fd5d491cdaa8a584558e122d4" ns3:_="" ns4:_="">
    <xsd:import namespace="24143f93-cd68-4bbf-abca-782bad0f7f42"/>
    <xsd:import namespace="3046f5e9-6b23-439d-8a90-ab497fb516e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43f93-cd68-4bbf-abca-782bad0f7f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46f5e9-6b23-439d-8a90-ab497fb516e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1E7013-17A0-4BDB-AB8E-7513E947DD6F}">
  <ds:schemaRefs>
    <ds:schemaRef ds:uri="http://schemas.microsoft.com/sharepoint/v3/contenttype/forms"/>
  </ds:schemaRefs>
</ds:datastoreItem>
</file>

<file path=customXml/itemProps2.xml><?xml version="1.0" encoding="utf-8"?>
<ds:datastoreItem xmlns:ds="http://schemas.openxmlformats.org/officeDocument/2006/customXml" ds:itemID="{ABB21FC1-68E8-46D4-8975-6501EF980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43f93-cd68-4bbf-abca-782bad0f7f42"/>
    <ds:schemaRef ds:uri="3046f5e9-6b23-439d-8a90-ab497fb51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A61EC8-8AF0-4F0F-9267-02ABC8F2C6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39FC10-26D3-4005-AD6E-4C87AB821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241</Pages>
  <Words>102243</Words>
  <Characters>552114</Characters>
  <Application>Microsoft Office Word</Application>
  <DocSecurity>0</DocSecurity>
  <Lines>4600</Lines>
  <Paragraphs>1306</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653051</CharactersWithSpaces>
  <SharedDoc>false</SharedDoc>
  <HLinks>
    <vt:vector size="1008" baseType="variant">
      <vt:variant>
        <vt:i4>5832725</vt:i4>
      </vt:variant>
      <vt:variant>
        <vt:i4>1050</vt:i4>
      </vt:variant>
      <vt:variant>
        <vt:i4>0</vt:i4>
      </vt:variant>
      <vt:variant>
        <vt:i4>5</vt:i4>
      </vt:variant>
      <vt:variant>
        <vt:lpwstr>https://undocs.org/fr/ST/SGB/2003/13</vt:lpwstr>
      </vt:variant>
      <vt:variant>
        <vt:lpwstr/>
      </vt:variant>
      <vt:variant>
        <vt:i4>5308492</vt:i4>
      </vt:variant>
      <vt:variant>
        <vt:i4>1005</vt:i4>
      </vt:variant>
      <vt:variant>
        <vt:i4>0</vt:i4>
      </vt:variant>
      <vt:variant>
        <vt:i4>5</vt:i4>
      </vt:variant>
      <vt:variant>
        <vt:lpwstr>http://hdr.undp.org/en/composite/HDI</vt:lpwstr>
      </vt:variant>
      <vt:variant>
        <vt:lpwstr/>
      </vt:variant>
      <vt:variant>
        <vt:i4>851999</vt:i4>
      </vt:variant>
      <vt:variant>
        <vt:i4>987</vt:i4>
      </vt:variant>
      <vt:variant>
        <vt:i4>0</vt:i4>
      </vt:variant>
      <vt:variant>
        <vt:i4>5</vt:i4>
      </vt:variant>
      <vt:variant>
        <vt:lpwstr>https://www.guinee-bissau.net/bijogos.php</vt:lpwstr>
      </vt:variant>
      <vt:variant>
        <vt:lpwstr/>
      </vt:variant>
      <vt:variant>
        <vt:i4>1507384</vt:i4>
      </vt:variant>
      <vt:variant>
        <vt:i4>984</vt:i4>
      </vt:variant>
      <vt:variant>
        <vt:i4>0</vt:i4>
      </vt:variant>
      <vt:variant>
        <vt:i4>5</vt:i4>
      </vt:variant>
      <vt:variant>
        <vt:lpwstr>https://www.guinee-bissau.net/ethnie_mancagne.php</vt:lpwstr>
      </vt:variant>
      <vt:variant>
        <vt:lpwstr/>
      </vt:variant>
      <vt:variant>
        <vt:i4>5570649</vt:i4>
      </vt:variant>
      <vt:variant>
        <vt:i4>981</vt:i4>
      </vt:variant>
      <vt:variant>
        <vt:i4>0</vt:i4>
      </vt:variant>
      <vt:variant>
        <vt:i4>5</vt:i4>
      </vt:variant>
      <vt:variant>
        <vt:lpwstr>https://www.guinee-bissau.net/papels.php</vt:lpwstr>
      </vt:variant>
      <vt:variant>
        <vt:lpwstr/>
      </vt:variant>
      <vt:variant>
        <vt:i4>8061031</vt:i4>
      </vt:variant>
      <vt:variant>
        <vt:i4>978</vt:i4>
      </vt:variant>
      <vt:variant>
        <vt:i4>0</vt:i4>
      </vt:variant>
      <vt:variant>
        <vt:i4>5</vt:i4>
      </vt:variant>
      <vt:variant>
        <vt:lpwstr>https://www.guinee-bissau.net/manjaques.php</vt:lpwstr>
      </vt:variant>
      <vt:variant>
        <vt:lpwstr/>
      </vt:variant>
      <vt:variant>
        <vt:i4>1966129</vt:i4>
      </vt:variant>
      <vt:variant>
        <vt:i4>975</vt:i4>
      </vt:variant>
      <vt:variant>
        <vt:i4>0</vt:i4>
      </vt:variant>
      <vt:variant>
        <vt:i4>5</vt:i4>
      </vt:variant>
      <vt:variant>
        <vt:lpwstr>https://www.guinee-bissau.net/ethnie_peul.php</vt:lpwstr>
      </vt:variant>
      <vt:variant>
        <vt:lpwstr/>
      </vt:variant>
      <vt:variant>
        <vt:i4>2424880</vt:i4>
      </vt:variant>
      <vt:variant>
        <vt:i4>972</vt:i4>
      </vt:variant>
      <vt:variant>
        <vt:i4>0</vt:i4>
      </vt:variant>
      <vt:variant>
        <vt:i4>5</vt:i4>
      </vt:variant>
      <vt:variant>
        <vt:lpwstr>https://www.guinee-bissau.net/balantes.php</vt:lpwstr>
      </vt:variant>
      <vt:variant>
        <vt:lpwstr/>
      </vt:variant>
      <vt:variant>
        <vt:i4>4849743</vt:i4>
      </vt:variant>
      <vt:variant>
        <vt:i4>969</vt:i4>
      </vt:variant>
      <vt:variant>
        <vt:i4>0</vt:i4>
      </vt:variant>
      <vt:variant>
        <vt:i4>5</vt:i4>
      </vt:variant>
      <vt:variant>
        <vt:lpwstr>https://www.guinee-bissau.net/ethnies_guinee_bissau.php</vt:lpwstr>
      </vt:variant>
      <vt:variant>
        <vt:lpwstr/>
      </vt:variant>
      <vt:variant>
        <vt:i4>8061031</vt:i4>
      </vt:variant>
      <vt:variant>
        <vt:i4>966</vt:i4>
      </vt:variant>
      <vt:variant>
        <vt:i4>0</vt:i4>
      </vt:variant>
      <vt:variant>
        <vt:i4>5</vt:i4>
      </vt:variant>
      <vt:variant>
        <vt:lpwstr>https://www.guinee-bissau.net/manjaques.php</vt:lpwstr>
      </vt:variant>
      <vt:variant>
        <vt:lpwstr/>
      </vt:variant>
      <vt:variant>
        <vt:i4>2424880</vt:i4>
      </vt:variant>
      <vt:variant>
        <vt:i4>963</vt:i4>
      </vt:variant>
      <vt:variant>
        <vt:i4>0</vt:i4>
      </vt:variant>
      <vt:variant>
        <vt:i4>5</vt:i4>
      </vt:variant>
      <vt:variant>
        <vt:lpwstr>https://www.guinee-bissau.net/balantes.php</vt:lpwstr>
      </vt:variant>
      <vt:variant>
        <vt:lpwstr/>
      </vt:variant>
      <vt:variant>
        <vt:i4>1769492</vt:i4>
      </vt:variant>
      <vt:variant>
        <vt:i4>960</vt:i4>
      </vt:variant>
      <vt:variant>
        <vt:i4>0</vt:i4>
      </vt:variant>
      <vt:variant>
        <vt:i4>5</vt:i4>
      </vt:variant>
      <vt:variant>
        <vt:lpwstr>https://www.guinee-bissau.net/guerre_guinee_bissau.php</vt:lpwstr>
      </vt:variant>
      <vt:variant>
        <vt:lpwstr/>
      </vt:variant>
      <vt:variant>
        <vt:i4>5046341</vt:i4>
      </vt:variant>
      <vt:variant>
        <vt:i4>957</vt:i4>
      </vt:variant>
      <vt:variant>
        <vt:i4>0</vt:i4>
      </vt:variant>
      <vt:variant>
        <vt:i4>5</vt:i4>
      </vt:variant>
      <vt:variant>
        <vt:lpwstr>https://www.guinee-bissau.net/bissau.php</vt:lpwstr>
      </vt:variant>
      <vt:variant>
        <vt:lpwstr/>
      </vt:variant>
      <vt:variant>
        <vt:i4>4849743</vt:i4>
      </vt:variant>
      <vt:variant>
        <vt:i4>954</vt:i4>
      </vt:variant>
      <vt:variant>
        <vt:i4>0</vt:i4>
      </vt:variant>
      <vt:variant>
        <vt:i4>5</vt:i4>
      </vt:variant>
      <vt:variant>
        <vt:lpwstr>https://www.guinee-bissau.net/ethnies_guinee_bissau.php</vt:lpwstr>
      </vt:variant>
      <vt:variant>
        <vt:lpwstr/>
      </vt:variant>
      <vt:variant>
        <vt:i4>3014870</vt:i4>
      </vt:variant>
      <vt:variant>
        <vt:i4>936</vt:i4>
      </vt:variant>
      <vt:variant>
        <vt:i4>0</vt:i4>
      </vt:variant>
      <vt:variant>
        <vt:i4>5</vt:i4>
      </vt:variant>
      <vt:variant>
        <vt:lpwstr>http://www.meteoblue.com/fr/meteo/prevision/modelclimate/bissau_guinée-bissau</vt:lpwstr>
      </vt:variant>
      <vt:variant>
        <vt:lpwstr/>
      </vt:variant>
      <vt:variant>
        <vt:i4>1900592</vt:i4>
      </vt:variant>
      <vt:variant>
        <vt:i4>899</vt:i4>
      </vt:variant>
      <vt:variant>
        <vt:i4>0</vt:i4>
      </vt:variant>
      <vt:variant>
        <vt:i4>5</vt:i4>
      </vt:variant>
      <vt:variant>
        <vt:lpwstr/>
      </vt:variant>
      <vt:variant>
        <vt:lpwstr>_Toc67510438</vt:lpwstr>
      </vt:variant>
      <vt:variant>
        <vt:i4>1769523</vt:i4>
      </vt:variant>
      <vt:variant>
        <vt:i4>890</vt:i4>
      </vt:variant>
      <vt:variant>
        <vt:i4>0</vt:i4>
      </vt:variant>
      <vt:variant>
        <vt:i4>5</vt:i4>
      </vt:variant>
      <vt:variant>
        <vt:lpwstr/>
      </vt:variant>
      <vt:variant>
        <vt:lpwstr>_Toc69919054</vt:lpwstr>
      </vt:variant>
      <vt:variant>
        <vt:i4>1835059</vt:i4>
      </vt:variant>
      <vt:variant>
        <vt:i4>884</vt:i4>
      </vt:variant>
      <vt:variant>
        <vt:i4>0</vt:i4>
      </vt:variant>
      <vt:variant>
        <vt:i4>5</vt:i4>
      </vt:variant>
      <vt:variant>
        <vt:lpwstr/>
      </vt:variant>
      <vt:variant>
        <vt:lpwstr>_Toc69919053</vt:lpwstr>
      </vt:variant>
      <vt:variant>
        <vt:i4>1900595</vt:i4>
      </vt:variant>
      <vt:variant>
        <vt:i4>878</vt:i4>
      </vt:variant>
      <vt:variant>
        <vt:i4>0</vt:i4>
      </vt:variant>
      <vt:variant>
        <vt:i4>5</vt:i4>
      </vt:variant>
      <vt:variant>
        <vt:lpwstr/>
      </vt:variant>
      <vt:variant>
        <vt:lpwstr>_Toc69919052</vt:lpwstr>
      </vt:variant>
      <vt:variant>
        <vt:i4>1966131</vt:i4>
      </vt:variant>
      <vt:variant>
        <vt:i4>872</vt:i4>
      </vt:variant>
      <vt:variant>
        <vt:i4>0</vt:i4>
      </vt:variant>
      <vt:variant>
        <vt:i4>5</vt:i4>
      </vt:variant>
      <vt:variant>
        <vt:lpwstr/>
      </vt:variant>
      <vt:variant>
        <vt:lpwstr>_Toc69919051</vt:lpwstr>
      </vt:variant>
      <vt:variant>
        <vt:i4>56426573</vt:i4>
      </vt:variant>
      <vt:variant>
        <vt:i4>866</vt:i4>
      </vt:variant>
      <vt:variant>
        <vt:i4>0</vt:i4>
      </vt:variant>
      <vt:variant>
        <vt:i4>5</vt:i4>
      </vt:variant>
      <vt:variant>
        <vt:lpwstr>\\Users\pape\Documents\RAPPORT PUSA CGES PROVISOIRE V.02  CORRIGE-mrs_YSM (Enregistré automatiquement).docx</vt:lpwstr>
      </vt:variant>
      <vt:variant>
        <vt:lpwstr>_Toc69919050</vt:lpwstr>
      </vt:variant>
      <vt:variant>
        <vt:i4>1441842</vt:i4>
      </vt:variant>
      <vt:variant>
        <vt:i4>860</vt:i4>
      </vt:variant>
      <vt:variant>
        <vt:i4>0</vt:i4>
      </vt:variant>
      <vt:variant>
        <vt:i4>5</vt:i4>
      </vt:variant>
      <vt:variant>
        <vt:lpwstr/>
      </vt:variant>
      <vt:variant>
        <vt:lpwstr>_Toc69919049</vt:lpwstr>
      </vt:variant>
      <vt:variant>
        <vt:i4>1507378</vt:i4>
      </vt:variant>
      <vt:variant>
        <vt:i4>854</vt:i4>
      </vt:variant>
      <vt:variant>
        <vt:i4>0</vt:i4>
      </vt:variant>
      <vt:variant>
        <vt:i4>5</vt:i4>
      </vt:variant>
      <vt:variant>
        <vt:lpwstr/>
      </vt:variant>
      <vt:variant>
        <vt:lpwstr>_Toc69919048</vt:lpwstr>
      </vt:variant>
      <vt:variant>
        <vt:i4>1572914</vt:i4>
      </vt:variant>
      <vt:variant>
        <vt:i4>848</vt:i4>
      </vt:variant>
      <vt:variant>
        <vt:i4>0</vt:i4>
      </vt:variant>
      <vt:variant>
        <vt:i4>5</vt:i4>
      </vt:variant>
      <vt:variant>
        <vt:lpwstr/>
      </vt:variant>
      <vt:variant>
        <vt:lpwstr>_Toc69919047</vt:lpwstr>
      </vt:variant>
      <vt:variant>
        <vt:i4>1769522</vt:i4>
      </vt:variant>
      <vt:variant>
        <vt:i4>839</vt:i4>
      </vt:variant>
      <vt:variant>
        <vt:i4>0</vt:i4>
      </vt:variant>
      <vt:variant>
        <vt:i4>5</vt:i4>
      </vt:variant>
      <vt:variant>
        <vt:lpwstr/>
      </vt:variant>
      <vt:variant>
        <vt:lpwstr>_Toc69919044</vt:lpwstr>
      </vt:variant>
      <vt:variant>
        <vt:i4>1835058</vt:i4>
      </vt:variant>
      <vt:variant>
        <vt:i4>833</vt:i4>
      </vt:variant>
      <vt:variant>
        <vt:i4>0</vt:i4>
      </vt:variant>
      <vt:variant>
        <vt:i4>5</vt:i4>
      </vt:variant>
      <vt:variant>
        <vt:lpwstr/>
      </vt:variant>
      <vt:variant>
        <vt:lpwstr>_Toc69919043</vt:lpwstr>
      </vt:variant>
      <vt:variant>
        <vt:i4>1900594</vt:i4>
      </vt:variant>
      <vt:variant>
        <vt:i4>827</vt:i4>
      </vt:variant>
      <vt:variant>
        <vt:i4>0</vt:i4>
      </vt:variant>
      <vt:variant>
        <vt:i4>5</vt:i4>
      </vt:variant>
      <vt:variant>
        <vt:lpwstr/>
      </vt:variant>
      <vt:variant>
        <vt:lpwstr>_Toc69919042</vt:lpwstr>
      </vt:variant>
      <vt:variant>
        <vt:i4>1966130</vt:i4>
      </vt:variant>
      <vt:variant>
        <vt:i4>821</vt:i4>
      </vt:variant>
      <vt:variant>
        <vt:i4>0</vt:i4>
      </vt:variant>
      <vt:variant>
        <vt:i4>5</vt:i4>
      </vt:variant>
      <vt:variant>
        <vt:lpwstr/>
      </vt:variant>
      <vt:variant>
        <vt:lpwstr>_Toc69919041</vt:lpwstr>
      </vt:variant>
      <vt:variant>
        <vt:i4>2031666</vt:i4>
      </vt:variant>
      <vt:variant>
        <vt:i4>815</vt:i4>
      </vt:variant>
      <vt:variant>
        <vt:i4>0</vt:i4>
      </vt:variant>
      <vt:variant>
        <vt:i4>5</vt:i4>
      </vt:variant>
      <vt:variant>
        <vt:lpwstr/>
      </vt:variant>
      <vt:variant>
        <vt:lpwstr>_Toc69919040</vt:lpwstr>
      </vt:variant>
      <vt:variant>
        <vt:i4>1441845</vt:i4>
      </vt:variant>
      <vt:variant>
        <vt:i4>809</vt:i4>
      </vt:variant>
      <vt:variant>
        <vt:i4>0</vt:i4>
      </vt:variant>
      <vt:variant>
        <vt:i4>5</vt:i4>
      </vt:variant>
      <vt:variant>
        <vt:lpwstr/>
      </vt:variant>
      <vt:variant>
        <vt:lpwstr>_Toc69919039</vt:lpwstr>
      </vt:variant>
      <vt:variant>
        <vt:i4>1507381</vt:i4>
      </vt:variant>
      <vt:variant>
        <vt:i4>803</vt:i4>
      </vt:variant>
      <vt:variant>
        <vt:i4>0</vt:i4>
      </vt:variant>
      <vt:variant>
        <vt:i4>5</vt:i4>
      </vt:variant>
      <vt:variant>
        <vt:lpwstr/>
      </vt:variant>
      <vt:variant>
        <vt:lpwstr>_Toc69919038</vt:lpwstr>
      </vt:variant>
      <vt:variant>
        <vt:i4>1572917</vt:i4>
      </vt:variant>
      <vt:variant>
        <vt:i4>797</vt:i4>
      </vt:variant>
      <vt:variant>
        <vt:i4>0</vt:i4>
      </vt:variant>
      <vt:variant>
        <vt:i4>5</vt:i4>
      </vt:variant>
      <vt:variant>
        <vt:lpwstr/>
      </vt:variant>
      <vt:variant>
        <vt:lpwstr>_Toc69919037</vt:lpwstr>
      </vt:variant>
      <vt:variant>
        <vt:i4>1638453</vt:i4>
      </vt:variant>
      <vt:variant>
        <vt:i4>791</vt:i4>
      </vt:variant>
      <vt:variant>
        <vt:i4>0</vt:i4>
      </vt:variant>
      <vt:variant>
        <vt:i4>5</vt:i4>
      </vt:variant>
      <vt:variant>
        <vt:lpwstr/>
      </vt:variant>
      <vt:variant>
        <vt:lpwstr>_Toc69919036</vt:lpwstr>
      </vt:variant>
      <vt:variant>
        <vt:i4>1703989</vt:i4>
      </vt:variant>
      <vt:variant>
        <vt:i4>785</vt:i4>
      </vt:variant>
      <vt:variant>
        <vt:i4>0</vt:i4>
      </vt:variant>
      <vt:variant>
        <vt:i4>5</vt:i4>
      </vt:variant>
      <vt:variant>
        <vt:lpwstr/>
      </vt:variant>
      <vt:variant>
        <vt:lpwstr>_Toc69919035</vt:lpwstr>
      </vt:variant>
      <vt:variant>
        <vt:i4>1769525</vt:i4>
      </vt:variant>
      <vt:variant>
        <vt:i4>779</vt:i4>
      </vt:variant>
      <vt:variant>
        <vt:i4>0</vt:i4>
      </vt:variant>
      <vt:variant>
        <vt:i4>5</vt:i4>
      </vt:variant>
      <vt:variant>
        <vt:lpwstr/>
      </vt:variant>
      <vt:variant>
        <vt:lpwstr>_Toc69919034</vt:lpwstr>
      </vt:variant>
      <vt:variant>
        <vt:i4>1835061</vt:i4>
      </vt:variant>
      <vt:variant>
        <vt:i4>773</vt:i4>
      </vt:variant>
      <vt:variant>
        <vt:i4>0</vt:i4>
      </vt:variant>
      <vt:variant>
        <vt:i4>5</vt:i4>
      </vt:variant>
      <vt:variant>
        <vt:lpwstr/>
      </vt:variant>
      <vt:variant>
        <vt:lpwstr>_Toc69919033</vt:lpwstr>
      </vt:variant>
      <vt:variant>
        <vt:i4>1900597</vt:i4>
      </vt:variant>
      <vt:variant>
        <vt:i4>767</vt:i4>
      </vt:variant>
      <vt:variant>
        <vt:i4>0</vt:i4>
      </vt:variant>
      <vt:variant>
        <vt:i4>5</vt:i4>
      </vt:variant>
      <vt:variant>
        <vt:lpwstr/>
      </vt:variant>
      <vt:variant>
        <vt:lpwstr>_Toc69919032</vt:lpwstr>
      </vt:variant>
      <vt:variant>
        <vt:i4>1966133</vt:i4>
      </vt:variant>
      <vt:variant>
        <vt:i4>761</vt:i4>
      </vt:variant>
      <vt:variant>
        <vt:i4>0</vt:i4>
      </vt:variant>
      <vt:variant>
        <vt:i4>5</vt:i4>
      </vt:variant>
      <vt:variant>
        <vt:lpwstr/>
      </vt:variant>
      <vt:variant>
        <vt:lpwstr>_Toc69919031</vt:lpwstr>
      </vt:variant>
      <vt:variant>
        <vt:i4>2031669</vt:i4>
      </vt:variant>
      <vt:variant>
        <vt:i4>755</vt:i4>
      </vt:variant>
      <vt:variant>
        <vt:i4>0</vt:i4>
      </vt:variant>
      <vt:variant>
        <vt:i4>5</vt:i4>
      </vt:variant>
      <vt:variant>
        <vt:lpwstr/>
      </vt:variant>
      <vt:variant>
        <vt:lpwstr>_Toc69919030</vt:lpwstr>
      </vt:variant>
      <vt:variant>
        <vt:i4>1441844</vt:i4>
      </vt:variant>
      <vt:variant>
        <vt:i4>749</vt:i4>
      </vt:variant>
      <vt:variant>
        <vt:i4>0</vt:i4>
      </vt:variant>
      <vt:variant>
        <vt:i4>5</vt:i4>
      </vt:variant>
      <vt:variant>
        <vt:lpwstr/>
      </vt:variant>
      <vt:variant>
        <vt:lpwstr>_Toc69919029</vt:lpwstr>
      </vt:variant>
      <vt:variant>
        <vt:i4>1507380</vt:i4>
      </vt:variant>
      <vt:variant>
        <vt:i4>743</vt:i4>
      </vt:variant>
      <vt:variant>
        <vt:i4>0</vt:i4>
      </vt:variant>
      <vt:variant>
        <vt:i4>5</vt:i4>
      </vt:variant>
      <vt:variant>
        <vt:lpwstr/>
      </vt:variant>
      <vt:variant>
        <vt:lpwstr>_Toc69919028</vt:lpwstr>
      </vt:variant>
      <vt:variant>
        <vt:i4>1572916</vt:i4>
      </vt:variant>
      <vt:variant>
        <vt:i4>737</vt:i4>
      </vt:variant>
      <vt:variant>
        <vt:i4>0</vt:i4>
      </vt:variant>
      <vt:variant>
        <vt:i4>5</vt:i4>
      </vt:variant>
      <vt:variant>
        <vt:lpwstr/>
      </vt:variant>
      <vt:variant>
        <vt:lpwstr>_Toc69919027</vt:lpwstr>
      </vt:variant>
      <vt:variant>
        <vt:i4>1638452</vt:i4>
      </vt:variant>
      <vt:variant>
        <vt:i4>731</vt:i4>
      </vt:variant>
      <vt:variant>
        <vt:i4>0</vt:i4>
      </vt:variant>
      <vt:variant>
        <vt:i4>5</vt:i4>
      </vt:variant>
      <vt:variant>
        <vt:lpwstr/>
      </vt:variant>
      <vt:variant>
        <vt:lpwstr>_Toc69919026</vt:lpwstr>
      </vt:variant>
      <vt:variant>
        <vt:i4>1703988</vt:i4>
      </vt:variant>
      <vt:variant>
        <vt:i4>725</vt:i4>
      </vt:variant>
      <vt:variant>
        <vt:i4>0</vt:i4>
      </vt:variant>
      <vt:variant>
        <vt:i4>5</vt:i4>
      </vt:variant>
      <vt:variant>
        <vt:lpwstr/>
      </vt:variant>
      <vt:variant>
        <vt:lpwstr>_Toc69919025</vt:lpwstr>
      </vt:variant>
      <vt:variant>
        <vt:i4>1769524</vt:i4>
      </vt:variant>
      <vt:variant>
        <vt:i4>719</vt:i4>
      </vt:variant>
      <vt:variant>
        <vt:i4>0</vt:i4>
      </vt:variant>
      <vt:variant>
        <vt:i4>5</vt:i4>
      </vt:variant>
      <vt:variant>
        <vt:lpwstr/>
      </vt:variant>
      <vt:variant>
        <vt:lpwstr>_Toc69919024</vt:lpwstr>
      </vt:variant>
      <vt:variant>
        <vt:i4>1835060</vt:i4>
      </vt:variant>
      <vt:variant>
        <vt:i4>713</vt:i4>
      </vt:variant>
      <vt:variant>
        <vt:i4>0</vt:i4>
      </vt:variant>
      <vt:variant>
        <vt:i4>5</vt:i4>
      </vt:variant>
      <vt:variant>
        <vt:lpwstr/>
      </vt:variant>
      <vt:variant>
        <vt:lpwstr>_Toc69919023</vt:lpwstr>
      </vt:variant>
      <vt:variant>
        <vt:i4>1900596</vt:i4>
      </vt:variant>
      <vt:variant>
        <vt:i4>707</vt:i4>
      </vt:variant>
      <vt:variant>
        <vt:i4>0</vt:i4>
      </vt:variant>
      <vt:variant>
        <vt:i4>5</vt:i4>
      </vt:variant>
      <vt:variant>
        <vt:lpwstr/>
      </vt:variant>
      <vt:variant>
        <vt:lpwstr>_Toc69919022</vt:lpwstr>
      </vt:variant>
      <vt:variant>
        <vt:i4>1966132</vt:i4>
      </vt:variant>
      <vt:variant>
        <vt:i4>701</vt:i4>
      </vt:variant>
      <vt:variant>
        <vt:i4>0</vt:i4>
      </vt:variant>
      <vt:variant>
        <vt:i4>5</vt:i4>
      </vt:variant>
      <vt:variant>
        <vt:lpwstr/>
      </vt:variant>
      <vt:variant>
        <vt:lpwstr>_Toc69919021</vt:lpwstr>
      </vt:variant>
      <vt:variant>
        <vt:i4>1966142</vt:i4>
      </vt:variant>
      <vt:variant>
        <vt:i4>692</vt:i4>
      </vt:variant>
      <vt:variant>
        <vt:i4>0</vt:i4>
      </vt:variant>
      <vt:variant>
        <vt:i4>5</vt:i4>
      </vt:variant>
      <vt:variant>
        <vt:lpwstr/>
      </vt:variant>
      <vt:variant>
        <vt:lpwstr>_Toc69918796</vt:lpwstr>
      </vt:variant>
      <vt:variant>
        <vt:i4>1900606</vt:i4>
      </vt:variant>
      <vt:variant>
        <vt:i4>686</vt:i4>
      </vt:variant>
      <vt:variant>
        <vt:i4>0</vt:i4>
      </vt:variant>
      <vt:variant>
        <vt:i4>5</vt:i4>
      </vt:variant>
      <vt:variant>
        <vt:lpwstr/>
      </vt:variant>
      <vt:variant>
        <vt:lpwstr>_Toc69918795</vt:lpwstr>
      </vt:variant>
      <vt:variant>
        <vt:i4>1835070</vt:i4>
      </vt:variant>
      <vt:variant>
        <vt:i4>680</vt:i4>
      </vt:variant>
      <vt:variant>
        <vt:i4>0</vt:i4>
      </vt:variant>
      <vt:variant>
        <vt:i4>5</vt:i4>
      </vt:variant>
      <vt:variant>
        <vt:lpwstr/>
      </vt:variant>
      <vt:variant>
        <vt:lpwstr>_Toc69918794</vt:lpwstr>
      </vt:variant>
      <vt:variant>
        <vt:i4>1769534</vt:i4>
      </vt:variant>
      <vt:variant>
        <vt:i4>674</vt:i4>
      </vt:variant>
      <vt:variant>
        <vt:i4>0</vt:i4>
      </vt:variant>
      <vt:variant>
        <vt:i4>5</vt:i4>
      </vt:variant>
      <vt:variant>
        <vt:lpwstr/>
      </vt:variant>
      <vt:variant>
        <vt:lpwstr>_Toc69918793</vt:lpwstr>
      </vt:variant>
      <vt:variant>
        <vt:i4>1572927</vt:i4>
      </vt:variant>
      <vt:variant>
        <vt:i4>668</vt:i4>
      </vt:variant>
      <vt:variant>
        <vt:i4>0</vt:i4>
      </vt:variant>
      <vt:variant>
        <vt:i4>5</vt:i4>
      </vt:variant>
      <vt:variant>
        <vt:lpwstr/>
      </vt:variant>
      <vt:variant>
        <vt:lpwstr>_Toc69918780</vt:lpwstr>
      </vt:variant>
      <vt:variant>
        <vt:i4>1114162</vt:i4>
      </vt:variant>
      <vt:variant>
        <vt:i4>662</vt:i4>
      </vt:variant>
      <vt:variant>
        <vt:i4>0</vt:i4>
      </vt:variant>
      <vt:variant>
        <vt:i4>5</vt:i4>
      </vt:variant>
      <vt:variant>
        <vt:lpwstr/>
      </vt:variant>
      <vt:variant>
        <vt:lpwstr>_Toc69918759</vt:lpwstr>
      </vt:variant>
      <vt:variant>
        <vt:i4>1048626</vt:i4>
      </vt:variant>
      <vt:variant>
        <vt:i4>656</vt:i4>
      </vt:variant>
      <vt:variant>
        <vt:i4>0</vt:i4>
      </vt:variant>
      <vt:variant>
        <vt:i4>5</vt:i4>
      </vt:variant>
      <vt:variant>
        <vt:lpwstr/>
      </vt:variant>
      <vt:variant>
        <vt:lpwstr>_Toc69918758</vt:lpwstr>
      </vt:variant>
      <vt:variant>
        <vt:i4>2031666</vt:i4>
      </vt:variant>
      <vt:variant>
        <vt:i4>650</vt:i4>
      </vt:variant>
      <vt:variant>
        <vt:i4>0</vt:i4>
      </vt:variant>
      <vt:variant>
        <vt:i4>5</vt:i4>
      </vt:variant>
      <vt:variant>
        <vt:lpwstr/>
      </vt:variant>
      <vt:variant>
        <vt:lpwstr>_Toc69918757</vt:lpwstr>
      </vt:variant>
      <vt:variant>
        <vt:i4>1966130</vt:i4>
      </vt:variant>
      <vt:variant>
        <vt:i4>644</vt:i4>
      </vt:variant>
      <vt:variant>
        <vt:i4>0</vt:i4>
      </vt:variant>
      <vt:variant>
        <vt:i4>5</vt:i4>
      </vt:variant>
      <vt:variant>
        <vt:lpwstr/>
      </vt:variant>
      <vt:variant>
        <vt:lpwstr>_Toc69918756</vt:lpwstr>
      </vt:variant>
      <vt:variant>
        <vt:i4>1900594</vt:i4>
      </vt:variant>
      <vt:variant>
        <vt:i4>638</vt:i4>
      </vt:variant>
      <vt:variant>
        <vt:i4>0</vt:i4>
      </vt:variant>
      <vt:variant>
        <vt:i4>5</vt:i4>
      </vt:variant>
      <vt:variant>
        <vt:lpwstr/>
      </vt:variant>
      <vt:variant>
        <vt:lpwstr>_Toc69918755</vt:lpwstr>
      </vt:variant>
      <vt:variant>
        <vt:i4>1835058</vt:i4>
      </vt:variant>
      <vt:variant>
        <vt:i4>632</vt:i4>
      </vt:variant>
      <vt:variant>
        <vt:i4>0</vt:i4>
      </vt:variant>
      <vt:variant>
        <vt:i4>5</vt:i4>
      </vt:variant>
      <vt:variant>
        <vt:lpwstr/>
      </vt:variant>
      <vt:variant>
        <vt:lpwstr>_Toc69918754</vt:lpwstr>
      </vt:variant>
      <vt:variant>
        <vt:i4>1769522</vt:i4>
      </vt:variant>
      <vt:variant>
        <vt:i4>626</vt:i4>
      </vt:variant>
      <vt:variant>
        <vt:i4>0</vt:i4>
      </vt:variant>
      <vt:variant>
        <vt:i4>5</vt:i4>
      </vt:variant>
      <vt:variant>
        <vt:lpwstr/>
      </vt:variant>
      <vt:variant>
        <vt:lpwstr>_Toc69918753</vt:lpwstr>
      </vt:variant>
      <vt:variant>
        <vt:i4>1703986</vt:i4>
      </vt:variant>
      <vt:variant>
        <vt:i4>620</vt:i4>
      </vt:variant>
      <vt:variant>
        <vt:i4>0</vt:i4>
      </vt:variant>
      <vt:variant>
        <vt:i4>5</vt:i4>
      </vt:variant>
      <vt:variant>
        <vt:lpwstr/>
      </vt:variant>
      <vt:variant>
        <vt:lpwstr>_Toc69918752</vt:lpwstr>
      </vt:variant>
      <vt:variant>
        <vt:i4>1638450</vt:i4>
      </vt:variant>
      <vt:variant>
        <vt:i4>614</vt:i4>
      </vt:variant>
      <vt:variant>
        <vt:i4>0</vt:i4>
      </vt:variant>
      <vt:variant>
        <vt:i4>5</vt:i4>
      </vt:variant>
      <vt:variant>
        <vt:lpwstr/>
      </vt:variant>
      <vt:variant>
        <vt:lpwstr>_Toc69918751</vt:lpwstr>
      </vt:variant>
      <vt:variant>
        <vt:i4>1572914</vt:i4>
      </vt:variant>
      <vt:variant>
        <vt:i4>608</vt:i4>
      </vt:variant>
      <vt:variant>
        <vt:i4>0</vt:i4>
      </vt:variant>
      <vt:variant>
        <vt:i4>5</vt:i4>
      </vt:variant>
      <vt:variant>
        <vt:lpwstr/>
      </vt:variant>
      <vt:variant>
        <vt:lpwstr>_Toc69918750</vt:lpwstr>
      </vt:variant>
      <vt:variant>
        <vt:i4>1114163</vt:i4>
      </vt:variant>
      <vt:variant>
        <vt:i4>602</vt:i4>
      </vt:variant>
      <vt:variant>
        <vt:i4>0</vt:i4>
      </vt:variant>
      <vt:variant>
        <vt:i4>5</vt:i4>
      </vt:variant>
      <vt:variant>
        <vt:lpwstr/>
      </vt:variant>
      <vt:variant>
        <vt:lpwstr>_Toc69918749</vt:lpwstr>
      </vt:variant>
      <vt:variant>
        <vt:i4>1048627</vt:i4>
      </vt:variant>
      <vt:variant>
        <vt:i4>596</vt:i4>
      </vt:variant>
      <vt:variant>
        <vt:i4>0</vt:i4>
      </vt:variant>
      <vt:variant>
        <vt:i4>5</vt:i4>
      </vt:variant>
      <vt:variant>
        <vt:lpwstr/>
      </vt:variant>
      <vt:variant>
        <vt:lpwstr>_Toc69918748</vt:lpwstr>
      </vt:variant>
      <vt:variant>
        <vt:i4>2031667</vt:i4>
      </vt:variant>
      <vt:variant>
        <vt:i4>590</vt:i4>
      </vt:variant>
      <vt:variant>
        <vt:i4>0</vt:i4>
      </vt:variant>
      <vt:variant>
        <vt:i4>5</vt:i4>
      </vt:variant>
      <vt:variant>
        <vt:lpwstr/>
      </vt:variant>
      <vt:variant>
        <vt:lpwstr>_Toc69918747</vt:lpwstr>
      </vt:variant>
      <vt:variant>
        <vt:i4>1966131</vt:i4>
      </vt:variant>
      <vt:variant>
        <vt:i4>584</vt:i4>
      </vt:variant>
      <vt:variant>
        <vt:i4>0</vt:i4>
      </vt:variant>
      <vt:variant>
        <vt:i4>5</vt:i4>
      </vt:variant>
      <vt:variant>
        <vt:lpwstr/>
      </vt:variant>
      <vt:variant>
        <vt:lpwstr>_Toc69918746</vt:lpwstr>
      </vt:variant>
      <vt:variant>
        <vt:i4>1900595</vt:i4>
      </vt:variant>
      <vt:variant>
        <vt:i4>578</vt:i4>
      </vt:variant>
      <vt:variant>
        <vt:i4>0</vt:i4>
      </vt:variant>
      <vt:variant>
        <vt:i4>5</vt:i4>
      </vt:variant>
      <vt:variant>
        <vt:lpwstr/>
      </vt:variant>
      <vt:variant>
        <vt:lpwstr>_Toc69918745</vt:lpwstr>
      </vt:variant>
      <vt:variant>
        <vt:i4>1835059</vt:i4>
      </vt:variant>
      <vt:variant>
        <vt:i4>572</vt:i4>
      </vt:variant>
      <vt:variant>
        <vt:i4>0</vt:i4>
      </vt:variant>
      <vt:variant>
        <vt:i4>5</vt:i4>
      </vt:variant>
      <vt:variant>
        <vt:lpwstr/>
      </vt:variant>
      <vt:variant>
        <vt:lpwstr>_Toc69918744</vt:lpwstr>
      </vt:variant>
      <vt:variant>
        <vt:i4>1769523</vt:i4>
      </vt:variant>
      <vt:variant>
        <vt:i4>566</vt:i4>
      </vt:variant>
      <vt:variant>
        <vt:i4>0</vt:i4>
      </vt:variant>
      <vt:variant>
        <vt:i4>5</vt:i4>
      </vt:variant>
      <vt:variant>
        <vt:lpwstr/>
      </vt:variant>
      <vt:variant>
        <vt:lpwstr>_Toc69918743</vt:lpwstr>
      </vt:variant>
      <vt:variant>
        <vt:i4>1703987</vt:i4>
      </vt:variant>
      <vt:variant>
        <vt:i4>560</vt:i4>
      </vt:variant>
      <vt:variant>
        <vt:i4>0</vt:i4>
      </vt:variant>
      <vt:variant>
        <vt:i4>5</vt:i4>
      </vt:variant>
      <vt:variant>
        <vt:lpwstr/>
      </vt:variant>
      <vt:variant>
        <vt:lpwstr>_Toc69918742</vt:lpwstr>
      </vt:variant>
      <vt:variant>
        <vt:i4>1638451</vt:i4>
      </vt:variant>
      <vt:variant>
        <vt:i4>554</vt:i4>
      </vt:variant>
      <vt:variant>
        <vt:i4>0</vt:i4>
      </vt:variant>
      <vt:variant>
        <vt:i4>5</vt:i4>
      </vt:variant>
      <vt:variant>
        <vt:lpwstr/>
      </vt:variant>
      <vt:variant>
        <vt:lpwstr>_Toc69918741</vt:lpwstr>
      </vt:variant>
      <vt:variant>
        <vt:i4>1572915</vt:i4>
      </vt:variant>
      <vt:variant>
        <vt:i4>548</vt:i4>
      </vt:variant>
      <vt:variant>
        <vt:i4>0</vt:i4>
      </vt:variant>
      <vt:variant>
        <vt:i4>5</vt:i4>
      </vt:variant>
      <vt:variant>
        <vt:lpwstr/>
      </vt:variant>
      <vt:variant>
        <vt:lpwstr>_Toc69918740</vt:lpwstr>
      </vt:variant>
      <vt:variant>
        <vt:i4>1114164</vt:i4>
      </vt:variant>
      <vt:variant>
        <vt:i4>542</vt:i4>
      </vt:variant>
      <vt:variant>
        <vt:i4>0</vt:i4>
      </vt:variant>
      <vt:variant>
        <vt:i4>5</vt:i4>
      </vt:variant>
      <vt:variant>
        <vt:lpwstr/>
      </vt:variant>
      <vt:variant>
        <vt:lpwstr>_Toc69918739</vt:lpwstr>
      </vt:variant>
      <vt:variant>
        <vt:i4>1048628</vt:i4>
      </vt:variant>
      <vt:variant>
        <vt:i4>536</vt:i4>
      </vt:variant>
      <vt:variant>
        <vt:i4>0</vt:i4>
      </vt:variant>
      <vt:variant>
        <vt:i4>5</vt:i4>
      </vt:variant>
      <vt:variant>
        <vt:lpwstr/>
      </vt:variant>
      <vt:variant>
        <vt:lpwstr>_Toc69918738</vt:lpwstr>
      </vt:variant>
      <vt:variant>
        <vt:i4>2031668</vt:i4>
      </vt:variant>
      <vt:variant>
        <vt:i4>530</vt:i4>
      </vt:variant>
      <vt:variant>
        <vt:i4>0</vt:i4>
      </vt:variant>
      <vt:variant>
        <vt:i4>5</vt:i4>
      </vt:variant>
      <vt:variant>
        <vt:lpwstr/>
      </vt:variant>
      <vt:variant>
        <vt:lpwstr>_Toc69918737</vt:lpwstr>
      </vt:variant>
      <vt:variant>
        <vt:i4>1966132</vt:i4>
      </vt:variant>
      <vt:variant>
        <vt:i4>524</vt:i4>
      </vt:variant>
      <vt:variant>
        <vt:i4>0</vt:i4>
      </vt:variant>
      <vt:variant>
        <vt:i4>5</vt:i4>
      </vt:variant>
      <vt:variant>
        <vt:lpwstr/>
      </vt:variant>
      <vt:variant>
        <vt:lpwstr>_Toc69918736</vt:lpwstr>
      </vt:variant>
      <vt:variant>
        <vt:i4>1900596</vt:i4>
      </vt:variant>
      <vt:variant>
        <vt:i4>518</vt:i4>
      </vt:variant>
      <vt:variant>
        <vt:i4>0</vt:i4>
      </vt:variant>
      <vt:variant>
        <vt:i4>5</vt:i4>
      </vt:variant>
      <vt:variant>
        <vt:lpwstr/>
      </vt:variant>
      <vt:variant>
        <vt:lpwstr>_Toc69918735</vt:lpwstr>
      </vt:variant>
      <vt:variant>
        <vt:i4>1835060</vt:i4>
      </vt:variant>
      <vt:variant>
        <vt:i4>512</vt:i4>
      </vt:variant>
      <vt:variant>
        <vt:i4>0</vt:i4>
      </vt:variant>
      <vt:variant>
        <vt:i4>5</vt:i4>
      </vt:variant>
      <vt:variant>
        <vt:lpwstr/>
      </vt:variant>
      <vt:variant>
        <vt:lpwstr>_Toc69918734</vt:lpwstr>
      </vt:variant>
      <vt:variant>
        <vt:i4>1769524</vt:i4>
      </vt:variant>
      <vt:variant>
        <vt:i4>506</vt:i4>
      </vt:variant>
      <vt:variant>
        <vt:i4>0</vt:i4>
      </vt:variant>
      <vt:variant>
        <vt:i4>5</vt:i4>
      </vt:variant>
      <vt:variant>
        <vt:lpwstr/>
      </vt:variant>
      <vt:variant>
        <vt:lpwstr>_Toc69918733</vt:lpwstr>
      </vt:variant>
      <vt:variant>
        <vt:i4>1703988</vt:i4>
      </vt:variant>
      <vt:variant>
        <vt:i4>500</vt:i4>
      </vt:variant>
      <vt:variant>
        <vt:i4>0</vt:i4>
      </vt:variant>
      <vt:variant>
        <vt:i4>5</vt:i4>
      </vt:variant>
      <vt:variant>
        <vt:lpwstr/>
      </vt:variant>
      <vt:variant>
        <vt:lpwstr>_Toc69918732</vt:lpwstr>
      </vt:variant>
      <vt:variant>
        <vt:i4>1638452</vt:i4>
      </vt:variant>
      <vt:variant>
        <vt:i4>494</vt:i4>
      </vt:variant>
      <vt:variant>
        <vt:i4>0</vt:i4>
      </vt:variant>
      <vt:variant>
        <vt:i4>5</vt:i4>
      </vt:variant>
      <vt:variant>
        <vt:lpwstr/>
      </vt:variant>
      <vt:variant>
        <vt:lpwstr>_Toc69918731</vt:lpwstr>
      </vt:variant>
      <vt:variant>
        <vt:i4>1572916</vt:i4>
      </vt:variant>
      <vt:variant>
        <vt:i4>488</vt:i4>
      </vt:variant>
      <vt:variant>
        <vt:i4>0</vt:i4>
      </vt:variant>
      <vt:variant>
        <vt:i4>5</vt:i4>
      </vt:variant>
      <vt:variant>
        <vt:lpwstr/>
      </vt:variant>
      <vt:variant>
        <vt:lpwstr>_Toc69918730</vt:lpwstr>
      </vt:variant>
      <vt:variant>
        <vt:i4>1114165</vt:i4>
      </vt:variant>
      <vt:variant>
        <vt:i4>482</vt:i4>
      </vt:variant>
      <vt:variant>
        <vt:i4>0</vt:i4>
      </vt:variant>
      <vt:variant>
        <vt:i4>5</vt:i4>
      </vt:variant>
      <vt:variant>
        <vt:lpwstr/>
      </vt:variant>
      <vt:variant>
        <vt:lpwstr>_Toc69918729</vt:lpwstr>
      </vt:variant>
      <vt:variant>
        <vt:i4>1048629</vt:i4>
      </vt:variant>
      <vt:variant>
        <vt:i4>476</vt:i4>
      </vt:variant>
      <vt:variant>
        <vt:i4>0</vt:i4>
      </vt:variant>
      <vt:variant>
        <vt:i4>5</vt:i4>
      </vt:variant>
      <vt:variant>
        <vt:lpwstr/>
      </vt:variant>
      <vt:variant>
        <vt:lpwstr>_Toc69918728</vt:lpwstr>
      </vt:variant>
      <vt:variant>
        <vt:i4>2031669</vt:i4>
      </vt:variant>
      <vt:variant>
        <vt:i4>470</vt:i4>
      </vt:variant>
      <vt:variant>
        <vt:i4>0</vt:i4>
      </vt:variant>
      <vt:variant>
        <vt:i4>5</vt:i4>
      </vt:variant>
      <vt:variant>
        <vt:lpwstr/>
      </vt:variant>
      <vt:variant>
        <vt:lpwstr>_Toc69918727</vt:lpwstr>
      </vt:variant>
      <vt:variant>
        <vt:i4>1966133</vt:i4>
      </vt:variant>
      <vt:variant>
        <vt:i4>464</vt:i4>
      </vt:variant>
      <vt:variant>
        <vt:i4>0</vt:i4>
      </vt:variant>
      <vt:variant>
        <vt:i4>5</vt:i4>
      </vt:variant>
      <vt:variant>
        <vt:lpwstr/>
      </vt:variant>
      <vt:variant>
        <vt:lpwstr>_Toc69918726</vt:lpwstr>
      </vt:variant>
      <vt:variant>
        <vt:i4>1900597</vt:i4>
      </vt:variant>
      <vt:variant>
        <vt:i4>458</vt:i4>
      </vt:variant>
      <vt:variant>
        <vt:i4>0</vt:i4>
      </vt:variant>
      <vt:variant>
        <vt:i4>5</vt:i4>
      </vt:variant>
      <vt:variant>
        <vt:lpwstr/>
      </vt:variant>
      <vt:variant>
        <vt:lpwstr>_Toc69918725</vt:lpwstr>
      </vt:variant>
      <vt:variant>
        <vt:i4>1835061</vt:i4>
      </vt:variant>
      <vt:variant>
        <vt:i4>452</vt:i4>
      </vt:variant>
      <vt:variant>
        <vt:i4>0</vt:i4>
      </vt:variant>
      <vt:variant>
        <vt:i4>5</vt:i4>
      </vt:variant>
      <vt:variant>
        <vt:lpwstr/>
      </vt:variant>
      <vt:variant>
        <vt:lpwstr>_Toc69918724</vt:lpwstr>
      </vt:variant>
      <vt:variant>
        <vt:i4>1769525</vt:i4>
      </vt:variant>
      <vt:variant>
        <vt:i4>446</vt:i4>
      </vt:variant>
      <vt:variant>
        <vt:i4>0</vt:i4>
      </vt:variant>
      <vt:variant>
        <vt:i4>5</vt:i4>
      </vt:variant>
      <vt:variant>
        <vt:lpwstr/>
      </vt:variant>
      <vt:variant>
        <vt:lpwstr>_Toc69918723</vt:lpwstr>
      </vt:variant>
      <vt:variant>
        <vt:i4>1703989</vt:i4>
      </vt:variant>
      <vt:variant>
        <vt:i4>440</vt:i4>
      </vt:variant>
      <vt:variant>
        <vt:i4>0</vt:i4>
      </vt:variant>
      <vt:variant>
        <vt:i4>5</vt:i4>
      </vt:variant>
      <vt:variant>
        <vt:lpwstr/>
      </vt:variant>
      <vt:variant>
        <vt:lpwstr>_Toc69918722</vt:lpwstr>
      </vt:variant>
      <vt:variant>
        <vt:i4>1638453</vt:i4>
      </vt:variant>
      <vt:variant>
        <vt:i4>434</vt:i4>
      </vt:variant>
      <vt:variant>
        <vt:i4>0</vt:i4>
      </vt:variant>
      <vt:variant>
        <vt:i4>5</vt:i4>
      </vt:variant>
      <vt:variant>
        <vt:lpwstr/>
      </vt:variant>
      <vt:variant>
        <vt:lpwstr>_Toc69918721</vt:lpwstr>
      </vt:variant>
      <vt:variant>
        <vt:i4>1572917</vt:i4>
      </vt:variant>
      <vt:variant>
        <vt:i4>428</vt:i4>
      </vt:variant>
      <vt:variant>
        <vt:i4>0</vt:i4>
      </vt:variant>
      <vt:variant>
        <vt:i4>5</vt:i4>
      </vt:variant>
      <vt:variant>
        <vt:lpwstr/>
      </vt:variant>
      <vt:variant>
        <vt:lpwstr>_Toc69918720</vt:lpwstr>
      </vt:variant>
      <vt:variant>
        <vt:i4>1114166</vt:i4>
      </vt:variant>
      <vt:variant>
        <vt:i4>422</vt:i4>
      </vt:variant>
      <vt:variant>
        <vt:i4>0</vt:i4>
      </vt:variant>
      <vt:variant>
        <vt:i4>5</vt:i4>
      </vt:variant>
      <vt:variant>
        <vt:lpwstr/>
      </vt:variant>
      <vt:variant>
        <vt:lpwstr>_Toc69918719</vt:lpwstr>
      </vt:variant>
      <vt:variant>
        <vt:i4>1048630</vt:i4>
      </vt:variant>
      <vt:variant>
        <vt:i4>416</vt:i4>
      </vt:variant>
      <vt:variant>
        <vt:i4>0</vt:i4>
      </vt:variant>
      <vt:variant>
        <vt:i4>5</vt:i4>
      </vt:variant>
      <vt:variant>
        <vt:lpwstr/>
      </vt:variant>
      <vt:variant>
        <vt:lpwstr>_Toc69918718</vt:lpwstr>
      </vt:variant>
      <vt:variant>
        <vt:i4>2031670</vt:i4>
      </vt:variant>
      <vt:variant>
        <vt:i4>410</vt:i4>
      </vt:variant>
      <vt:variant>
        <vt:i4>0</vt:i4>
      </vt:variant>
      <vt:variant>
        <vt:i4>5</vt:i4>
      </vt:variant>
      <vt:variant>
        <vt:lpwstr/>
      </vt:variant>
      <vt:variant>
        <vt:lpwstr>_Toc69918717</vt:lpwstr>
      </vt:variant>
      <vt:variant>
        <vt:i4>1966134</vt:i4>
      </vt:variant>
      <vt:variant>
        <vt:i4>404</vt:i4>
      </vt:variant>
      <vt:variant>
        <vt:i4>0</vt:i4>
      </vt:variant>
      <vt:variant>
        <vt:i4>5</vt:i4>
      </vt:variant>
      <vt:variant>
        <vt:lpwstr/>
      </vt:variant>
      <vt:variant>
        <vt:lpwstr>_Toc69918716</vt:lpwstr>
      </vt:variant>
      <vt:variant>
        <vt:i4>1900598</vt:i4>
      </vt:variant>
      <vt:variant>
        <vt:i4>398</vt:i4>
      </vt:variant>
      <vt:variant>
        <vt:i4>0</vt:i4>
      </vt:variant>
      <vt:variant>
        <vt:i4>5</vt:i4>
      </vt:variant>
      <vt:variant>
        <vt:lpwstr/>
      </vt:variant>
      <vt:variant>
        <vt:lpwstr>_Toc69918715</vt:lpwstr>
      </vt:variant>
      <vt:variant>
        <vt:i4>1835062</vt:i4>
      </vt:variant>
      <vt:variant>
        <vt:i4>392</vt:i4>
      </vt:variant>
      <vt:variant>
        <vt:i4>0</vt:i4>
      </vt:variant>
      <vt:variant>
        <vt:i4>5</vt:i4>
      </vt:variant>
      <vt:variant>
        <vt:lpwstr/>
      </vt:variant>
      <vt:variant>
        <vt:lpwstr>_Toc69918714</vt:lpwstr>
      </vt:variant>
      <vt:variant>
        <vt:i4>1769526</vt:i4>
      </vt:variant>
      <vt:variant>
        <vt:i4>386</vt:i4>
      </vt:variant>
      <vt:variant>
        <vt:i4>0</vt:i4>
      </vt:variant>
      <vt:variant>
        <vt:i4>5</vt:i4>
      </vt:variant>
      <vt:variant>
        <vt:lpwstr/>
      </vt:variant>
      <vt:variant>
        <vt:lpwstr>_Toc69918713</vt:lpwstr>
      </vt:variant>
      <vt:variant>
        <vt:i4>1703990</vt:i4>
      </vt:variant>
      <vt:variant>
        <vt:i4>380</vt:i4>
      </vt:variant>
      <vt:variant>
        <vt:i4>0</vt:i4>
      </vt:variant>
      <vt:variant>
        <vt:i4>5</vt:i4>
      </vt:variant>
      <vt:variant>
        <vt:lpwstr/>
      </vt:variant>
      <vt:variant>
        <vt:lpwstr>_Toc69918712</vt:lpwstr>
      </vt:variant>
      <vt:variant>
        <vt:i4>1638454</vt:i4>
      </vt:variant>
      <vt:variant>
        <vt:i4>374</vt:i4>
      </vt:variant>
      <vt:variant>
        <vt:i4>0</vt:i4>
      </vt:variant>
      <vt:variant>
        <vt:i4>5</vt:i4>
      </vt:variant>
      <vt:variant>
        <vt:lpwstr/>
      </vt:variant>
      <vt:variant>
        <vt:lpwstr>_Toc69918711</vt:lpwstr>
      </vt:variant>
      <vt:variant>
        <vt:i4>1572918</vt:i4>
      </vt:variant>
      <vt:variant>
        <vt:i4>368</vt:i4>
      </vt:variant>
      <vt:variant>
        <vt:i4>0</vt:i4>
      </vt:variant>
      <vt:variant>
        <vt:i4>5</vt:i4>
      </vt:variant>
      <vt:variant>
        <vt:lpwstr/>
      </vt:variant>
      <vt:variant>
        <vt:lpwstr>_Toc69918710</vt:lpwstr>
      </vt:variant>
      <vt:variant>
        <vt:i4>1114167</vt:i4>
      </vt:variant>
      <vt:variant>
        <vt:i4>362</vt:i4>
      </vt:variant>
      <vt:variant>
        <vt:i4>0</vt:i4>
      </vt:variant>
      <vt:variant>
        <vt:i4>5</vt:i4>
      </vt:variant>
      <vt:variant>
        <vt:lpwstr/>
      </vt:variant>
      <vt:variant>
        <vt:lpwstr>_Toc69918709</vt:lpwstr>
      </vt:variant>
      <vt:variant>
        <vt:i4>1048631</vt:i4>
      </vt:variant>
      <vt:variant>
        <vt:i4>356</vt:i4>
      </vt:variant>
      <vt:variant>
        <vt:i4>0</vt:i4>
      </vt:variant>
      <vt:variant>
        <vt:i4>5</vt:i4>
      </vt:variant>
      <vt:variant>
        <vt:lpwstr/>
      </vt:variant>
      <vt:variant>
        <vt:lpwstr>_Toc69918708</vt:lpwstr>
      </vt:variant>
      <vt:variant>
        <vt:i4>2031671</vt:i4>
      </vt:variant>
      <vt:variant>
        <vt:i4>350</vt:i4>
      </vt:variant>
      <vt:variant>
        <vt:i4>0</vt:i4>
      </vt:variant>
      <vt:variant>
        <vt:i4>5</vt:i4>
      </vt:variant>
      <vt:variant>
        <vt:lpwstr/>
      </vt:variant>
      <vt:variant>
        <vt:lpwstr>_Toc69918707</vt:lpwstr>
      </vt:variant>
      <vt:variant>
        <vt:i4>1966135</vt:i4>
      </vt:variant>
      <vt:variant>
        <vt:i4>344</vt:i4>
      </vt:variant>
      <vt:variant>
        <vt:i4>0</vt:i4>
      </vt:variant>
      <vt:variant>
        <vt:i4>5</vt:i4>
      </vt:variant>
      <vt:variant>
        <vt:lpwstr/>
      </vt:variant>
      <vt:variant>
        <vt:lpwstr>_Toc69918706</vt:lpwstr>
      </vt:variant>
      <vt:variant>
        <vt:i4>1900599</vt:i4>
      </vt:variant>
      <vt:variant>
        <vt:i4>338</vt:i4>
      </vt:variant>
      <vt:variant>
        <vt:i4>0</vt:i4>
      </vt:variant>
      <vt:variant>
        <vt:i4>5</vt:i4>
      </vt:variant>
      <vt:variant>
        <vt:lpwstr/>
      </vt:variant>
      <vt:variant>
        <vt:lpwstr>_Toc69918705</vt:lpwstr>
      </vt:variant>
      <vt:variant>
        <vt:i4>1835063</vt:i4>
      </vt:variant>
      <vt:variant>
        <vt:i4>332</vt:i4>
      </vt:variant>
      <vt:variant>
        <vt:i4>0</vt:i4>
      </vt:variant>
      <vt:variant>
        <vt:i4>5</vt:i4>
      </vt:variant>
      <vt:variant>
        <vt:lpwstr/>
      </vt:variant>
      <vt:variant>
        <vt:lpwstr>_Toc69918704</vt:lpwstr>
      </vt:variant>
      <vt:variant>
        <vt:i4>1769527</vt:i4>
      </vt:variant>
      <vt:variant>
        <vt:i4>326</vt:i4>
      </vt:variant>
      <vt:variant>
        <vt:i4>0</vt:i4>
      </vt:variant>
      <vt:variant>
        <vt:i4>5</vt:i4>
      </vt:variant>
      <vt:variant>
        <vt:lpwstr/>
      </vt:variant>
      <vt:variant>
        <vt:lpwstr>_Toc69918703</vt:lpwstr>
      </vt:variant>
      <vt:variant>
        <vt:i4>1703991</vt:i4>
      </vt:variant>
      <vt:variant>
        <vt:i4>320</vt:i4>
      </vt:variant>
      <vt:variant>
        <vt:i4>0</vt:i4>
      </vt:variant>
      <vt:variant>
        <vt:i4>5</vt:i4>
      </vt:variant>
      <vt:variant>
        <vt:lpwstr/>
      </vt:variant>
      <vt:variant>
        <vt:lpwstr>_Toc69918702</vt:lpwstr>
      </vt:variant>
      <vt:variant>
        <vt:i4>1638455</vt:i4>
      </vt:variant>
      <vt:variant>
        <vt:i4>314</vt:i4>
      </vt:variant>
      <vt:variant>
        <vt:i4>0</vt:i4>
      </vt:variant>
      <vt:variant>
        <vt:i4>5</vt:i4>
      </vt:variant>
      <vt:variant>
        <vt:lpwstr/>
      </vt:variant>
      <vt:variant>
        <vt:lpwstr>_Toc69918701</vt:lpwstr>
      </vt:variant>
      <vt:variant>
        <vt:i4>1572919</vt:i4>
      </vt:variant>
      <vt:variant>
        <vt:i4>308</vt:i4>
      </vt:variant>
      <vt:variant>
        <vt:i4>0</vt:i4>
      </vt:variant>
      <vt:variant>
        <vt:i4>5</vt:i4>
      </vt:variant>
      <vt:variant>
        <vt:lpwstr/>
      </vt:variant>
      <vt:variant>
        <vt:lpwstr>_Toc69918700</vt:lpwstr>
      </vt:variant>
      <vt:variant>
        <vt:i4>1048638</vt:i4>
      </vt:variant>
      <vt:variant>
        <vt:i4>302</vt:i4>
      </vt:variant>
      <vt:variant>
        <vt:i4>0</vt:i4>
      </vt:variant>
      <vt:variant>
        <vt:i4>5</vt:i4>
      </vt:variant>
      <vt:variant>
        <vt:lpwstr/>
      </vt:variant>
      <vt:variant>
        <vt:lpwstr>_Toc69918699</vt:lpwstr>
      </vt:variant>
      <vt:variant>
        <vt:i4>1114174</vt:i4>
      </vt:variant>
      <vt:variant>
        <vt:i4>296</vt:i4>
      </vt:variant>
      <vt:variant>
        <vt:i4>0</vt:i4>
      </vt:variant>
      <vt:variant>
        <vt:i4>5</vt:i4>
      </vt:variant>
      <vt:variant>
        <vt:lpwstr/>
      </vt:variant>
      <vt:variant>
        <vt:lpwstr>_Toc69918698</vt:lpwstr>
      </vt:variant>
      <vt:variant>
        <vt:i4>1966142</vt:i4>
      </vt:variant>
      <vt:variant>
        <vt:i4>290</vt:i4>
      </vt:variant>
      <vt:variant>
        <vt:i4>0</vt:i4>
      </vt:variant>
      <vt:variant>
        <vt:i4>5</vt:i4>
      </vt:variant>
      <vt:variant>
        <vt:lpwstr/>
      </vt:variant>
      <vt:variant>
        <vt:lpwstr>_Toc69918697</vt:lpwstr>
      </vt:variant>
      <vt:variant>
        <vt:i4>2031678</vt:i4>
      </vt:variant>
      <vt:variant>
        <vt:i4>284</vt:i4>
      </vt:variant>
      <vt:variant>
        <vt:i4>0</vt:i4>
      </vt:variant>
      <vt:variant>
        <vt:i4>5</vt:i4>
      </vt:variant>
      <vt:variant>
        <vt:lpwstr/>
      </vt:variant>
      <vt:variant>
        <vt:lpwstr>_Toc69918696</vt:lpwstr>
      </vt:variant>
      <vt:variant>
        <vt:i4>1835070</vt:i4>
      </vt:variant>
      <vt:variant>
        <vt:i4>278</vt:i4>
      </vt:variant>
      <vt:variant>
        <vt:i4>0</vt:i4>
      </vt:variant>
      <vt:variant>
        <vt:i4>5</vt:i4>
      </vt:variant>
      <vt:variant>
        <vt:lpwstr/>
      </vt:variant>
      <vt:variant>
        <vt:lpwstr>_Toc69918695</vt:lpwstr>
      </vt:variant>
      <vt:variant>
        <vt:i4>1900606</vt:i4>
      </vt:variant>
      <vt:variant>
        <vt:i4>272</vt:i4>
      </vt:variant>
      <vt:variant>
        <vt:i4>0</vt:i4>
      </vt:variant>
      <vt:variant>
        <vt:i4>5</vt:i4>
      </vt:variant>
      <vt:variant>
        <vt:lpwstr/>
      </vt:variant>
      <vt:variant>
        <vt:lpwstr>_Toc69918694</vt:lpwstr>
      </vt:variant>
      <vt:variant>
        <vt:i4>1703998</vt:i4>
      </vt:variant>
      <vt:variant>
        <vt:i4>266</vt:i4>
      </vt:variant>
      <vt:variant>
        <vt:i4>0</vt:i4>
      </vt:variant>
      <vt:variant>
        <vt:i4>5</vt:i4>
      </vt:variant>
      <vt:variant>
        <vt:lpwstr/>
      </vt:variant>
      <vt:variant>
        <vt:lpwstr>_Toc69918693</vt:lpwstr>
      </vt:variant>
      <vt:variant>
        <vt:i4>1769534</vt:i4>
      </vt:variant>
      <vt:variant>
        <vt:i4>260</vt:i4>
      </vt:variant>
      <vt:variant>
        <vt:i4>0</vt:i4>
      </vt:variant>
      <vt:variant>
        <vt:i4>5</vt:i4>
      </vt:variant>
      <vt:variant>
        <vt:lpwstr/>
      </vt:variant>
      <vt:variant>
        <vt:lpwstr>_Toc69918692</vt:lpwstr>
      </vt:variant>
      <vt:variant>
        <vt:i4>1572926</vt:i4>
      </vt:variant>
      <vt:variant>
        <vt:i4>254</vt:i4>
      </vt:variant>
      <vt:variant>
        <vt:i4>0</vt:i4>
      </vt:variant>
      <vt:variant>
        <vt:i4>5</vt:i4>
      </vt:variant>
      <vt:variant>
        <vt:lpwstr/>
      </vt:variant>
      <vt:variant>
        <vt:lpwstr>_Toc69918691</vt:lpwstr>
      </vt:variant>
      <vt:variant>
        <vt:i4>1638462</vt:i4>
      </vt:variant>
      <vt:variant>
        <vt:i4>248</vt:i4>
      </vt:variant>
      <vt:variant>
        <vt:i4>0</vt:i4>
      </vt:variant>
      <vt:variant>
        <vt:i4>5</vt:i4>
      </vt:variant>
      <vt:variant>
        <vt:lpwstr/>
      </vt:variant>
      <vt:variant>
        <vt:lpwstr>_Toc69918690</vt:lpwstr>
      </vt:variant>
      <vt:variant>
        <vt:i4>1048639</vt:i4>
      </vt:variant>
      <vt:variant>
        <vt:i4>242</vt:i4>
      </vt:variant>
      <vt:variant>
        <vt:i4>0</vt:i4>
      </vt:variant>
      <vt:variant>
        <vt:i4>5</vt:i4>
      </vt:variant>
      <vt:variant>
        <vt:lpwstr/>
      </vt:variant>
      <vt:variant>
        <vt:lpwstr>_Toc69918689</vt:lpwstr>
      </vt:variant>
      <vt:variant>
        <vt:i4>1114175</vt:i4>
      </vt:variant>
      <vt:variant>
        <vt:i4>236</vt:i4>
      </vt:variant>
      <vt:variant>
        <vt:i4>0</vt:i4>
      </vt:variant>
      <vt:variant>
        <vt:i4>5</vt:i4>
      </vt:variant>
      <vt:variant>
        <vt:lpwstr/>
      </vt:variant>
      <vt:variant>
        <vt:lpwstr>_Toc69918688</vt:lpwstr>
      </vt:variant>
      <vt:variant>
        <vt:i4>1966143</vt:i4>
      </vt:variant>
      <vt:variant>
        <vt:i4>230</vt:i4>
      </vt:variant>
      <vt:variant>
        <vt:i4>0</vt:i4>
      </vt:variant>
      <vt:variant>
        <vt:i4>5</vt:i4>
      </vt:variant>
      <vt:variant>
        <vt:lpwstr/>
      </vt:variant>
      <vt:variant>
        <vt:lpwstr>_Toc69918687</vt:lpwstr>
      </vt:variant>
      <vt:variant>
        <vt:i4>2031679</vt:i4>
      </vt:variant>
      <vt:variant>
        <vt:i4>224</vt:i4>
      </vt:variant>
      <vt:variant>
        <vt:i4>0</vt:i4>
      </vt:variant>
      <vt:variant>
        <vt:i4>5</vt:i4>
      </vt:variant>
      <vt:variant>
        <vt:lpwstr/>
      </vt:variant>
      <vt:variant>
        <vt:lpwstr>_Toc69918686</vt:lpwstr>
      </vt:variant>
      <vt:variant>
        <vt:i4>1835071</vt:i4>
      </vt:variant>
      <vt:variant>
        <vt:i4>218</vt:i4>
      </vt:variant>
      <vt:variant>
        <vt:i4>0</vt:i4>
      </vt:variant>
      <vt:variant>
        <vt:i4>5</vt:i4>
      </vt:variant>
      <vt:variant>
        <vt:lpwstr/>
      </vt:variant>
      <vt:variant>
        <vt:lpwstr>_Toc69918685</vt:lpwstr>
      </vt:variant>
      <vt:variant>
        <vt:i4>56557633</vt:i4>
      </vt:variant>
      <vt:variant>
        <vt:i4>212</vt:i4>
      </vt:variant>
      <vt:variant>
        <vt:i4>0</vt:i4>
      </vt:variant>
      <vt:variant>
        <vt:i4>5</vt:i4>
      </vt:variant>
      <vt:variant>
        <vt:lpwstr>\\Users\pape\Documents\RAPPORT PUSA CGES PROVISOIRE V.02  CORRIGE-mrs_YSM (Enregistré automatiquement).docx</vt:lpwstr>
      </vt:variant>
      <vt:variant>
        <vt:lpwstr>_Toc69918684</vt:lpwstr>
      </vt:variant>
      <vt:variant>
        <vt:i4>1703999</vt:i4>
      </vt:variant>
      <vt:variant>
        <vt:i4>206</vt:i4>
      </vt:variant>
      <vt:variant>
        <vt:i4>0</vt:i4>
      </vt:variant>
      <vt:variant>
        <vt:i4>5</vt:i4>
      </vt:variant>
      <vt:variant>
        <vt:lpwstr/>
      </vt:variant>
      <vt:variant>
        <vt:lpwstr>_Toc69918683</vt:lpwstr>
      </vt:variant>
      <vt:variant>
        <vt:i4>1769535</vt:i4>
      </vt:variant>
      <vt:variant>
        <vt:i4>200</vt:i4>
      </vt:variant>
      <vt:variant>
        <vt:i4>0</vt:i4>
      </vt:variant>
      <vt:variant>
        <vt:i4>5</vt:i4>
      </vt:variant>
      <vt:variant>
        <vt:lpwstr/>
      </vt:variant>
      <vt:variant>
        <vt:lpwstr>_Toc69918682</vt:lpwstr>
      </vt:variant>
      <vt:variant>
        <vt:i4>1572927</vt:i4>
      </vt:variant>
      <vt:variant>
        <vt:i4>194</vt:i4>
      </vt:variant>
      <vt:variant>
        <vt:i4>0</vt:i4>
      </vt:variant>
      <vt:variant>
        <vt:i4>5</vt:i4>
      </vt:variant>
      <vt:variant>
        <vt:lpwstr/>
      </vt:variant>
      <vt:variant>
        <vt:lpwstr>_Toc69918681</vt:lpwstr>
      </vt:variant>
      <vt:variant>
        <vt:i4>1638463</vt:i4>
      </vt:variant>
      <vt:variant>
        <vt:i4>188</vt:i4>
      </vt:variant>
      <vt:variant>
        <vt:i4>0</vt:i4>
      </vt:variant>
      <vt:variant>
        <vt:i4>5</vt:i4>
      </vt:variant>
      <vt:variant>
        <vt:lpwstr/>
      </vt:variant>
      <vt:variant>
        <vt:lpwstr>_Toc69918680</vt:lpwstr>
      </vt:variant>
      <vt:variant>
        <vt:i4>1048624</vt:i4>
      </vt:variant>
      <vt:variant>
        <vt:i4>182</vt:i4>
      </vt:variant>
      <vt:variant>
        <vt:i4>0</vt:i4>
      </vt:variant>
      <vt:variant>
        <vt:i4>5</vt:i4>
      </vt:variant>
      <vt:variant>
        <vt:lpwstr/>
      </vt:variant>
      <vt:variant>
        <vt:lpwstr>_Toc69918679</vt:lpwstr>
      </vt:variant>
      <vt:variant>
        <vt:i4>1114160</vt:i4>
      </vt:variant>
      <vt:variant>
        <vt:i4>176</vt:i4>
      </vt:variant>
      <vt:variant>
        <vt:i4>0</vt:i4>
      </vt:variant>
      <vt:variant>
        <vt:i4>5</vt:i4>
      </vt:variant>
      <vt:variant>
        <vt:lpwstr/>
      </vt:variant>
      <vt:variant>
        <vt:lpwstr>_Toc69918678</vt:lpwstr>
      </vt:variant>
      <vt:variant>
        <vt:i4>1966128</vt:i4>
      </vt:variant>
      <vt:variant>
        <vt:i4>170</vt:i4>
      </vt:variant>
      <vt:variant>
        <vt:i4>0</vt:i4>
      </vt:variant>
      <vt:variant>
        <vt:i4>5</vt:i4>
      </vt:variant>
      <vt:variant>
        <vt:lpwstr/>
      </vt:variant>
      <vt:variant>
        <vt:lpwstr>_Toc69918677</vt:lpwstr>
      </vt:variant>
      <vt:variant>
        <vt:i4>2031664</vt:i4>
      </vt:variant>
      <vt:variant>
        <vt:i4>164</vt:i4>
      </vt:variant>
      <vt:variant>
        <vt:i4>0</vt:i4>
      </vt:variant>
      <vt:variant>
        <vt:i4>5</vt:i4>
      </vt:variant>
      <vt:variant>
        <vt:lpwstr/>
      </vt:variant>
      <vt:variant>
        <vt:lpwstr>_Toc69918676</vt:lpwstr>
      </vt:variant>
      <vt:variant>
        <vt:i4>1835056</vt:i4>
      </vt:variant>
      <vt:variant>
        <vt:i4>158</vt:i4>
      </vt:variant>
      <vt:variant>
        <vt:i4>0</vt:i4>
      </vt:variant>
      <vt:variant>
        <vt:i4>5</vt:i4>
      </vt:variant>
      <vt:variant>
        <vt:lpwstr/>
      </vt:variant>
      <vt:variant>
        <vt:lpwstr>_Toc69918675</vt:lpwstr>
      </vt:variant>
      <vt:variant>
        <vt:i4>1703984</vt:i4>
      </vt:variant>
      <vt:variant>
        <vt:i4>152</vt:i4>
      </vt:variant>
      <vt:variant>
        <vt:i4>0</vt:i4>
      </vt:variant>
      <vt:variant>
        <vt:i4>5</vt:i4>
      </vt:variant>
      <vt:variant>
        <vt:lpwstr/>
      </vt:variant>
      <vt:variant>
        <vt:lpwstr>_Toc69918673</vt:lpwstr>
      </vt:variant>
      <vt:variant>
        <vt:i4>1769520</vt:i4>
      </vt:variant>
      <vt:variant>
        <vt:i4>146</vt:i4>
      </vt:variant>
      <vt:variant>
        <vt:i4>0</vt:i4>
      </vt:variant>
      <vt:variant>
        <vt:i4>5</vt:i4>
      </vt:variant>
      <vt:variant>
        <vt:lpwstr/>
      </vt:variant>
      <vt:variant>
        <vt:lpwstr>_Toc69918672</vt:lpwstr>
      </vt:variant>
      <vt:variant>
        <vt:i4>1572912</vt:i4>
      </vt:variant>
      <vt:variant>
        <vt:i4>140</vt:i4>
      </vt:variant>
      <vt:variant>
        <vt:i4>0</vt:i4>
      </vt:variant>
      <vt:variant>
        <vt:i4>5</vt:i4>
      </vt:variant>
      <vt:variant>
        <vt:lpwstr/>
      </vt:variant>
      <vt:variant>
        <vt:lpwstr>_Toc69918671</vt:lpwstr>
      </vt:variant>
      <vt:variant>
        <vt:i4>1638448</vt:i4>
      </vt:variant>
      <vt:variant>
        <vt:i4>134</vt:i4>
      </vt:variant>
      <vt:variant>
        <vt:i4>0</vt:i4>
      </vt:variant>
      <vt:variant>
        <vt:i4>5</vt:i4>
      </vt:variant>
      <vt:variant>
        <vt:lpwstr/>
      </vt:variant>
      <vt:variant>
        <vt:lpwstr>_Toc69918670</vt:lpwstr>
      </vt:variant>
      <vt:variant>
        <vt:i4>1048625</vt:i4>
      </vt:variant>
      <vt:variant>
        <vt:i4>128</vt:i4>
      </vt:variant>
      <vt:variant>
        <vt:i4>0</vt:i4>
      </vt:variant>
      <vt:variant>
        <vt:i4>5</vt:i4>
      </vt:variant>
      <vt:variant>
        <vt:lpwstr/>
      </vt:variant>
      <vt:variant>
        <vt:lpwstr>_Toc69918669</vt:lpwstr>
      </vt:variant>
      <vt:variant>
        <vt:i4>1835057</vt:i4>
      </vt:variant>
      <vt:variant>
        <vt:i4>122</vt:i4>
      </vt:variant>
      <vt:variant>
        <vt:i4>0</vt:i4>
      </vt:variant>
      <vt:variant>
        <vt:i4>5</vt:i4>
      </vt:variant>
      <vt:variant>
        <vt:lpwstr/>
      </vt:variant>
      <vt:variant>
        <vt:lpwstr>_Toc69918665</vt:lpwstr>
      </vt:variant>
      <vt:variant>
        <vt:i4>1900593</vt:i4>
      </vt:variant>
      <vt:variant>
        <vt:i4>116</vt:i4>
      </vt:variant>
      <vt:variant>
        <vt:i4>0</vt:i4>
      </vt:variant>
      <vt:variant>
        <vt:i4>5</vt:i4>
      </vt:variant>
      <vt:variant>
        <vt:lpwstr/>
      </vt:variant>
      <vt:variant>
        <vt:lpwstr>_Toc69918664</vt:lpwstr>
      </vt:variant>
      <vt:variant>
        <vt:i4>1703985</vt:i4>
      </vt:variant>
      <vt:variant>
        <vt:i4>110</vt:i4>
      </vt:variant>
      <vt:variant>
        <vt:i4>0</vt:i4>
      </vt:variant>
      <vt:variant>
        <vt:i4>5</vt:i4>
      </vt:variant>
      <vt:variant>
        <vt:lpwstr/>
      </vt:variant>
      <vt:variant>
        <vt:lpwstr>_Toc69918663</vt:lpwstr>
      </vt:variant>
      <vt:variant>
        <vt:i4>1769521</vt:i4>
      </vt:variant>
      <vt:variant>
        <vt:i4>104</vt:i4>
      </vt:variant>
      <vt:variant>
        <vt:i4>0</vt:i4>
      </vt:variant>
      <vt:variant>
        <vt:i4>5</vt:i4>
      </vt:variant>
      <vt:variant>
        <vt:lpwstr/>
      </vt:variant>
      <vt:variant>
        <vt:lpwstr>_Toc69918662</vt:lpwstr>
      </vt:variant>
      <vt:variant>
        <vt:i4>1572913</vt:i4>
      </vt:variant>
      <vt:variant>
        <vt:i4>98</vt:i4>
      </vt:variant>
      <vt:variant>
        <vt:i4>0</vt:i4>
      </vt:variant>
      <vt:variant>
        <vt:i4>5</vt:i4>
      </vt:variant>
      <vt:variant>
        <vt:lpwstr/>
      </vt:variant>
      <vt:variant>
        <vt:lpwstr>_Toc69918661</vt:lpwstr>
      </vt:variant>
      <vt:variant>
        <vt:i4>1638449</vt:i4>
      </vt:variant>
      <vt:variant>
        <vt:i4>92</vt:i4>
      </vt:variant>
      <vt:variant>
        <vt:i4>0</vt:i4>
      </vt:variant>
      <vt:variant>
        <vt:i4>5</vt:i4>
      </vt:variant>
      <vt:variant>
        <vt:lpwstr/>
      </vt:variant>
      <vt:variant>
        <vt:lpwstr>_Toc69918660</vt:lpwstr>
      </vt:variant>
      <vt:variant>
        <vt:i4>1048626</vt:i4>
      </vt:variant>
      <vt:variant>
        <vt:i4>86</vt:i4>
      </vt:variant>
      <vt:variant>
        <vt:i4>0</vt:i4>
      </vt:variant>
      <vt:variant>
        <vt:i4>5</vt:i4>
      </vt:variant>
      <vt:variant>
        <vt:lpwstr/>
      </vt:variant>
      <vt:variant>
        <vt:lpwstr>_Toc69918659</vt:lpwstr>
      </vt:variant>
      <vt:variant>
        <vt:i4>1114162</vt:i4>
      </vt:variant>
      <vt:variant>
        <vt:i4>80</vt:i4>
      </vt:variant>
      <vt:variant>
        <vt:i4>0</vt:i4>
      </vt:variant>
      <vt:variant>
        <vt:i4>5</vt:i4>
      </vt:variant>
      <vt:variant>
        <vt:lpwstr/>
      </vt:variant>
      <vt:variant>
        <vt:lpwstr>_Toc69918658</vt:lpwstr>
      </vt:variant>
      <vt:variant>
        <vt:i4>1966130</vt:i4>
      </vt:variant>
      <vt:variant>
        <vt:i4>74</vt:i4>
      </vt:variant>
      <vt:variant>
        <vt:i4>0</vt:i4>
      </vt:variant>
      <vt:variant>
        <vt:i4>5</vt:i4>
      </vt:variant>
      <vt:variant>
        <vt:lpwstr/>
      </vt:variant>
      <vt:variant>
        <vt:lpwstr>_Toc69918657</vt:lpwstr>
      </vt:variant>
      <vt:variant>
        <vt:i4>2031666</vt:i4>
      </vt:variant>
      <vt:variant>
        <vt:i4>68</vt:i4>
      </vt:variant>
      <vt:variant>
        <vt:i4>0</vt:i4>
      </vt:variant>
      <vt:variant>
        <vt:i4>5</vt:i4>
      </vt:variant>
      <vt:variant>
        <vt:lpwstr/>
      </vt:variant>
      <vt:variant>
        <vt:lpwstr>_Toc69918656</vt:lpwstr>
      </vt:variant>
      <vt:variant>
        <vt:i4>1835058</vt:i4>
      </vt:variant>
      <vt:variant>
        <vt:i4>62</vt:i4>
      </vt:variant>
      <vt:variant>
        <vt:i4>0</vt:i4>
      </vt:variant>
      <vt:variant>
        <vt:i4>5</vt:i4>
      </vt:variant>
      <vt:variant>
        <vt:lpwstr/>
      </vt:variant>
      <vt:variant>
        <vt:lpwstr>_Toc69918655</vt:lpwstr>
      </vt:variant>
      <vt:variant>
        <vt:i4>1900594</vt:i4>
      </vt:variant>
      <vt:variant>
        <vt:i4>56</vt:i4>
      </vt:variant>
      <vt:variant>
        <vt:i4>0</vt:i4>
      </vt:variant>
      <vt:variant>
        <vt:i4>5</vt:i4>
      </vt:variant>
      <vt:variant>
        <vt:lpwstr/>
      </vt:variant>
      <vt:variant>
        <vt:lpwstr>_Toc69918654</vt:lpwstr>
      </vt:variant>
      <vt:variant>
        <vt:i4>1703986</vt:i4>
      </vt:variant>
      <vt:variant>
        <vt:i4>50</vt:i4>
      </vt:variant>
      <vt:variant>
        <vt:i4>0</vt:i4>
      </vt:variant>
      <vt:variant>
        <vt:i4>5</vt:i4>
      </vt:variant>
      <vt:variant>
        <vt:lpwstr/>
      </vt:variant>
      <vt:variant>
        <vt:lpwstr>_Toc69918653</vt:lpwstr>
      </vt:variant>
      <vt:variant>
        <vt:i4>1769522</vt:i4>
      </vt:variant>
      <vt:variant>
        <vt:i4>44</vt:i4>
      </vt:variant>
      <vt:variant>
        <vt:i4>0</vt:i4>
      </vt:variant>
      <vt:variant>
        <vt:i4>5</vt:i4>
      </vt:variant>
      <vt:variant>
        <vt:lpwstr/>
      </vt:variant>
      <vt:variant>
        <vt:lpwstr>_Toc69918652</vt:lpwstr>
      </vt:variant>
      <vt:variant>
        <vt:i4>1572914</vt:i4>
      </vt:variant>
      <vt:variant>
        <vt:i4>38</vt:i4>
      </vt:variant>
      <vt:variant>
        <vt:i4>0</vt:i4>
      </vt:variant>
      <vt:variant>
        <vt:i4>5</vt:i4>
      </vt:variant>
      <vt:variant>
        <vt:lpwstr/>
      </vt:variant>
      <vt:variant>
        <vt:lpwstr>_Toc69918651</vt:lpwstr>
      </vt:variant>
      <vt:variant>
        <vt:i4>1638450</vt:i4>
      </vt:variant>
      <vt:variant>
        <vt:i4>32</vt:i4>
      </vt:variant>
      <vt:variant>
        <vt:i4>0</vt:i4>
      </vt:variant>
      <vt:variant>
        <vt:i4>5</vt:i4>
      </vt:variant>
      <vt:variant>
        <vt:lpwstr/>
      </vt:variant>
      <vt:variant>
        <vt:lpwstr>_Toc69918650</vt:lpwstr>
      </vt:variant>
      <vt:variant>
        <vt:i4>1048627</vt:i4>
      </vt:variant>
      <vt:variant>
        <vt:i4>26</vt:i4>
      </vt:variant>
      <vt:variant>
        <vt:i4>0</vt:i4>
      </vt:variant>
      <vt:variant>
        <vt:i4>5</vt:i4>
      </vt:variant>
      <vt:variant>
        <vt:lpwstr/>
      </vt:variant>
      <vt:variant>
        <vt:lpwstr>_Toc69918649</vt:lpwstr>
      </vt:variant>
      <vt:variant>
        <vt:i4>1114163</vt:i4>
      </vt:variant>
      <vt:variant>
        <vt:i4>20</vt:i4>
      </vt:variant>
      <vt:variant>
        <vt:i4>0</vt:i4>
      </vt:variant>
      <vt:variant>
        <vt:i4>5</vt:i4>
      </vt:variant>
      <vt:variant>
        <vt:lpwstr/>
      </vt:variant>
      <vt:variant>
        <vt:lpwstr>_Toc69918648</vt:lpwstr>
      </vt:variant>
      <vt:variant>
        <vt:i4>1966131</vt:i4>
      </vt:variant>
      <vt:variant>
        <vt:i4>14</vt:i4>
      </vt:variant>
      <vt:variant>
        <vt:i4>0</vt:i4>
      </vt:variant>
      <vt:variant>
        <vt:i4>5</vt:i4>
      </vt:variant>
      <vt:variant>
        <vt:lpwstr/>
      </vt:variant>
      <vt:variant>
        <vt:lpwstr>_Toc69918647</vt:lpwstr>
      </vt:variant>
      <vt:variant>
        <vt:i4>2031667</vt:i4>
      </vt:variant>
      <vt:variant>
        <vt:i4>8</vt:i4>
      </vt:variant>
      <vt:variant>
        <vt:i4>0</vt:i4>
      </vt:variant>
      <vt:variant>
        <vt:i4>5</vt:i4>
      </vt:variant>
      <vt:variant>
        <vt:lpwstr/>
      </vt:variant>
      <vt:variant>
        <vt:lpwstr>_Toc69918646</vt:lpwstr>
      </vt:variant>
      <vt:variant>
        <vt:i4>1835059</vt:i4>
      </vt:variant>
      <vt:variant>
        <vt:i4>2</vt:i4>
      </vt:variant>
      <vt:variant>
        <vt:i4>0</vt:i4>
      </vt:variant>
      <vt:variant>
        <vt:i4>5</vt:i4>
      </vt:variant>
      <vt:variant>
        <vt:lpwstr/>
      </vt:variant>
      <vt:variant>
        <vt:lpwstr>_Toc69918645</vt:lpwstr>
      </vt:variant>
      <vt:variant>
        <vt:i4>1179652</vt:i4>
      </vt:variant>
      <vt:variant>
        <vt:i4>0</vt:i4>
      </vt:variant>
      <vt:variant>
        <vt:i4>0</vt:i4>
      </vt:variant>
      <vt:variant>
        <vt:i4>5</vt:i4>
      </vt:variant>
      <vt:variant>
        <vt:lpwstr>http://documents1.worldbank.org/curated/en/509041468321553133/pdf/929700WP0Box380Soc0Protection0Brief.pdf</vt:lpwstr>
      </vt:variant>
      <vt:variant>
        <vt:lpwstr/>
      </vt:variant>
      <vt:variant>
        <vt:i4>8257620</vt:i4>
      </vt:variant>
      <vt:variant>
        <vt:i4>0</vt:i4>
      </vt:variant>
      <vt:variant>
        <vt:i4>0</vt:i4>
      </vt:variant>
      <vt:variant>
        <vt:i4>5</vt:i4>
      </vt:variant>
      <vt:variant>
        <vt:lpwstr>https://www.ifc.org/wps/wcm/connect/d4260b19-30f2-466d-9c7e-86ac0ece7e89/010_General%2BGuidelines.pdf?MOD=AJPERES&amp;CVID=jkD2Am7&amp;ContentCache=NONE&amp;CACHE=NONE</vt:lpwstr>
      </vt:variant>
      <vt:variant>
        <vt:lpwstr/>
      </vt:variant>
      <vt:variant>
        <vt:i4>1900607</vt:i4>
      </vt:variant>
      <vt:variant>
        <vt:i4>3</vt:i4>
      </vt:variant>
      <vt:variant>
        <vt:i4>0</vt:i4>
      </vt:variant>
      <vt:variant>
        <vt:i4>5</vt:i4>
      </vt:variant>
      <vt:variant>
        <vt:lpwstr>mailto:beroubaguisse@yahoo.fr</vt:lpwstr>
      </vt:variant>
      <vt:variant>
        <vt:lpwstr/>
      </vt:variant>
      <vt:variant>
        <vt:i4>7209051</vt:i4>
      </vt:variant>
      <vt:variant>
        <vt:i4>0</vt:i4>
      </vt:variant>
      <vt:variant>
        <vt:i4>0</vt:i4>
      </vt:variant>
      <vt:variant>
        <vt:i4>5</vt:i4>
      </vt:variant>
      <vt:variant>
        <vt:lpwstr>mailto:ecienvironnement@gmail.com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AMADOU</dc:creator>
  <cp:lastModifiedBy>HP</cp:lastModifiedBy>
  <cp:revision>2</cp:revision>
  <cp:lastPrinted>2021-03-25T12:01:00Z</cp:lastPrinted>
  <dcterms:created xsi:type="dcterms:W3CDTF">2021-12-15T12:10:00Z</dcterms:created>
  <dcterms:modified xsi:type="dcterms:W3CDTF">2021-12-15T12:10:00Z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0x0101008713B939515A8348863D59D79CA39267</vt:lpwstr>
  </property>
</Properties>
</file>